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2E" w:rsidRPr="00A412E9" w:rsidRDefault="0022572E" w:rsidP="0022572E">
      <w:pPr>
        <w:spacing w:after="120" w:line="360" w:lineRule="auto"/>
        <w:jc w:val="both"/>
        <w:rPr>
          <w:rFonts w:ascii="Arial" w:hAnsi="Arial" w:cs="Arial"/>
          <w:u w:val="single"/>
          <w:lang w:val="en-GB"/>
        </w:rPr>
      </w:pPr>
      <w:r w:rsidRPr="00A412E9">
        <w:rPr>
          <w:rFonts w:ascii="Arial" w:hAnsi="Arial" w:cs="Arial"/>
          <w:u w:val="single"/>
          <w:lang w:val="en-GB"/>
        </w:rPr>
        <w:t>Compilation of Supply and Use Table (SUT) at previous years prices in Portugal</w:t>
      </w:r>
    </w:p>
    <w:p w:rsidR="00542867" w:rsidRPr="00A412E9" w:rsidRDefault="00542867" w:rsidP="0022572E">
      <w:pPr>
        <w:spacing w:after="120" w:line="360" w:lineRule="auto"/>
        <w:jc w:val="both"/>
        <w:rPr>
          <w:rFonts w:ascii="Arial" w:hAnsi="Arial" w:cs="Arial"/>
          <w:lang w:val="en-GB"/>
        </w:rPr>
      </w:pPr>
    </w:p>
    <w:p w:rsidR="0022572E" w:rsidRPr="00A412E9" w:rsidRDefault="0022572E" w:rsidP="0022572E">
      <w:pPr>
        <w:pStyle w:val="ListParagraph"/>
        <w:numPr>
          <w:ilvl w:val="0"/>
          <w:numId w:val="1"/>
        </w:numPr>
        <w:spacing w:line="360" w:lineRule="auto"/>
        <w:ind w:left="426" w:hanging="142"/>
        <w:rPr>
          <w:rFonts w:ascii="Arial" w:hAnsi="Arial" w:cs="Arial"/>
          <w:u w:val="single"/>
          <w:lang w:val="en-GB"/>
        </w:rPr>
      </w:pPr>
      <w:r w:rsidRPr="00A412E9">
        <w:rPr>
          <w:rFonts w:ascii="Arial" w:hAnsi="Arial" w:cs="Arial"/>
          <w:u w:val="single"/>
          <w:lang w:val="en-GB"/>
        </w:rPr>
        <w:t xml:space="preserve"> Introduction</w:t>
      </w:r>
      <w:r w:rsidR="00942DF3" w:rsidRPr="00A412E9">
        <w:rPr>
          <w:rFonts w:ascii="Arial" w:hAnsi="Arial" w:cs="Arial"/>
          <w:u w:val="single"/>
          <w:lang w:val="en-GB"/>
        </w:rPr>
        <w:t xml:space="preserve"> </w:t>
      </w:r>
    </w:p>
    <w:p w:rsidR="002A6E4A" w:rsidRPr="00A412E9" w:rsidRDefault="002A6E4A" w:rsidP="00542867">
      <w:pPr>
        <w:pStyle w:val="ListParagraph"/>
        <w:spacing w:before="240" w:line="360" w:lineRule="auto"/>
        <w:ind w:left="425"/>
        <w:jc w:val="both"/>
        <w:rPr>
          <w:rFonts w:ascii="Arial" w:hAnsi="Arial" w:cs="Arial"/>
          <w:lang w:val="en-GB"/>
        </w:rPr>
      </w:pPr>
    </w:p>
    <w:p w:rsidR="0022572E" w:rsidRPr="00A412E9" w:rsidRDefault="0022572E" w:rsidP="00542867">
      <w:pPr>
        <w:pStyle w:val="ListParagraph"/>
        <w:spacing w:before="240" w:line="360" w:lineRule="auto"/>
        <w:ind w:left="425"/>
        <w:jc w:val="both"/>
        <w:rPr>
          <w:rFonts w:ascii="Arial" w:hAnsi="Arial" w:cs="Arial"/>
          <w:lang w:val="en-GB"/>
        </w:rPr>
      </w:pPr>
      <w:r w:rsidRPr="00A412E9">
        <w:rPr>
          <w:rFonts w:ascii="Arial" w:hAnsi="Arial" w:cs="Arial"/>
          <w:lang w:val="en-GB"/>
        </w:rPr>
        <w:t>Statistics Portug</w:t>
      </w:r>
      <w:r w:rsidR="00F81C78" w:rsidRPr="00A412E9">
        <w:rPr>
          <w:rFonts w:ascii="Arial" w:hAnsi="Arial" w:cs="Arial"/>
          <w:lang w:val="en-GB"/>
        </w:rPr>
        <w:t>al (INE) has begun the annual</w:t>
      </w:r>
      <w:r w:rsidRPr="00A412E9">
        <w:rPr>
          <w:rFonts w:ascii="Arial" w:hAnsi="Arial" w:cs="Arial"/>
          <w:lang w:val="en-GB"/>
        </w:rPr>
        <w:t xml:space="preserve"> compilation of National Accounts in the far economic year of 1947, after a pioneering publication </w:t>
      </w:r>
      <w:r w:rsidR="00BD5715">
        <w:rPr>
          <w:rFonts w:ascii="Arial" w:hAnsi="Arial" w:cs="Arial"/>
          <w:lang w:val="en-GB"/>
        </w:rPr>
        <w:t>for year</w:t>
      </w:r>
      <w:r w:rsidRPr="00A412E9">
        <w:rPr>
          <w:rFonts w:ascii="Arial" w:hAnsi="Arial" w:cs="Arial"/>
          <w:lang w:val="en-GB"/>
        </w:rPr>
        <w:t xml:space="preserve"> 1938.</w:t>
      </w:r>
    </w:p>
    <w:p w:rsidR="0022572E" w:rsidRPr="00A412E9" w:rsidRDefault="0022572E" w:rsidP="00542867">
      <w:pPr>
        <w:spacing w:line="360" w:lineRule="auto"/>
        <w:ind w:left="426"/>
        <w:jc w:val="both"/>
        <w:rPr>
          <w:rFonts w:ascii="Arial" w:hAnsi="Arial" w:cs="Arial"/>
          <w:lang w:val="en-GB"/>
        </w:rPr>
      </w:pPr>
      <w:r w:rsidRPr="00A412E9">
        <w:rPr>
          <w:rFonts w:ascii="Arial" w:hAnsi="Arial" w:cs="Arial"/>
          <w:lang w:val="en-GB"/>
        </w:rPr>
        <w:t xml:space="preserve">Since then, </w:t>
      </w:r>
      <w:r w:rsidR="00BD5715">
        <w:rPr>
          <w:rFonts w:ascii="Arial" w:hAnsi="Arial" w:cs="Arial"/>
          <w:lang w:val="en-GB"/>
        </w:rPr>
        <w:t>significant</w:t>
      </w:r>
      <w:r w:rsidRPr="00A412E9">
        <w:rPr>
          <w:rFonts w:ascii="Arial" w:hAnsi="Arial" w:cs="Arial"/>
          <w:lang w:val="en-GB"/>
        </w:rPr>
        <w:t xml:space="preserve"> developments</w:t>
      </w:r>
      <w:r w:rsidR="00BD5715">
        <w:rPr>
          <w:rFonts w:ascii="Arial" w:hAnsi="Arial" w:cs="Arial"/>
          <w:lang w:val="en-GB"/>
        </w:rPr>
        <w:t xml:space="preserve"> took place</w:t>
      </w:r>
      <w:r w:rsidRPr="00A412E9">
        <w:rPr>
          <w:rFonts w:ascii="Arial" w:hAnsi="Arial" w:cs="Arial"/>
          <w:lang w:val="en-GB"/>
        </w:rPr>
        <w:t xml:space="preserve"> in this field, including the extensive revisions adopting new reference methods plus the major changes of methodology determinant to the elaboration of the Portuguese National</w:t>
      </w:r>
      <w:r w:rsidR="00F81C78" w:rsidRPr="00A412E9">
        <w:rPr>
          <w:rFonts w:ascii="Arial" w:hAnsi="Arial" w:cs="Arial"/>
          <w:lang w:val="en-GB"/>
        </w:rPr>
        <w:t xml:space="preserve"> Accounts</w:t>
      </w:r>
      <w:r w:rsidRPr="00A412E9">
        <w:rPr>
          <w:rFonts w:ascii="Arial" w:hAnsi="Arial" w:cs="Arial"/>
          <w:lang w:val="en-GB"/>
        </w:rPr>
        <w:t xml:space="preserve">, </w:t>
      </w:r>
      <w:r w:rsidR="00B81A1E" w:rsidRPr="00B81A1E">
        <w:rPr>
          <w:rFonts w:ascii="Arial" w:hAnsi="Arial" w:cs="Arial"/>
          <w:lang w:val="en-GB"/>
        </w:rPr>
        <w:t>with the consequent breaks of the series there resulting</w:t>
      </w:r>
      <w:r w:rsidRPr="00A412E9">
        <w:rPr>
          <w:rFonts w:ascii="Arial" w:hAnsi="Arial" w:cs="Arial"/>
          <w:lang w:val="en-GB"/>
        </w:rPr>
        <w:t>, notably for Gross Domestic Product (GDP).</w:t>
      </w:r>
    </w:p>
    <w:p w:rsidR="0022572E" w:rsidRPr="00A412E9" w:rsidRDefault="0022572E" w:rsidP="00542867">
      <w:pPr>
        <w:spacing w:line="360" w:lineRule="auto"/>
        <w:ind w:left="426"/>
        <w:jc w:val="both"/>
        <w:rPr>
          <w:rFonts w:ascii="Arial" w:hAnsi="Arial" w:cs="Arial"/>
          <w:lang w:val="en-GB"/>
        </w:rPr>
      </w:pPr>
      <w:r w:rsidRPr="00A412E9">
        <w:rPr>
          <w:rFonts w:ascii="Arial" w:hAnsi="Arial" w:cs="Arial"/>
          <w:lang w:val="en-GB"/>
        </w:rPr>
        <w:t xml:space="preserve">Undoubtedly, larger methodological revisions happened with the introduction of the European system of national accounts (ESA) - in the early eighties of the past century, starting at 1977, as economic year - and, later on, with the application of the European system of national and regional accounts of 1995 (ESA 95). It will follow </w:t>
      </w:r>
      <w:r w:rsidR="00BD5715">
        <w:rPr>
          <w:rFonts w:ascii="Arial" w:hAnsi="Arial" w:cs="Arial"/>
          <w:lang w:val="en-GB"/>
        </w:rPr>
        <w:t>a major</w:t>
      </w:r>
      <w:r w:rsidRPr="00A412E9">
        <w:rPr>
          <w:rFonts w:ascii="Arial" w:hAnsi="Arial" w:cs="Arial"/>
          <w:lang w:val="en-GB"/>
        </w:rPr>
        <w:t xml:space="preserve"> revision with the application of the European system of national and regional accounts of 2010 (ESA 2010), </w:t>
      </w:r>
      <w:r w:rsidR="00BD5715">
        <w:rPr>
          <w:rFonts w:ascii="Arial" w:hAnsi="Arial" w:cs="Arial"/>
          <w:lang w:val="en-GB"/>
        </w:rPr>
        <w:t xml:space="preserve">currently </w:t>
      </w:r>
      <w:r w:rsidRPr="00A412E9">
        <w:rPr>
          <w:rFonts w:ascii="Arial" w:hAnsi="Arial" w:cs="Arial"/>
          <w:lang w:val="en-GB"/>
        </w:rPr>
        <w:t xml:space="preserve">under development. </w:t>
      </w:r>
    </w:p>
    <w:p w:rsidR="0022572E" w:rsidRPr="00A412E9" w:rsidRDefault="0022572E" w:rsidP="00542867">
      <w:pPr>
        <w:spacing w:line="360" w:lineRule="auto"/>
        <w:ind w:left="426"/>
        <w:jc w:val="both"/>
        <w:rPr>
          <w:rFonts w:ascii="Arial" w:hAnsi="Arial" w:cs="Arial"/>
          <w:lang w:val="en-GB"/>
        </w:rPr>
      </w:pPr>
      <w:r w:rsidRPr="00A412E9">
        <w:rPr>
          <w:rFonts w:ascii="Arial" w:hAnsi="Arial" w:cs="Arial"/>
          <w:lang w:val="en-GB"/>
        </w:rPr>
        <w:t>With the introduction of the ESA, there has taken place the start of the usual compilation of the tables denominated by Input-Output (</w:t>
      </w:r>
      <w:proofErr w:type="spellStart"/>
      <w:r w:rsidRPr="00A412E9">
        <w:rPr>
          <w:rFonts w:ascii="Arial" w:hAnsi="Arial" w:cs="Arial"/>
          <w:i/>
          <w:lang w:val="en-GB"/>
        </w:rPr>
        <w:t>Quadros</w:t>
      </w:r>
      <w:proofErr w:type="spellEnd"/>
      <w:r w:rsidRPr="00A412E9">
        <w:rPr>
          <w:rFonts w:ascii="Arial" w:hAnsi="Arial" w:cs="Arial"/>
          <w:i/>
          <w:lang w:val="en-GB"/>
        </w:rPr>
        <w:t xml:space="preserve"> de </w:t>
      </w:r>
      <w:proofErr w:type="spellStart"/>
      <w:r w:rsidRPr="00A412E9">
        <w:rPr>
          <w:rFonts w:ascii="Arial" w:hAnsi="Arial" w:cs="Arial"/>
          <w:i/>
          <w:lang w:val="en-GB"/>
        </w:rPr>
        <w:t>entradas-saídas</w:t>
      </w:r>
      <w:proofErr w:type="spellEnd"/>
      <w:r w:rsidRPr="00A412E9">
        <w:rPr>
          <w:rFonts w:ascii="Arial" w:hAnsi="Arial" w:cs="Arial"/>
          <w:lang w:val="en-GB"/>
        </w:rPr>
        <w:t xml:space="preserve"> - QES). Those tables were elaborated yearly, at current and at previous </w:t>
      </w:r>
      <w:proofErr w:type="gramStart"/>
      <w:r w:rsidRPr="00A412E9">
        <w:rPr>
          <w:rFonts w:ascii="Arial" w:hAnsi="Arial" w:cs="Arial"/>
          <w:lang w:val="en-GB"/>
        </w:rPr>
        <w:t>year</w:t>
      </w:r>
      <w:r w:rsidR="00542867" w:rsidRPr="00A412E9">
        <w:rPr>
          <w:rFonts w:ascii="Arial" w:hAnsi="Arial" w:cs="Arial"/>
          <w:lang w:val="en-GB"/>
        </w:rPr>
        <w:t>s</w:t>
      </w:r>
      <w:proofErr w:type="gramEnd"/>
      <w:r w:rsidRPr="00A412E9">
        <w:rPr>
          <w:rFonts w:ascii="Arial" w:hAnsi="Arial" w:cs="Arial"/>
          <w:lang w:val="en-GB"/>
        </w:rPr>
        <w:t xml:space="preserve"> prices, and required the homogeneity of products for their industries. </w:t>
      </w:r>
      <w:r w:rsidR="00B81A1E" w:rsidRPr="00B81A1E">
        <w:rPr>
          <w:rFonts w:ascii="Arial" w:hAnsi="Arial" w:cs="Arial"/>
          <w:lang w:val="en-GB"/>
        </w:rPr>
        <w:t xml:space="preserve">Apart </w:t>
      </w:r>
      <w:r w:rsidR="00BD5715">
        <w:rPr>
          <w:rFonts w:ascii="Arial" w:hAnsi="Arial" w:cs="Arial"/>
          <w:lang w:val="en-GB"/>
        </w:rPr>
        <w:t xml:space="preserve">from </w:t>
      </w:r>
      <w:r w:rsidR="00B81A1E" w:rsidRPr="00B81A1E">
        <w:rPr>
          <w:rFonts w:ascii="Arial" w:hAnsi="Arial" w:cs="Arial"/>
          <w:lang w:val="en-GB"/>
        </w:rPr>
        <w:t>this characteristic, the outlay of those tables was quite approxima</w:t>
      </w:r>
      <w:r w:rsidR="00F90805">
        <w:rPr>
          <w:rFonts w:ascii="Arial" w:hAnsi="Arial" w:cs="Arial"/>
          <w:lang w:val="en-GB"/>
        </w:rPr>
        <w:t>te from that of the Supply and U</w:t>
      </w:r>
      <w:r w:rsidR="00B81A1E" w:rsidRPr="00B81A1E">
        <w:rPr>
          <w:rFonts w:ascii="Arial" w:hAnsi="Arial" w:cs="Arial"/>
          <w:lang w:val="en-GB"/>
        </w:rPr>
        <w:t>se tables</w:t>
      </w:r>
      <w:r w:rsidRPr="00A412E9">
        <w:rPr>
          <w:rFonts w:ascii="Arial" w:hAnsi="Arial" w:cs="Arial"/>
          <w:lang w:val="en-GB"/>
        </w:rPr>
        <w:t>.</w:t>
      </w:r>
    </w:p>
    <w:p w:rsidR="0022572E" w:rsidRPr="00A412E9" w:rsidRDefault="0022572E" w:rsidP="00542867">
      <w:pPr>
        <w:spacing w:line="360" w:lineRule="auto"/>
        <w:ind w:left="426"/>
        <w:jc w:val="both"/>
        <w:rPr>
          <w:rFonts w:ascii="Arial" w:hAnsi="Arial" w:cs="Arial"/>
          <w:lang w:val="en-GB"/>
        </w:rPr>
      </w:pPr>
      <w:r w:rsidRPr="00A412E9">
        <w:rPr>
          <w:rFonts w:ascii="Arial" w:hAnsi="Arial" w:cs="Arial"/>
          <w:lang w:val="en-GB"/>
        </w:rPr>
        <w:t xml:space="preserve">Later on, as a consequence of the application of the ESA 95, it has been started the regular compilation of Supply and use tables (SUT), </w:t>
      </w:r>
      <w:r w:rsidR="00535AC1" w:rsidRPr="00A412E9">
        <w:rPr>
          <w:rFonts w:ascii="Arial" w:hAnsi="Arial" w:cs="Arial"/>
          <w:lang w:val="en-GB"/>
        </w:rPr>
        <w:t>both at current and at previous years prices,</w:t>
      </w:r>
      <w:r w:rsidRPr="00A412E9">
        <w:rPr>
          <w:rFonts w:ascii="Arial" w:hAnsi="Arial" w:cs="Arial"/>
          <w:lang w:val="en-GB"/>
        </w:rPr>
        <w:t xml:space="preserve"> not only for</w:t>
      </w:r>
      <w:r w:rsidR="00F90805">
        <w:rPr>
          <w:rFonts w:ascii="Arial" w:hAnsi="Arial" w:cs="Arial"/>
          <w:lang w:val="en-GB"/>
        </w:rPr>
        <w:t xml:space="preserve"> the definitive annual accounts</w:t>
      </w:r>
      <w:r w:rsidRPr="00A412E9">
        <w:rPr>
          <w:rFonts w:ascii="Arial" w:hAnsi="Arial" w:cs="Arial"/>
          <w:lang w:val="en-GB"/>
        </w:rPr>
        <w:t xml:space="preserve"> but for any annual edition except preliminary estimates.</w:t>
      </w:r>
    </w:p>
    <w:p w:rsidR="0022572E" w:rsidRPr="00A412E9" w:rsidRDefault="0022572E" w:rsidP="00542867">
      <w:pPr>
        <w:spacing w:before="240" w:line="360" w:lineRule="auto"/>
        <w:ind w:left="426"/>
        <w:jc w:val="both"/>
        <w:rPr>
          <w:rFonts w:ascii="Arial" w:hAnsi="Arial" w:cs="Arial"/>
          <w:lang w:val="en-GB"/>
        </w:rPr>
      </w:pPr>
      <w:r w:rsidRPr="00A412E9">
        <w:rPr>
          <w:rFonts w:ascii="Arial" w:hAnsi="Arial" w:cs="Arial"/>
          <w:lang w:val="en-GB"/>
        </w:rPr>
        <w:t>The aim of this paper is to show how the current compilation procedures and the main basic components or instruments of the</w:t>
      </w:r>
      <w:r w:rsidR="00FD1AAE" w:rsidRPr="00A412E9">
        <w:rPr>
          <w:rFonts w:ascii="Arial" w:hAnsi="Arial" w:cs="Arial"/>
          <w:lang w:val="en-GB"/>
        </w:rPr>
        <w:t xml:space="preserve"> accounting work,</w:t>
      </w:r>
      <w:r w:rsidRPr="00A412E9">
        <w:rPr>
          <w:rFonts w:ascii="Arial" w:hAnsi="Arial" w:cs="Arial"/>
          <w:lang w:val="en-GB"/>
        </w:rPr>
        <w:t xml:space="preserve"> used more recently in the Portuguese N</w:t>
      </w:r>
      <w:r w:rsidR="00F81C78" w:rsidRPr="00A412E9">
        <w:rPr>
          <w:rFonts w:ascii="Arial" w:hAnsi="Arial" w:cs="Arial"/>
          <w:lang w:val="en-GB"/>
        </w:rPr>
        <w:t xml:space="preserve">ational </w:t>
      </w:r>
      <w:r w:rsidRPr="00A412E9">
        <w:rPr>
          <w:rFonts w:ascii="Arial" w:hAnsi="Arial" w:cs="Arial"/>
          <w:lang w:val="en-GB"/>
        </w:rPr>
        <w:t>A</w:t>
      </w:r>
      <w:r w:rsidR="00F81C78" w:rsidRPr="00A412E9">
        <w:rPr>
          <w:rFonts w:ascii="Arial" w:hAnsi="Arial" w:cs="Arial"/>
          <w:lang w:val="en-GB"/>
        </w:rPr>
        <w:t>ccounts</w:t>
      </w:r>
      <w:r w:rsidRPr="00A412E9">
        <w:rPr>
          <w:rFonts w:ascii="Arial" w:hAnsi="Arial" w:cs="Arial"/>
          <w:lang w:val="en-GB"/>
        </w:rPr>
        <w:t>, accomplish their function of supporting the so called N</w:t>
      </w:r>
      <w:r w:rsidR="00F81C78" w:rsidRPr="00A412E9">
        <w:rPr>
          <w:rFonts w:ascii="Arial" w:hAnsi="Arial" w:cs="Arial"/>
          <w:lang w:val="en-GB"/>
        </w:rPr>
        <w:t xml:space="preserve">ational </w:t>
      </w:r>
      <w:r w:rsidRPr="00A412E9">
        <w:rPr>
          <w:rFonts w:ascii="Arial" w:hAnsi="Arial" w:cs="Arial"/>
          <w:lang w:val="en-GB"/>
        </w:rPr>
        <w:t>A</w:t>
      </w:r>
      <w:r w:rsidR="00F81C78" w:rsidRPr="00A412E9">
        <w:rPr>
          <w:rFonts w:ascii="Arial" w:hAnsi="Arial" w:cs="Arial"/>
          <w:lang w:val="en-GB"/>
        </w:rPr>
        <w:t>ccounts</w:t>
      </w:r>
      <w:r w:rsidRPr="00A412E9">
        <w:rPr>
          <w:rFonts w:ascii="Arial" w:hAnsi="Arial" w:cs="Arial"/>
          <w:lang w:val="en-GB"/>
        </w:rPr>
        <w:t xml:space="preserve"> synthesis, before and after </w:t>
      </w:r>
      <w:r w:rsidR="008F6DA3">
        <w:rPr>
          <w:rFonts w:ascii="Arial" w:hAnsi="Arial" w:cs="Arial"/>
          <w:lang w:val="en-GB"/>
        </w:rPr>
        <w:t>balancing and benchmarking</w:t>
      </w:r>
      <w:r w:rsidRPr="00A412E9">
        <w:rPr>
          <w:rFonts w:ascii="Arial" w:hAnsi="Arial" w:cs="Arial"/>
          <w:lang w:val="en-GB"/>
        </w:rPr>
        <w:t>, with special emphasis to the SUT at previous years prices.</w:t>
      </w:r>
    </w:p>
    <w:p w:rsidR="0022572E" w:rsidRPr="00C171EA" w:rsidRDefault="0022572E" w:rsidP="00C171EA">
      <w:pPr>
        <w:spacing w:line="360" w:lineRule="auto"/>
        <w:rPr>
          <w:rFonts w:ascii="Arial" w:hAnsi="Arial" w:cs="Arial"/>
          <w:u w:val="single"/>
          <w:lang w:val="en-GB"/>
        </w:rPr>
      </w:pPr>
    </w:p>
    <w:p w:rsidR="0022572E" w:rsidRPr="00A412E9" w:rsidRDefault="0022572E" w:rsidP="0022572E">
      <w:pPr>
        <w:pStyle w:val="ListParagraph"/>
        <w:numPr>
          <w:ilvl w:val="0"/>
          <w:numId w:val="1"/>
        </w:numPr>
        <w:spacing w:line="360" w:lineRule="auto"/>
        <w:ind w:left="426" w:hanging="142"/>
        <w:rPr>
          <w:rFonts w:ascii="Arial" w:hAnsi="Arial" w:cs="Arial"/>
          <w:u w:val="single"/>
          <w:lang w:val="en-GB"/>
        </w:rPr>
      </w:pPr>
      <w:r w:rsidRPr="00A412E9">
        <w:rPr>
          <w:rFonts w:ascii="Arial" w:hAnsi="Arial" w:cs="Arial"/>
          <w:u w:val="single"/>
          <w:lang w:val="en-GB"/>
        </w:rPr>
        <w:lastRenderedPageBreak/>
        <w:t>SUT (QRE) in the Portuguese National Accounts framework</w:t>
      </w:r>
    </w:p>
    <w:p w:rsidR="00542867" w:rsidRPr="00A412E9" w:rsidRDefault="00542867" w:rsidP="00542867">
      <w:pPr>
        <w:pStyle w:val="ListParagraph"/>
        <w:spacing w:line="360" w:lineRule="auto"/>
        <w:ind w:left="426"/>
        <w:rPr>
          <w:rFonts w:ascii="Arial" w:hAnsi="Arial" w:cs="Arial"/>
          <w:u w:val="single"/>
          <w:lang w:val="en-GB"/>
        </w:rPr>
      </w:pPr>
    </w:p>
    <w:p w:rsidR="00C01C20" w:rsidRPr="00A412E9" w:rsidRDefault="0086226F" w:rsidP="0086226F">
      <w:pPr>
        <w:pStyle w:val="ListParagraph"/>
        <w:spacing w:line="360" w:lineRule="auto"/>
        <w:ind w:left="425"/>
        <w:jc w:val="both"/>
        <w:rPr>
          <w:rFonts w:ascii="Arial" w:hAnsi="Arial" w:cs="Arial"/>
          <w:lang w:val="en-GB"/>
        </w:rPr>
      </w:pPr>
      <w:r w:rsidRPr="00A412E9">
        <w:rPr>
          <w:rFonts w:ascii="Arial" w:hAnsi="Arial" w:cs="Arial"/>
          <w:lang w:val="en-GB"/>
        </w:rPr>
        <w:t>This section refers to SUT used more recently in the National Accounts</w:t>
      </w:r>
      <w:r w:rsidR="00F81C78" w:rsidRPr="00A412E9">
        <w:rPr>
          <w:rFonts w:ascii="Arial" w:hAnsi="Arial" w:cs="Arial"/>
          <w:lang w:val="en-GB"/>
        </w:rPr>
        <w:t xml:space="preserve"> (NA)</w:t>
      </w:r>
      <w:r w:rsidRPr="00A412E9">
        <w:rPr>
          <w:rFonts w:ascii="Arial" w:hAnsi="Arial" w:cs="Arial"/>
          <w:lang w:val="en-GB"/>
        </w:rPr>
        <w:t xml:space="preserve"> elaborated by INE.</w:t>
      </w:r>
    </w:p>
    <w:p w:rsidR="00B41C85" w:rsidRPr="00A412E9" w:rsidRDefault="00B41C85" w:rsidP="0086226F">
      <w:pPr>
        <w:pStyle w:val="ListParagraph"/>
        <w:spacing w:line="360" w:lineRule="auto"/>
        <w:ind w:left="425"/>
        <w:jc w:val="both"/>
        <w:rPr>
          <w:rFonts w:ascii="Arial" w:hAnsi="Arial" w:cs="Arial"/>
          <w:lang w:val="en-GB"/>
        </w:rPr>
      </w:pPr>
    </w:p>
    <w:p w:rsidR="00542867" w:rsidRPr="00A412E9" w:rsidRDefault="00C01C20" w:rsidP="00542867">
      <w:pPr>
        <w:pStyle w:val="ListParagraph"/>
        <w:numPr>
          <w:ilvl w:val="0"/>
          <w:numId w:val="2"/>
        </w:numPr>
        <w:spacing w:line="360" w:lineRule="auto"/>
        <w:rPr>
          <w:rFonts w:ascii="Arial" w:hAnsi="Arial" w:cs="Arial"/>
          <w:lang w:val="en-GB"/>
        </w:rPr>
      </w:pPr>
      <w:r w:rsidRPr="00A412E9">
        <w:rPr>
          <w:rFonts w:ascii="Arial" w:hAnsi="Arial" w:cs="Arial"/>
          <w:lang w:val="en-GB"/>
        </w:rPr>
        <w:t xml:space="preserve">SUT (QRE) </w:t>
      </w:r>
      <w:r w:rsidR="00873792" w:rsidRPr="00A412E9">
        <w:rPr>
          <w:rFonts w:ascii="Arial" w:hAnsi="Arial" w:cs="Arial"/>
          <w:lang w:val="en-GB"/>
        </w:rPr>
        <w:t xml:space="preserve">- </w:t>
      </w:r>
      <w:r w:rsidR="00FA3332" w:rsidRPr="00A412E9">
        <w:rPr>
          <w:rFonts w:ascii="Arial" w:hAnsi="Arial" w:cs="Arial"/>
          <w:lang w:val="en-GB"/>
        </w:rPr>
        <w:t>presentation</w:t>
      </w:r>
    </w:p>
    <w:p w:rsidR="00C01C20" w:rsidRPr="00A412E9" w:rsidRDefault="00C01C20" w:rsidP="0086226F">
      <w:pPr>
        <w:pStyle w:val="ListParagraph"/>
        <w:spacing w:before="240" w:line="360" w:lineRule="auto"/>
        <w:jc w:val="both"/>
        <w:rPr>
          <w:rFonts w:ascii="Arial" w:hAnsi="Arial" w:cs="Arial"/>
          <w:lang w:val="en-GB"/>
        </w:rPr>
      </w:pPr>
      <w:r w:rsidRPr="00A412E9">
        <w:rPr>
          <w:rFonts w:ascii="Arial" w:hAnsi="Arial" w:cs="Arial"/>
          <w:lang w:val="en-GB"/>
        </w:rPr>
        <w:t>From 1995 (economic year) up to recent time, based on the SUT framework of the ESA 95 and related bibliography</w:t>
      </w:r>
      <w:r w:rsidR="00F75913">
        <w:rPr>
          <w:rStyle w:val="FootnoteReference"/>
          <w:rFonts w:ascii="Arial" w:hAnsi="Arial" w:cs="Arial"/>
          <w:lang w:val="en-GB"/>
        </w:rPr>
        <w:footnoteReference w:id="1"/>
      </w:r>
      <w:r w:rsidRPr="00A412E9">
        <w:rPr>
          <w:rFonts w:ascii="Arial" w:hAnsi="Arial" w:cs="Arial"/>
          <w:lang w:val="en-GB"/>
        </w:rPr>
        <w:t xml:space="preserve">, INE developed the </w:t>
      </w:r>
      <w:r w:rsidR="00BD5715">
        <w:rPr>
          <w:rFonts w:ascii="Arial" w:hAnsi="Arial" w:cs="Arial"/>
          <w:lang w:val="en-GB"/>
        </w:rPr>
        <w:t>so called</w:t>
      </w:r>
      <w:r w:rsidRPr="00A412E9">
        <w:rPr>
          <w:rFonts w:ascii="Arial" w:hAnsi="Arial" w:cs="Arial"/>
          <w:lang w:val="en-GB"/>
        </w:rPr>
        <w:t xml:space="preserve"> </w:t>
      </w:r>
      <w:proofErr w:type="spellStart"/>
      <w:r w:rsidR="00EB2BE5" w:rsidRPr="00A412E9">
        <w:rPr>
          <w:rFonts w:ascii="Arial" w:hAnsi="Arial" w:cs="Arial"/>
          <w:i/>
          <w:lang w:val="en-GB"/>
        </w:rPr>
        <w:t>Quadro</w:t>
      </w:r>
      <w:proofErr w:type="spellEnd"/>
      <w:r w:rsidR="00EB2BE5" w:rsidRPr="00A412E9">
        <w:rPr>
          <w:rFonts w:ascii="Arial" w:hAnsi="Arial" w:cs="Arial"/>
          <w:i/>
          <w:lang w:val="en-GB"/>
        </w:rPr>
        <w:t xml:space="preserve"> de </w:t>
      </w:r>
      <w:proofErr w:type="spellStart"/>
      <w:r w:rsidR="00EB2BE5" w:rsidRPr="00A412E9">
        <w:rPr>
          <w:rFonts w:ascii="Arial" w:hAnsi="Arial" w:cs="Arial"/>
          <w:i/>
          <w:lang w:val="en-GB"/>
        </w:rPr>
        <w:t>R</w:t>
      </w:r>
      <w:r w:rsidRPr="00A412E9">
        <w:rPr>
          <w:rFonts w:ascii="Arial" w:hAnsi="Arial" w:cs="Arial"/>
          <w:i/>
          <w:lang w:val="en-GB"/>
        </w:rPr>
        <w:t>ecursos</w:t>
      </w:r>
      <w:proofErr w:type="spellEnd"/>
      <w:r w:rsidRPr="00A412E9">
        <w:rPr>
          <w:rFonts w:ascii="Arial" w:hAnsi="Arial" w:cs="Arial"/>
          <w:i/>
          <w:lang w:val="en-GB"/>
        </w:rPr>
        <w:t xml:space="preserve"> e </w:t>
      </w:r>
      <w:proofErr w:type="spellStart"/>
      <w:r w:rsidR="00EB2BE5" w:rsidRPr="00A412E9">
        <w:rPr>
          <w:rFonts w:ascii="Arial" w:hAnsi="Arial" w:cs="Arial"/>
          <w:i/>
          <w:lang w:val="en-GB"/>
        </w:rPr>
        <w:t>E</w:t>
      </w:r>
      <w:r w:rsidRPr="00A412E9">
        <w:rPr>
          <w:rFonts w:ascii="Arial" w:hAnsi="Arial" w:cs="Arial"/>
          <w:i/>
          <w:lang w:val="en-GB"/>
        </w:rPr>
        <w:t>mpregos</w:t>
      </w:r>
      <w:proofErr w:type="spellEnd"/>
      <w:r w:rsidRPr="00A412E9">
        <w:rPr>
          <w:rFonts w:ascii="Arial" w:hAnsi="Arial" w:cs="Arial"/>
          <w:lang w:val="en-GB"/>
        </w:rPr>
        <w:t xml:space="preserve"> (QRE), which is one of the main output</w:t>
      </w:r>
      <w:r w:rsidR="00FD1AAE" w:rsidRPr="00A412E9">
        <w:rPr>
          <w:rFonts w:ascii="Arial" w:hAnsi="Arial" w:cs="Arial"/>
          <w:lang w:val="en-GB"/>
        </w:rPr>
        <w:t>s</w:t>
      </w:r>
      <w:r w:rsidR="00633294" w:rsidRPr="00A412E9">
        <w:rPr>
          <w:rFonts w:ascii="Arial" w:hAnsi="Arial" w:cs="Arial"/>
          <w:lang w:val="en-GB"/>
        </w:rPr>
        <w:t xml:space="preserve"> </w:t>
      </w:r>
      <w:r w:rsidRPr="00A412E9">
        <w:rPr>
          <w:rFonts w:ascii="Arial" w:hAnsi="Arial" w:cs="Arial"/>
          <w:lang w:val="en-GB"/>
        </w:rPr>
        <w:t xml:space="preserve"> of the NA as well as a fundamental instrument of the full NA system. </w:t>
      </w:r>
    </w:p>
    <w:p w:rsidR="0086226F" w:rsidRPr="00A412E9" w:rsidRDefault="0086226F" w:rsidP="00FA3332">
      <w:pPr>
        <w:pStyle w:val="ListParagraph"/>
        <w:spacing w:before="240" w:line="360" w:lineRule="auto"/>
        <w:jc w:val="both"/>
        <w:rPr>
          <w:rFonts w:ascii="Arial" w:hAnsi="Arial" w:cs="Arial"/>
          <w:lang w:val="en-GB"/>
        </w:rPr>
      </w:pPr>
      <w:r w:rsidRPr="00A412E9">
        <w:rPr>
          <w:rFonts w:ascii="Arial" w:hAnsi="Arial" w:cs="Arial"/>
          <w:lang w:val="en-GB"/>
        </w:rPr>
        <w:t>QRE are usually described as matrices by industries and products that show in quite a detailed way the yearly output processes and the product transactions occurred during the same time over the national economy.</w:t>
      </w:r>
    </w:p>
    <w:p w:rsidR="0086226F" w:rsidRPr="00A412E9" w:rsidRDefault="00BD5715" w:rsidP="0086226F">
      <w:pPr>
        <w:pStyle w:val="ListParagraph"/>
        <w:spacing w:before="240" w:line="360" w:lineRule="auto"/>
        <w:jc w:val="both"/>
        <w:rPr>
          <w:rFonts w:ascii="Arial" w:hAnsi="Arial" w:cs="Arial"/>
          <w:lang w:val="en-GB"/>
        </w:rPr>
      </w:pPr>
      <w:r>
        <w:rPr>
          <w:rFonts w:ascii="Arial" w:hAnsi="Arial" w:cs="Arial"/>
          <w:lang w:val="en-GB"/>
        </w:rPr>
        <w:t>M</w:t>
      </w:r>
      <w:r w:rsidR="0086226F" w:rsidRPr="00A412E9">
        <w:rPr>
          <w:rFonts w:ascii="Arial" w:hAnsi="Arial" w:cs="Arial"/>
          <w:lang w:val="en-GB"/>
        </w:rPr>
        <w:t xml:space="preserve">ore recently, these matrices </w:t>
      </w:r>
      <w:r>
        <w:rPr>
          <w:rFonts w:ascii="Arial" w:hAnsi="Arial" w:cs="Arial"/>
          <w:lang w:val="en-GB"/>
        </w:rPr>
        <w:t>started to be</w:t>
      </w:r>
      <w:r w:rsidR="0086226F" w:rsidRPr="00A412E9">
        <w:rPr>
          <w:rFonts w:ascii="Arial" w:hAnsi="Arial" w:cs="Arial"/>
          <w:lang w:val="en-GB"/>
        </w:rPr>
        <w:t xml:space="preserve"> compiled in a </w:t>
      </w:r>
      <w:r w:rsidR="00F81C78" w:rsidRPr="00A412E9">
        <w:rPr>
          <w:rFonts w:ascii="Arial" w:hAnsi="Arial" w:cs="Arial"/>
          <w:lang w:val="en-GB"/>
        </w:rPr>
        <w:t>quite large</w:t>
      </w:r>
      <w:r w:rsidR="0086226F" w:rsidRPr="00A412E9">
        <w:rPr>
          <w:rFonts w:ascii="Arial" w:hAnsi="Arial" w:cs="Arial"/>
          <w:lang w:val="en-GB"/>
        </w:rPr>
        <w:t xml:space="preserve"> detail (127 </w:t>
      </w:r>
      <w:r w:rsidR="00F81C78" w:rsidRPr="00A412E9">
        <w:rPr>
          <w:rFonts w:ascii="Arial" w:hAnsi="Arial" w:cs="Arial"/>
          <w:lang w:val="en-GB"/>
        </w:rPr>
        <w:t>industries by 433 products) and are</w:t>
      </w:r>
      <w:r w:rsidR="0086226F" w:rsidRPr="00A412E9">
        <w:rPr>
          <w:rFonts w:ascii="Arial" w:hAnsi="Arial" w:cs="Arial"/>
          <w:lang w:val="en-GB"/>
        </w:rPr>
        <w:t xml:space="preserve"> </w:t>
      </w:r>
      <w:r>
        <w:rPr>
          <w:rFonts w:ascii="Arial" w:hAnsi="Arial" w:cs="Arial"/>
          <w:lang w:val="en-GB"/>
        </w:rPr>
        <w:t>published at a more aggregated level</w:t>
      </w:r>
      <w:r w:rsidR="0086226F" w:rsidRPr="00A412E9">
        <w:rPr>
          <w:rFonts w:ascii="Arial" w:hAnsi="Arial" w:cs="Arial"/>
          <w:lang w:val="en-GB"/>
        </w:rPr>
        <w:t xml:space="preserve"> (82 industries by 88 products or, at least, 38 x 38 industries and products).</w:t>
      </w:r>
    </w:p>
    <w:p w:rsidR="0086226F" w:rsidRPr="00A412E9" w:rsidRDefault="00B41C85" w:rsidP="0086226F">
      <w:pPr>
        <w:pStyle w:val="ListParagraph"/>
        <w:spacing w:before="240" w:line="360" w:lineRule="auto"/>
        <w:jc w:val="both"/>
        <w:rPr>
          <w:rFonts w:ascii="Arial" w:hAnsi="Arial" w:cs="Arial"/>
          <w:lang w:val="en-GB"/>
        </w:rPr>
      </w:pPr>
      <w:r w:rsidRPr="00A412E9">
        <w:rPr>
          <w:rFonts w:ascii="Arial" w:hAnsi="Arial" w:cs="Arial"/>
          <w:lang w:val="en-GB"/>
        </w:rPr>
        <w:t>SUT / QRE have</w:t>
      </w:r>
      <w:r w:rsidR="0086226F" w:rsidRPr="00A412E9">
        <w:rPr>
          <w:rFonts w:ascii="Arial" w:hAnsi="Arial" w:cs="Arial"/>
          <w:lang w:val="en-GB"/>
        </w:rPr>
        <w:t xml:space="preserve"> been developed yearly, both in current and at previous year prices, in simultaneous and in an iterative way, as further described.</w:t>
      </w:r>
    </w:p>
    <w:p w:rsidR="00C01C20" w:rsidRPr="00A412E9" w:rsidRDefault="00B41C85" w:rsidP="0086226F">
      <w:pPr>
        <w:pStyle w:val="ListParagraph"/>
        <w:spacing w:before="240" w:line="360" w:lineRule="auto"/>
        <w:jc w:val="both"/>
        <w:rPr>
          <w:rFonts w:ascii="Arial" w:hAnsi="Arial" w:cs="Arial"/>
          <w:lang w:val="en-GB"/>
        </w:rPr>
      </w:pPr>
      <w:r w:rsidRPr="00A412E9">
        <w:rPr>
          <w:rFonts w:ascii="Arial" w:hAnsi="Arial" w:cs="Arial"/>
          <w:lang w:val="en-GB"/>
        </w:rPr>
        <w:t>Current</w:t>
      </w:r>
      <w:r w:rsidR="00F81C78" w:rsidRPr="00A412E9">
        <w:rPr>
          <w:rFonts w:ascii="Arial" w:hAnsi="Arial" w:cs="Arial"/>
          <w:lang w:val="en-GB"/>
        </w:rPr>
        <w:t>ly,</w:t>
      </w:r>
      <w:r w:rsidRPr="00A412E9">
        <w:rPr>
          <w:rFonts w:ascii="Arial" w:hAnsi="Arial" w:cs="Arial"/>
          <w:lang w:val="en-GB"/>
        </w:rPr>
        <w:t xml:space="preserve"> </w:t>
      </w:r>
      <w:r w:rsidR="00C01C20" w:rsidRPr="00A412E9">
        <w:rPr>
          <w:rFonts w:ascii="Arial" w:hAnsi="Arial" w:cs="Arial"/>
          <w:lang w:val="en-GB"/>
        </w:rPr>
        <w:t xml:space="preserve">European Union (EU) requirements in terms of national accounts pass by the accomplishment of the ESA 95 concepts, principles and the production of comparable and consistent data by the EU countries over time, generally </w:t>
      </w:r>
      <w:r w:rsidR="00FA3332" w:rsidRPr="00A412E9">
        <w:rPr>
          <w:rFonts w:ascii="Arial" w:hAnsi="Arial" w:cs="Arial"/>
          <w:lang w:val="en-GB"/>
        </w:rPr>
        <w:t>since</w:t>
      </w:r>
      <w:r w:rsidR="00C01C20" w:rsidRPr="00A412E9">
        <w:rPr>
          <w:rFonts w:ascii="Arial" w:hAnsi="Arial" w:cs="Arial"/>
          <w:lang w:val="en-GB"/>
        </w:rPr>
        <w:t xml:space="preserve"> 1995, independently of major revisions of methodology occurred meanwhile. </w:t>
      </w:r>
    </w:p>
    <w:p w:rsidR="00C01C20" w:rsidRPr="00A412E9" w:rsidRDefault="0096168F" w:rsidP="0086226F">
      <w:pPr>
        <w:pStyle w:val="ListParagraph"/>
        <w:spacing w:before="240" w:line="360" w:lineRule="auto"/>
        <w:jc w:val="both"/>
        <w:rPr>
          <w:rFonts w:ascii="Arial" w:hAnsi="Arial" w:cs="Arial"/>
          <w:lang w:val="en-GB"/>
        </w:rPr>
      </w:pPr>
      <w:r>
        <w:rPr>
          <w:rFonts w:ascii="Arial" w:hAnsi="Arial" w:cs="Arial"/>
          <w:lang w:val="en-GB"/>
        </w:rPr>
        <w:t>Considering the recommendations of the European Commission about</w:t>
      </w:r>
      <w:r w:rsidR="00C01C20" w:rsidRPr="00A412E9">
        <w:rPr>
          <w:rFonts w:ascii="Arial" w:hAnsi="Arial" w:cs="Arial"/>
          <w:lang w:val="en-GB"/>
        </w:rPr>
        <w:t xml:space="preserve"> the </w:t>
      </w:r>
      <w:r w:rsidR="00BD5715">
        <w:rPr>
          <w:rFonts w:ascii="Arial" w:hAnsi="Arial" w:cs="Arial"/>
          <w:lang w:val="en-GB"/>
        </w:rPr>
        <w:t>use</w:t>
      </w:r>
      <w:r w:rsidR="00C01C20" w:rsidRPr="00A412E9">
        <w:rPr>
          <w:rFonts w:ascii="Arial" w:hAnsi="Arial" w:cs="Arial"/>
          <w:lang w:val="en-GB"/>
        </w:rPr>
        <w:t xml:space="preserve"> of SUT</w:t>
      </w:r>
      <w:r w:rsidR="00BD5715">
        <w:rPr>
          <w:rFonts w:ascii="Arial" w:hAnsi="Arial" w:cs="Arial"/>
          <w:lang w:val="en-GB"/>
        </w:rPr>
        <w:t xml:space="preserve"> for the compilation of National Accounts</w:t>
      </w:r>
      <w:r>
        <w:rPr>
          <w:rFonts w:ascii="Arial" w:hAnsi="Arial" w:cs="Arial"/>
          <w:lang w:val="en-GB"/>
        </w:rPr>
        <w:t>,</w:t>
      </w:r>
      <w:r w:rsidR="00C01C20" w:rsidRPr="00A412E9">
        <w:rPr>
          <w:rFonts w:ascii="Arial" w:hAnsi="Arial" w:cs="Arial"/>
          <w:lang w:val="en-GB"/>
        </w:rPr>
        <w:t xml:space="preserve"> SUT / QRE have been fully used and updated </w:t>
      </w:r>
      <w:r w:rsidR="00FA3332" w:rsidRPr="00A412E9">
        <w:rPr>
          <w:rFonts w:ascii="Arial" w:hAnsi="Arial" w:cs="Arial"/>
          <w:lang w:val="en-GB"/>
        </w:rPr>
        <w:t>in the “re-construction” of series, including the</w:t>
      </w:r>
      <w:r w:rsidR="00C01C20" w:rsidRPr="00A412E9">
        <w:rPr>
          <w:rFonts w:ascii="Arial" w:hAnsi="Arial" w:cs="Arial"/>
          <w:lang w:val="en-GB"/>
        </w:rPr>
        <w:t xml:space="preserve"> redress and </w:t>
      </w:r>
      <w:r w:rsidR="008F6DA3">
        <w:rPr>
          <w:rFonts w:ascii="Arial" w:hAnsi="Arial" w:cs="Arial"/>
          <w:lang w:val="en-GB"/>
        </w:rPr>
        <w:t>balancing and benchmarking</w:t>
      </w:r>
      <w:r w:rsidR="00C01C20" w:rsidRPr="00A412E9">
        <w:rPr>
          <w:rFonts w:ascii="Arial" w:hAnsi="Arial" w:cs="Arial"/>
          <w:lang w:val="en-GB"/>
        </w:rPr>
        <w:t xml:space="preserve"> procedures </w:t>
      </w:r>
      <w:r w:rsidR="00F75913">
        <w:rPr>
          <w:rFonts w:ascii="Arial" w:hAnsi="Arial" w:cs="Arial"/>
          <w:lang w:val="en-GB"/>
        </w:rPr>
        <w:t>as well as</w:t>
      </w:r>
      <w:r w:rsidR="00427DBF" w:rsidRPr="00A412E9">
        <w:rPr>
          <w:rFonts w:ascii="Arial" w:hAnsi="Arial" w:cs="Arial"/>
          <w:lang w:val="en-GB"/>
        </w:rPr>
        <w:t xml:space="preserve"> </w:t>
      </w:r>
      <w:r w:rsidR="00FA3332" w:rsidRPr="00A412E9">
        <w:rPr>
          <w:rFonts w:ascii="Arial" w:hAnsi="Arial" w:cs="Arial"/>
          <w:lang w:val="en-GB"/>
        </w:rPr>
        <w:t>the updating</w:t>
      </w:r>
      <w:r w:rsidR="00873792" w:rsidRPr="00A412E9">
        <w:rPr>
          <w:rFonts w:ascii="Arial" w:hAnsi="Arial" w:cs="Arial"/>
          <w:lang w:val="en-GB"/>
        </w:rPr>
        <w:t xml:space="preserve"> </w:t>
      </w:r>
      <w:r w:rsidR="00C01C20" w:rsidRPr="00A412E9">
        <w:rPr>
          <w:rFonts w:ascii="Arial" w:hAnsi="Arial" w:cs="Arial"/>
          <w:lang w:val="en-GB"/>
        </w:rPr>
        <w:t xml:space="preserve">of the </w:t>
      </w:r>
      <w:r w:rsidR="00873792" w:rsidRPr="00A412E9">
        <w:rPr>
          <w:rFonts w:ascii="Arial" w:hAnsi="Arial" w:cs="Arial"/>
          <w:lang w:val="en-GB"/>
        </w:rPr>
        <w:t xml:space="preserve">main </w:t>
      </w:r>
      <w:r w:rsidR="00FA3332" w:rsidRPr="00A412E9">
        <w:rPr>
          <w:rFonts w:ascii="Arial" w:hAnsi="Arial" w:cs="Arial"/>
          <w:lang w:val="en-GB"/>
        </w:rPr>
        <w:t>aggregates</w:t>
      </w:r>
      <w:r w:rsidR="00873792" w:rsidRPr="00A412E9">
        <w:rPr>
          <w:rFonts w:ascii="Arial" w:hAnsi="Arial" w:cs="Arial"/>
          <w:lang w:val="en-GB"/>
        </w:rPr>
        <w:t xml:space="preserve"> of</w:t>
      </w:r>
      <w:r w:rsidR="00C01C20" w:rsidRPr="00A412E9">
        <w:rPr>
          <w:rFonts w:ascii="Arial" w:hAnsi="Arial" w:cs="Arial"/>
          <w:lang w:val="en-GB"/>
        </w:rPr>
        <w:t xml:space="preserve"> the Portuguese NA</w:t>
      </w:r>
      <w:r w:rsidR="000C5579" w:rsidRPr="00A412E9">
        <w:rPr>
          <w:rFonts w:ascii="Arial" w:hAnsi="Arial" w:cs="Arial"/>
          <w:lang w:val="en-GB"/>
        </w:rPr>
        <w:t xml:space="preserve"> there derived</w:t>
      </w:r>
      <w:r w:rsidR="00C01C20" w:rsidRPr="00A412E9">
        <w:rPr>
          <w:rFonts w:ascii="Arial" w:hAnsi="Arial" w:cs="Arial"/>
          <w:lang w:val="en-GB"/>
        </w:rPr>
        <w:t>.</w:t>
      </w:r>
    </w:p>
    <w:p w:rsidR="00422FF9" w:rsidRPr="00A412E9" w:rsidRDefault="00B340A8" w:rsidP="00422FF9">
      <w:pPr>
        <w:pStyle w:val="ListParagraph"/>
        <w:spacing w:before="240" w:line="360" w:lineRule="auto"/>
        <w:jc w:val="both"/>
        <w:rPr>
          <w:rFonts w:ascii="Arial" w:hAnsi="Arial" w:cs="Arial"/>
          <w:lang w:val="en-GB"/>
        </w:rPr>
      </w:pPr>
      <w:r w:rsidRPr="00A412E9">
        <w:rPr>
          <w:rFonts w:ascii="Arial" w:hAnsi="Arial" w:cs="Arial"/>
          <w:lang w:val="en-GB"/>
        </w:rPr>
        <w:t xml:space="preserve">Therefore, </w:t>
      </w:r>
      <w:r w:rsidR="00422FF9" w:rsidRPr="00A412E9">
        <w:rPr>
          <w:rFonts w:ascii="Arial" w:hAnsi="Arial" w:cs="Arial"/>
          <w:lang w:val="en-GB"/>
        </w:rPr>
        <w:t xml:space="preserve">QRE performs simultaneously the role of intermediate instrument of </w:t>
      </w:r>
      <w:r w:rsidR="00427DBF" w:rsidRPr="00A412E9">
        <w:rPr>
          <w:rFonts w:ascii="Arial" w:hAnsi="Arial" w:cs="Arial"/>
          <w:lang w:val="en-GB"/>
        </w:rPr>
        <w:t xml:space="preserve">compilation and </w:t>
      </w:r>
      <w:r w:rsidR="00422FF9" w:rsidRPr="00A412E9">
        <w:rPr>
          <w:rFonts w:ascii="Arial" w:hAnsi="Arial" w:cs="Arial"/>
          <w:lang w:val="en-GB"/>
        </w:rPr>
        <w:t>accounting and</w:t>
      </w:r>
      <w:r w:rsidR="00427DBF" w:rsidRPr="00A412E9">
        <w:rPr>
          <w:rFonts w:ascii="Arial" w:hAnsi="Arial" w:cs="Arial"/>
          <w:lang w:val="en-GB"/>
        </w:rPr>
        <w:t>, also,</w:t>
      </w:r>
      <w:r w:rsidR="002E624E" w:rsidRPr="00A412E9">
        <w:rPr>
          <w:rFonts w:ascii="Arial" w:hAnsi="Arial" w:cs="Arial"/>
          <w:lang w:val="en-GB"/>
        </w:rPr>
        <w:t xml:space="preserve"> </w:t>
      </w:r>
      <w:r w:rsidR="00422FF9" w:rsidRPr="00A412E9">
        <w:rPr>
          <w:rFonts w:ascii="Arial" w:hAnsi="Arial" w:cs="Arial"/>
          <w:lang w:val="en-GB"/>
        </w:rPr>
        <w:t xml:space="preserve">of output of the concerned accounts, being used previously and after </w:t>
      </w:r>
      <w:r w:rsidR="008F6DA3">
        <w:rPr>
          <w:rFonts w:ascii="Arial" w:hAnsi="Arial" w:cs="Arial"/>
          <w:lang w:val="en-GB"/>
        </w:rPr>
        <w:t>balancing and benchmarking</w:t>
      </w:r>
      <w:r w:rsidR="00422FF9" w:rsidRPr="00A412E9">
        <w:rPr>
          <w:rFonts w:ascii="Arial" w:hAnsi="Arial" w:cs="Arial"/>
          <w:lang w:val="en-GB"/>
        </w:rPr>
        <w:t xml:space="preserve"> all the information there included. As so, </w:t>
      </w:r>
      <w:r w:rsidR="00C5089E" w:rsidRPr="00A412E9">
        <w:rPr>
          <w:rFonts w:ascii="Arial" w:hAnsi="Arial" w:cs="Arial"/>
          <w:lang w:val="en-GB"/>
        </w:rPr>
        <w:t xml:space="preserve">SUT / </w:t>
      </w:r>
      <w:r w:rsidR="00422FF9" w:rsidRPr="00A412E9">
        <w:rPr>
          <w:rFonts w:ascii="Arial" w:hAnsi="Arial" w:cs="Arial"/>
          <w:lang w:val="en-GB"/>
        </w:rPr>
        <w:t xml:space="preserve">QRE </w:t>
      </w:r>
      <w:proofErr w:type="gramStart"/>
      <w:r w:rsidR="00422FF9" w:rsidRPr="00A412E9">
        <w:rPr>
          <w:rFonts w:ascii="Arial" w:hAnsi="Arial" w:cs="Arial"/>
          <w:lang w:val="en-GB"/>
        </w:rPr>
        <w:t>is</w:t>
      </w:r>
      <w:proofErr w:type="gramEnd"/>
      <w:r w:rsidR="00422FF9" w:rsidRPr="00A412E9">
        <w:rPr>
          <w:rFonts w:ascii="Arial" w:hAnsi="Arial" w:cs="Arial"/>
          <w:lang w:val="en-GB"/>
        </w:rPr>
        <w:t xml:space="preserve"> one of the fundamental instrument in the compilation as well as output in the Portuguese NA system.</w:t>
      </w:r>
    </w:p>
    <w:p w:rsidR="00815D1F" w:rsidRDefault="00C01C20" w:rsidP="0086226F">
      <w:pPr>
        <w:pStyle w:val="ListParagraph"/>
        <w:spacing w:before="240" w:line="360" w:lineRule="auto"/>
        <w:rPr>
          <w:rFonts w:ascii="Arial" w:hAnsi="Arial" w:cs="Arial"/>
          <w:lang w:val="en-GB"/>
        </w:rPr>
      </w:pPr>
      <w:r w:rsidRPr="00A412E9">
        <w:rPr>
          <w:rFonts w:ascii="Arial" w:hAnsi="Arial" w:cs="Arial"/>
          <w:lang w:val="en-GB"/>
        </w:rPr>
        <w:t xml:space="preserve">By the upper exposed, QRE is a SUT that is fully integrated in the Portuguese NA. </w:t>
      </w:r>
    </w:p>
    <w:p w:rsidR="00C01C20" w:rsidRPr="00A412E9" w:rsidRDefault="00C01C20" w:rsidP="0086226F">
      <w:pPr>
        <w:pStyle w:val="ListParagraph"/>
        <w:spacing w:before="240" w:line="360" w:lineRule="auto"/>
        <w:rPr>
          <w:rFonts w:ascii="Arial" w:hAnsi="Arial" w:cs="Arial"/>
          <w:lang w:val="en-GB"/>
        </w:rPr>
      </w:pPr>
      <w:r w:rsidRPr="00A412E9">
        <w:rPr>
          <w:rFonts w:ascii="Arial" w:hAnsi="Arial" w:cs="Arial"/>
          <w:lang w:val="en-GB"/>
        </w:rPr>
        <w:lastRenderedPageBreak/>
        <w:t>Why this and how far? Let us explain it in the following points.</w:t>
      </w:r>
    </w:p>
    <w:p w:rsidR="002A6E4A" w:rsidRPr="00A412E9" w:rsidRDefault="002A6E4A" w:rsidP="0086226F">
      <w:pPr>
        <w:pStyle w:val="ListParagraph"/>
        <w:spacing w:before="240" w:line="360" w:lineRule="auto"/>
        <w:rPr>
          <w:rFonts w:ascii="Arial" w:hAnsi="Arial" w:cs="Arial"/>
          <w:lang w:val="en-GB"/>
        </w:rPr>
      </w:pPr>
    </w:p>
    <w:p w:rsidR="00542867" w:rsidRPr="00A412E9" w:rsidRDefault="00873792" w:rsidP="00542867">
      <w:pPr>
        <w:pStyle w:val="ListParagraph"/>
        <w:numPr>
          <w:ilvl w:val="0"/>
          <w:numId w:val="2"/>
        </w:numPr>
        <w:spacing w:line="360" w:lineRule="auto"/>
        <w:rPr>
          <w:rFonts w:ascii="Arial" w:hAnsi="Arial" w:cs="Arial"/>
          <w:lang w:val="en-GB"/>
        </w:rPr>
      </w:pPr>
      <w:r w:rsidRPr="00A412E9">
        <w:rPr>
          <w:rFonts w:ascii="Arial" w:hAnsi="Arial" w:cs="Arial"/>
          <w:lang w:val="en-GB"/>
        </w:rPr>
        <w:t>SUT (QRE) - brief</w:t>
      </w:r>
      <w:r w:rsidR="00B41C85" w:rsidRPr="00A412E9">
        <w:rPr>
          <w:rFonts w:ascii="Arial" w:hAnsi="Arial" w:cs="Arial"/>
          <w:lang w:val="en-GB"/>
        </w:rPr>
        <w:t xml:space="preserve"> description</w:t>
      </w:r>
    </w:p>
    <w:p w:rsidR="000020C3" w:rsidRPr="00A412E9" w:rsidRDefault="00633294" w:rsidP="00C01C20">
      <w:pPr>
        <w:pStyle w:val="ListParagraph"/>
        <w:spacing w:line="360" w:lineRule="auto"/>
        <w:jc w:val="both"/>
        <w:rPr>
          <w:rFonts w:ascii="Arial" w:hAnsi="Arial" w:cs="Arial"/>
          <w:lang w:val="en-GB"/>
        </w:rPr>
      </w:pPr>
      <w:r w:rsidRPr="00A412E9">
        <w:rPr>
          <w:rFonts w:ascii="Arial" w:hAnsi="Arial" w:cs="Arial"/>
          <w:lang w:val="en-GB"/>
        </w:rPr>
        <w:t>SUT (QRE) consists of</w:t>
      </w:r>
      <w:r w:rsidR="000020C3" w:rsidRPr="00A412E9">
        <w:rPr>
          <w:rFonts w:ascii="Arial" w:hAnsi="Arial" w:cs="Arial"/>
          <w:lang w:val="en-GB"/>
        </w:rPr>
        <w:t xml:space="preserve"> a </w:t>
      </w:r>
      <w:r w:rsidR="00963412" w:rsidRPr="00A412E9">
        <w:rPr>
          <w:rFonts w:ascii="Arial" w:hAnsi="Arial" w:cs="Arial"/>
          <w:lang w:val="en-GB"/>
        </w:rPr>
        <w:t xml:space="preserve">non-symmetrical </w:t>
      </w:r>
      <w:r w:rsidR="000020C3" w:rsidRPr="00A412E9">
        <w:rPr>
          <w:rFonts w:ascii="Arial" w:hAnsi="Arial" w:cs="Arial"/>
          <w:lang w:val="en-GB"/>
        </w:rPr>
        <w:t xml:space="preserve">accounting framework, based on the ESA 95 Input-output system and fully consistent with its concepts, classifications and principles, which combine, namely: two main tables - supply and use tables; </w:t>
      </w:r>
      <w:r w:rsidR="00AC4A7F" w:rsidRPr="00A412E9">
        <w:rPr>
          <w:rFonts w:ascii="Arial" w:hAnsi="Arial" w:cs="Arial"/>
          <w:lang w:val="en-GB"/>
        </w:rPr>
        <w:t>two main groups</w:t>
      </w:r>
      <w:r w:rsidR="00963412" w:rsidRPr="00A412E9">
        <w:rPr>
          <w:rFonts w:ascii="Arial" w:hAnsi="Arial" w:cs="Arial"/>
          <w:lang w:val="en-GB"/>
        </w:rPr>
        <w:t xml:space="preserve"> (classifications)</w:t>
      </w:r>
      <w:r w:rsidR="00AC4A7F" w:rsidRPr="00A412E9">
        <w:rPr>
          <w:rFonts w:ascii="Arial" w:hAnsi="Arial" w:cs="Arial"/>
          <w:lang w:val="en-GB"/>
        </w:rPr>
        <w:t xml:space="preserve"> of basic elements - products and industries; </w:t>
      </w:r>
      <w:r w:rsidR="00AF7E33" w:rsidRPr="00A412E9">
        <w:rPr>
          <w:rFonts w:ascii="Arial" w:hAnsi="Arial" w:cs="Arial"/>
          <w:lang w:val="en-GB"/>
        </w:rPr>
        <w:t>the whole transactions i</w:t>
      </w:r>
      <w:r w:rsidR="00530EAD" w:rsidRPr="00A412E9">
        <w:rPr>
          <w:rFonts w:ascii="Arial" w:hAnsi="Arial" w:cs="Arial"/>
          <w:lang w:val="en-GB"/>
        </w:rPr>
        <w:t>n products</w:t>
      </w:r>
      <w:r w:rsidR="00963412" w:rsidRPr="00A412E9">
        <w:rPr>
          <w:rFonts w:ascii="Arial" w:hAnsi="Arial" w:cs="Arial"/>
          <w:lang w:val="en-GB"/>
        </w:rPr>
        <w:t xml:space="preserve"> that make part of</w:t>
      </w:r>
      <w:r w:rsidR="00AC4A7F" w:rsidRPr="00A412E9">
        <w:rPr>
          <w:rFonts w:ascii="Arial" w:hAnsi="Arial" w:cs="Arial"/>
          <w:lang w:val="en-GB"/>
        </w:rPr>
        <w:t xml:space="preserve"> the production account o</w:t>
      </w:r>
      <w:r w:rsidR="00963412" w:rsidRPr="00A412E9">
        <w:rPr>
          <w:rFonts w:ascii="Arial" w:hAnsi="Arial" w:cs="Arial"/>
          <w:lang w:val="en-GB"/>
        </w:rPr>
        <w:t>r the goods and services account</w:t>
      </w:r>
      <w:r w:rsidR="00AC4A7F" w:rsidRPr="00A412E9">
        <w:rPr>
          <w:rFonts w:ascii="Arial" w:hAnsi="Arial" w:cs="Arial"/>
          <w:lang w:val="en-GB"/>
        </w:rPr>
        <w:t xml:space="preserve"> plus the </w:t>
      </w:r>
      <w:r w:rsidR="00AF7E33" w:rsidRPr="00A412E9">
        <w:rPr>
          <w:rFonts w:ascii="Arial" w:hAnsi="Arial" w:cs="Arial"/>
          <w:lang w:val="en-GB"/>
        </w:rPr>
        <w:t>distributive</w:t>
      </w:r>
      <w:r w:rsidR="00EC5969" w:rsidRPr="00A412E9">
        <w:rPr>
          <w:rFonts w:ascii="Arial" w:hAnsi="Arial" w:cs="Arial"/>
          <w:lang w:val="en-GB"/>
        </w:rPr>
        <w:t xml:space="preserve"> transactions </w:t>
      </w:r>
      <w:r w:rsidR="00650B0E" w:rsidRPr="00A412E9">
        <w:rPr>
          <w:rFonts w:ascii="Arial" w:hAnsi="Arial" w:cs="Arial"/>
          <w:lang w:val="en-GB"/>
        </w:rPr>
        <w:t>related to</w:t>
      </w:r>
      <w:r w:rsidR="00963412" w:rsidRPr="00A412E9">
        <w:rPr>
          <w:rFonts w:ascii="Arial" w:hAnsi="Arial" w:cs="Arial"/>
          <w:lang w:val="en-GB"/>
        </w:rPr>
        <w:t xml:space="preserve"> the </w:t>
      </w:r>
      <w:r w:rsidR="00AC4A7F" w:rsidRPr="00A412E9">
        <w:rPr>
          <w:rFonts w:ascii="Arial" w:hAnsi="Arial" w:cs="Arial"/>
          <w:lang w:val="en-GB"/>
        </w:rPr>
        <w:t>ge</w:t>
      </w:r>
      <w:r w:rsidR="00963412" w:rsidRPr="00A412E9">
        <w:rPr>
          <w:rFonts w:ascii="Arial" w:hAnsi="Arial" w:cs="Arial"/>
          <w:lang w:val="en-GB"/>
        </w:rPr>
        <w:t xml:space="preserve">neration account </w:t>
      </w:r>
      <w:r w:rsidR="00AF7E33" w:rsidRPr="00A412E9">
        <w:rPr>
          <w:rFonts w:ascii="Arial" w:hAnsi="Arial" w:cs="Arial"/>
          <w:lang w:val="en-GB"/>
        </w:rPr>
        <w:t xml:space="preserve">of the industries </w:t>
      </w:r>
      <w:r w:rsidR="00EC5969" w:rsidRPr="00A412E9">
        <w:rPr>
          <w:rFonts w:ascii="Arial" w:hAnsi="Arial" w:cs="Arial"/>
          <w:lang w:val="en-GB"/>
        </w:rPr>
        <w:t xml:space="preserve">or </w:t>
      </w:r>
      <w:r w:rsidR="00963412" w:rsidRPr="00A412E9">
        <w:rPr>
          <w:rFonts w:ascii="Arial" w:hAnsi="Arial" w:cs="Arial"/>
          <w:lang w:val="en-GB"/>
        </w:rPr>
        <w:t>concerning the</w:t>
      </w:r>
      <w:r w:rsidR="00EC5969" w:rsidRPr="00A412E9">
        <w:rPr>
          <w:rFonts w:ascii="Arial" w:hAnsi="Arial" w:cs="Arial"/>
          <w:lang w:val="en-GB"/>
        </w:rPr>
        <w:t xml:space="preserve"> valuation of the supply </w:t>
      </w:r>
      <w:r w:rsidR="00A162FE" w:rsidRPr="00A412E9">
        <w:rPr>
          <w:rFonts w:ascii="Arial" w:hAnsi="Arial" w:cs="Arial"/>
          <w:lang w:val="en-GB"/>
        </w:rPr>
        <w:t xml:space="preserve">of goods and services </w:t>
      </w:r>
      <w:r w:rsidR="00F81C78" w:rsidRPr="00A412E9">
        <w:rPr>
          <w:rFonts w:ascii="Arial" w:hAnsi="Arial" w:cs="Arial"/>
          <w:lang w:val="en-GB"/>
        </w:rPr>
        <w:t>in coherence</w:t>
      </w:r>
      <w:r w:rsidR="00EC5969" w:rsidRPr="00A412E9">
        <w:rPr>
          <w:rFonts w:ascii="Arial" w:hAnsi="Arial" w:cs="Arial"/>
          <w:lang w:val="en-GB"/>
        </w:rPr>
        <w:t xml:space="preserve"> with the</w:t>
      </w:r>
      <w:r w:rsidR="00A162FE" w:rsidRPr="00A412E9">
        <w:rPr>
          <w:rFonts w:ascii="Arial" w:hAnsi="Arial" w:cs="Arial"/>
          <w:lang w:val="en-GB"/>
        </w:rPr>
        <w:t>ir</w:t>
      </w:r>
      <w:r w:rsidR="00EC5969" w:rsidRPr="00A412E9">
        <w:rPr>
          <w:rFonts w:ascii="Arial" w:hAnsi="Arial" w:cs="Arial"/>
          <w:lang w:val="en-GB"/>
        </w:rPr>
        <w:t xml:space="preserve"> uses</w:t>
      </w:r>
      <w:r w:rsidR="00FB78E7" w:rsidRPr="00A412E9">
        <w:rPr>
          <w:rFonts w:ascii="Arial" w:hAnsi="Arial" w:cs="Arial"/>
          <w:lang w:val="en-GB"/>
        </w:rPr>
        <w:t xml:space="preserve">; totals and </w:t>
      </w:r>
      <w:r w:rsidR="008F6DA3">
        <w:rPr>
          <w:rFonts w:ascii="Arial" w:hAnsi="Arial" w:cs="Arial"/>
          <w:lang w:val="en-GB"/>
        </w:rPr>
        <w:t>balancing</w:t>
      </w:r>
      <w:r w:rsidR="00FB78E7" w:rsidRPr="00A412E9">
        <w:rPr>
          <w:rFonts w:ascii="Arial" w:hAnsi="Arial" w:cs="Arial"/>
          <w:lang w:val="en-GB"/>
        </w:rPr>
        <w:t xml:space="preserve"> items that represent important aggregates of the concerned economy</w:t>
      </w:r>
      <w:r w:rsidR="002272DB" w:rsidRPr="00A412E9">
        <w:rPr>
          <w:rFonts w:ascii="Arial" w:hAnsi="Arial" w:cs="Arial"/>
          <w:lang w:val="en-GB"/>
        </w:rPr>
        <w:t xml:space="preserve"> in a certain period of time</w:t>
      </w:r>
      <w:r w:rsidR="00FB78E7" w:rsidRPr="00A412E9">
        <w:rPr>
          <w:rFonts w:ascii="Arial" w:hAnsi="Arial" w:cs="Arial"/>
          <w:lang w:val="en-GB"/>
        </w:rPr>
        <w:t>.</w:t>
      </w:r>
    </w:p>
    <w:p w:rsidR="002272DB" w:rsidRPr="00A412E9" w:rsidRDefault="000020C3" w:rsidP="002272DB">
      <w:pPr>
        <w:pStyle w:val="ListParagraph"/>
        <w:spacing w:line="360" w:lineRule="auto"/>
        <w:jc w:val="both"/>
        <w:rPr>
          <w:rFonts w:ascii="Arial" w:hAnsi="Arial" w:cs="Arial"/>
          <w:lang w:val="en-GB"/>
        </w:rPr>
      </w:pPr>
      <w:r w:rsidRPr="00A412E9">
        <w:rPr>
          <w:rFonts w:ascii="Arial" w:hAnsi="Arial" w:cs="Arial"/>
          <w:lang w:val="en-GB"/>
        </w:rPr>
        <w:t xml:space="preserve"> </w:t>
      </w:r>
    </w:p>
    <w:p w:rsidR="00581A96" w:rsidRPr="00D45CEF" w:rsidRDefault="00633294" w:rsidP="002272DB">
      <w:pPr>
        <w:pStyle w:val="ListParagraph"/>
        <w:spacing w:line="360" w:lineRule="auto"/>
        <w:jc w:val="both"/>
        <w:rPr>
          <w:rFonts w:ascii="Arial" w:hAnsi="Arial" w:cs="Arial"/>
          <w:b/>
          <w:sz w:val="18"/>
          <w:szCs w:val="18"/>
          <w:lang w:val="en-GB"/>
        </w:rPr>
      </w:pPr>
      <w:r w:rsidRPr="00A412E9">
        <w:rPr>
          <w:rFonts w:ascii="Arial" w:hAnsi="Arial" w:cs="Arial"/>
          <w:lang w:val="en-GB"/>
        </w:rPr>
        <w:t xml:space="preserve">                </w:t>
      </w:r>
      <w:r w:rsidR="00B81A1E" w:rsidRPr="00B81A1E">
        <w:rPr>
          <w:rFonts w:ascii="Arial" w:hAnsi="Arial" w:cs="Arial"/>
          <w:b/>
          <w:sz w:val="18"/>
          <w:szCs w:val="18"/>
          <w:lang w:val="en-GB"/>
        </w:rPr>
        <w:t>Figure 1   Supply and Use Table (QRE), simplified</w:t>
      </w:r>
    </w:p>
    <w:p w:rsidR="00581A96" w:rsidRPr="00A412E9" w:rsidRDefault="00E37CEE" w:rsidP="00581A96">
      <w:pPr>
        <w:rPr>
          <w:rFonts w:ascii="Arial" w:hAnsi="Arial" w:cs="Arial"/>
          <w:lang w:val="en-GB"/>
        </w:rPr>
      </w:pPr>
      <w:r w:rsidRPr="00A412E9">
        <w:rPr>
          <w:rFonts w:ascii="Arial" w:hAnsi="Arial" w:cs="Arial"/>
          <w:noProof/>
          <w:lang w:eastAsia="pt-PT"/>
        </w:rPr>
        <w:drawing>
          <wp:inline distT="0" distB="0" distL="0" distR="0">
            <wp:extent cx="5400040" cy="45981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400040" cy="4598127"/>
                    </a:xfrm>
                    <a:prstGeom prst="rect">
                      <a:avLst/>
                    </a:prstGeom>
                    <a:noFill/>
                    <a:ln w="9525">
                      <a:noFill/>
                      <a:miter lim="800000"/>
                      <a:headEnd/>
                      <a:tailEnd/>
                    </a:ln>
                  </pic:spPr>
                </pic:pic>
              </a:graphicData>
            </a:graphic>
          </wp:inline>
        </w:drawing>
      </w:r>
    </w:p>
    <w:p w:rsidR="00FF2E19" w:rsidRDefault="00B81A1E">
      <w:pPr>
        <w:spacing w:line="360" w:lineRule="auto"/>
        <w:jc w:val="both"/>
        <w:rPr>
          <w:rFonts w:ascii="Arial" w:hAnsi="Arial" w:cs="Arial"/>
          <w:lang w:val="en-GB"/>
        </w:rPr>
      </w:pPr>
      <w:r w:rsidRPr="00B81A1E">
        <w:rPr>
          <w:rFonts w:ascii="Arial" w:hAnsi="Arial" w:cs="Arial"/>
          <w:lang w:val="en-GB"/>
        </w:rPr>
        <w:t xml:space="preserve">Figure 1 illustrates, in a simplified form, the SUT (QRE). </w:t>
      </w:r>
    </w:p>
    <w:p w:rsidR="0055269F" w:rsidRPr="00A412E9" w:rsidRDefault="0010477B" w:rsidP="00C01C20">
      <w:pPr>
        <w:pStyle w:val="ListParagraph"/>
        <w:spacing w:line="360" w:lineRule="auto"/>
        <w:jc w:val="both"/>
        <w:rPr>
          <w:rFonts w:ascii="Arial" w:hAnsi="Arial" w:cs="Arial"/>
          <w:lang w:val="en-GB"/>
        </w:rPr>
      </w:pPr>
      <w:r w:rsidRPr="00A412E9">
        <w:rPr>
          <w:rFonts w:ascii="Arial" w:hAnsi="Arial" w:cs="Arial"/>
          <w:lang w:val="en-GB"/>
        </w:rPr>
        <w:lastRenderedPageBreak/>
        <w:t xml:space="preserve">Using this short representation, other features of this framework may be mentioned, </w:t>
      </w:r>
      <w:r w:rsidR="006A1844">
        <w:rPr>
          <w:rFonts w:ascii="Arial" w:hAnsi="Arial" w:cs="Arial"/>
          <w:lang w:val="en-GB"/>
        </w:rPr>
        <w:t>namely</w:t>
      </w:r>
      <w:r w:rsidRPr="00A412E9">
        <w:rPr>
          <w:rFonts w:ascii="Arial" w:hAnsi="Arial" w:cs="Arial"/>
          <w:lang w:val="en-GB"/>
        </w:rPr>
        <w:t>:</w:t>
      </w:r>
    </w:p>
    <w:p w:rsidR="0010477B" w:rsidRPr="00A412E9" w:rsidRDefault="0010477B" w:rsidP="0010477B">
      <w:pPr>
        <w:pStyle w:val="ListParagraph"/>
        <w:numPr>
          <w:ilvl w:val="0"/>
          <w:numId w:val="6"/>
        </w:numPr>
        <w:spacing w:line="360" w:lineRule="auto"/>
        <w:jc w:val="both"/>
        <w:rPr>
          <w:rFonts w:ascii="Arial" w:hAnsi="Arial" w:cs="Arial"/>
          <w:lang w:val="en-GB"/>
        </w:rPr>
      </w:pPr>
      <w:r w:rsidRPr="00A412E9">
        <w:rPr>
          <w:rFonts w:ascii="Arial" w:hAnsi="Arial" w:cs="Arial"/>
          <w:lang w:val="en-GB"/>
        </w:rPr>
        <w:t>Supply Table:</w:t>
      </w:r>
      <w:r w:rsidR="004E10F3" w:rsidRPr="00A412E9">
        <w:rPr>
          <w:rFonts w:ascii="Arial" w:hAnsi="Arial" w:cs="Arial"/>
          <w:lang w:val="en-GB"/>
        </w:rPr>
        <w:t xml:space="preserve"> </w:t>
      </w:r>
      <w:r w:rsidR="001D7F33" w:rsidRPr="00A412E9">
        <w:rPr>
          <w:rFonts w:ascii="Arial" w:hAnsi="Arial" w:cs="Arial"/>
          <w:lang w:val="en-GB"/>
        </w:rPr>
        <w:t xml:space="preserve">Supply table </w:t>
      </w:r>
      <w:r w:rsidR="006D5ACE" w:rsidRPr="00A412E9">
        <w:rPr>
          <w:rFonts w:ascii="Arial" w:hAnsi="Arial" w:cs="Arial"/>
          <w:lang w:val="en-GB"/>
        </w:rPr>
        <w:t xml:space="preserve">shows the domestic </w:t>
      </w:r>
      <w:r w:rsidR="00BE5269" w:rsidRPr="00A412E9">
        <w:rPr>
          <w:rFonts w:ascii="Arial" w:hAnsi="Arial" w:cs="Arial"/>
          <w:lang w:val="en-GB"/>
        </w:rPr>
        <w:t xml:space="preserve">supply </w:t>
      </w:r>
      <w:r w:rsidR="006D5ACE" w:rsidRPr="00A412E9">
        <w:rPr>
          <w:rFonts w:ascii="Arial" w:hAnsi="Arial" w:cs="Arial"/>
          <w:lang w:val="en-GB"/>
        </w:rPr>
        <w:t xml:space="preserve">(output of industries, 127) and </w:t>
      </w:r>
      <w:r w:rsidR="00BE5269" w:rsidRPr="00A412E9">
        <w:rPr>
          <w:rFonts w:ascii="Arial" w:hAnsi="Arial" w:cs="Arial"/>
          <w:lang w:val="en-GB"/>
        </w:rPr>
        <w:t xml:space="preserve">the resources </w:t>
      </w:r>
      <w:r w:rsidR="006D5ACE" w:rsidRPr="00A412E9">
        <w:rPr>
          <w:rFonts w:ascii="Arial" w:hAnsi="Arial" w:cs="Arial"/>
          <w:lang w:val="en-GB"/>
        </w:rPr>
        <w:t>from the rest of the world (imports</w:t>
      </w:r>
      <w:r w:rsidR="00B41990" w:rsidRPr="00A412E9">
        <w:rPr>
          <w:rFonts w:ascii="Arial" w:hAnsi="Arial" w:cs="Arial"/>
          <w:lang w:val="en-GB"/>
        </w:rPr>
        <w:t>, of goods and of services</w:t>
      </w:r>
      <w:r w:rsidR="006D5ACE" w:rsidRPr="00A412E9">
        <w:rPr>
          <w:rFonts w:ascii="Arial" w:hAnsi="Arial" w:cs="Arial"/>
          <w:lang w:val="en-GB"/>
        </w:rPr>
        <w:t>) by products (433) valuated, respectively, at basic prices and CIF value, more the valuation items adding to the precedent resources</w:t>
      </w:r>
      <w:r w:rsidR="00630E5F" w:rsidRPr="00A412E9">
        <w:rPr>
          <w:rFonts w:ascii="Arial" w:hAnsi="Arial" w:cs="Arial"/>
          <w:lang w:val="en-GB"/>
        </w:rPr>
        <w:t>, in a detailed form:</w:t>
      </w:r>
      <w:r w:rsidR="006D5ACE" w:rsidRPr="00A412E9">
        <w:rPr>
          <w:rFonts w:ascii="Arial" w:hAnsi="Arial" w:cs="Arial"/>
          <w:lang w:val="en-GB"/>
        </w:rPr>
        <w:t xml:space="preserve"> trade margin, transport margin, non-deductible VAT on products, other taxes on products and subsidies on products (negative signal);</w:t>
      </w:r>
    </w:p>
    <w:p w:rsidR="0010477B" w:rsidRPr="00A412E9" w:rsidRDefault="0010477B" w:rsidP="0010477B">
      <w:pPr>
        <w:pStyle w:val="ListParagraph"/>
        <w:numPr>
          <w:ilvl w:val="0"/>
          <w:numId w:val="6"/>
        </w:numPr>
        <w:spacing w:line="360" w:lineRule="auto"/>
        <w:jc w:val="both"/>
        <w:rPr>
          <w:rFonts w:ascii="Arial" w:hAnsi="Arial" w:cs="Arial"/>
          <w:lang w:val="en-GB"/>
        </w:rPr>
      </w:pPr>
      <w:r w:rsidRPr="00A412E9">
        <w:rPr>
          <w:rFonts w:ascii="Arial" w:hAnsi="Arial" w:cs="Arial"/>
          <w:lang w:val="en-GB"/>
        </w:rPr>
        <w:t>Use Table:</w:t>
      </w:r>
      <w:r w:rsidR="00630E5F" w:rsidRPr="00A412E9">
        <w:rPr>
          <w:rFonts w:ascii="Arial" w:hAnsi="Arial" w:cs="Arial"/>
          <w:lang w:val="en-GB"/>
        </w:rPr>
        <w:t xml:space="preserve"> Use tab</w:t>
      </w:r>
      <w:r w:rsidR="000330B3" w:rsidRPr="00A412E9">
        <w:rPr>
          <w:rFonts w:ascii="Arial" w:hAnsi="Arial" w:cs="Arial"/>
          <w:lang w:val="en-GB"/>
        </w:rPr>
        <w:t>le presents the full uses by</w:t>
      </w:r>
      <w:r w:rsidR="001440FD" w:rsidRPr="00A412E9">
        <w:rPr>
          <w:rFonts w:ascii="Arial" w:hAnsi="Arial" w:cs="Arial"/>
          <w:lang w:val="en-GB"/>
        </w:rPr>
        <w:t xml:space="preserve"> products, either</w:t>
      </w:r>
      <w:r w:rsidR="00630E5F" w:rsidRPr="00A412E9">
        <w:rPr>
          <w:rFonts w:ascii="Arial" w:hAnsi="Arial" w:cs="Arial"/>
          <w:lang w:val="en-GB"/>
        </w:rPr>
        <w:t xml:space="preserve"> of the industrie</w:t>
      </w:r>
      <w:r w:rsidR="001440FD" w:rsidRPr="00A412E9">
        <w:rPr>
          <w:rFonts w:ascii="Arial" w:hAnsi="Arial" w:cs="Arial"/>
          <w:lang w:val="en-GB"/>
        </w:rPr>
        <w:t>s (intermediate consumption) or</w:t>
      </w:r>
      <w:r w:rsidR="00630E5F" w:rsidRPr="00A412E9">
        <w:rPr>
          <w:rFonts w:ascii="Arial" w:hAnsi="Arial" w:cs="Arial"/>
          <w:lang w:val="en-GB"/>
        </w:rPr>
        <w:t xml:space="preserve"> the final ones, in a detailed </w:t>
      </w:r>
      <w:r w:rsidR="00B41990" w:rsidRPr="00A412E9">
        <w:rPr>
          <w:rFonts w:ascii="Arial" w:hAnsi="Arial" w:cs="Arial"/>
          <w:lang w:val="en-GB"/>
        </w:rPr>
        <w:t>way</w:t>
      </w:r>
      <w:r w:rsidR="001440FD" w:rsidRPr="00A412E9">
        <w:rPr>
          <w:rFonts w:ascii="Arial" w:hAnsi="Arial" w:cs="Arial"/>
          <w:lang w:val="en-GB"/>
        </w:rPr>
        <w:t>, more</w:t>
      </w:r>
      <w:r w:rsidR="00B41990" w:rsidRPr="00A412E9">
        <w:rPr>
          <w:rFonts w:ascii="Arial" w:hAnsi="Arial" w:cs="Arial"/>
          <w:lang w:val="en-GB"/>
        </w:rPr>
        <w:t xml:space="preserve"> than</w:t>
      </w:r>
      <w:r w:rsidR="007724F5" w:rsidRPr="00A412E9">
        <w:rPr>
          <w:rFonts w:ascii="Arial" w:hAnsi="Arial" w:cs="Arial"/>
          <w:lang w:val="en-GB"/>
        </w:rPr>
        <w:t xml:space="preserve"> the above figure</w:t>
      </w:r>
      <w:r w:rsidR="00630E5F" w:rsidRPr="00A412E9">
        <w:rPr>
          <w:rFonts w:ascii="Arial" w:hAnsi="Arial" w:cs="Arial"/>
          <w:lang w:val="en-GB"/>
        </w:rPr>
        <w:t>:</w:t>
      </w:r>
      <w:r w:rsidR="000A073F" w:rsidRPr="00A412E9">
        <w:rPr>
          <w:rFonts w:ascii="Arial" w:hAnsi="Arial" w:cs="Arial"/>
          <w:lang w:val="en-GB"/>
        </w:rPr>
        <w:t xml:space="preserve"> Final consumption of H</w:t>
      </w:r>
      <w:r w:rsidR="000330B3" w:rsidRPr="00A412E9">
        <w:rPr>
          <w:rFonts w:ascii="Arial" w:hAnsi="Arial" w:cs="Arial"/>
          <w:lang w:val="en-GB"/>
        </w:rPr>
        <w:t>ouseholds, of NP</w:t>
      </w:r>
      <w:r w:rsidR="00B41990" w:rsidRPr="00A412E9">
        <w:rPr>
          <w:rFonts w:ascii="Arial" w:hAnsi="Arial" w:cs="Arial"/>
          <w:lang w:val="en-GB"/>
        </w:rPr>
        <w:t>ISH and of G</w:t>
      </w:r>
      <w:r w:rsidR="000330B3" w:rsidRPr="00A412E9">
        <w:rPr>
          <w:rFonts w:ascii="Arial" w:hAnsi="Arial" w:cs="Arial"/>
          <w:lang w:val="en-GB"/>
        </w:rPr>
        <w:t xml:space="preserve">eneral government; Gross capital formation, including, GFCF, net acquisition of valuables and </w:t>
      </w:r>
      <w:r w:rsidR="002272DB" w:rsidRPr="00A412E9">
        <w:rPr>
          <w:rFonts w:ascii="Arial" w:hAnsi="Arial" w:cs="Arial"/>
          <w:lang w:val="en-GB"/>
        </w:rPr>
        <w:t>C</w:t>
      </w:r>
      <w:r w:rsidR="000330B3" w:rsidRPr="00A412E9">
        <w:rPr>
          <w:rFonts w:ascii="Arial" w:hAnsi="Arial" w:cs="Arial"/>
          <w:lang w:val="en-GB"/>
        </w:rPr>
        <w:t>hanges of inventories; Exports</w:t>
      </w:r>
      <w:r w:rsidR="00B41990" w:rsidRPr="00A412E9">
        <w:rPr>
          <w:rFonts w:ascii="Arial" w:hAnsi="Arial" w:cs="Arial"/>
          <w:lang w:val="en-GB"/>
        </w:rPr>
        <w:t xml:space="preserve"> - of goods and of services</w:t>
      </w:r>
      <w:r w:rsidR="000330B3" w:rsidRPr="00A412E9">
        <w:rPr>
          <w:rFonts w:ascii="Arial" w:hAnsi="Arial" w:cs="Arial"/>
          <w:lang w:val="en-GB"/>
        </w:rPr>
        <w:t>. All</w:t>
      </w:r>
      <w:r w:rsidR="00513588" w:rsidRPr="00A412E9">
        <w:rPr>
          <w:rFonts w:ascii="Arial" w:hAnsi="Arial" w:cs="Arial"/>
          <w:lang w:val="en-GB"/>
        </w:rPr>
        <w:t xml:space="preserve"> uses are valued at purchasers’</w:t>
      </w:r>
      <w:r w:rsidR="000A073F" w:rsidRPr="00A412E9">
        <w:rPr>
          <w:rFonts w:ascii="Arial" w:hAnsi="Arial" w:cs="Arial"/>
          <w:lang w:val="en-GB"/>
        </w:rPr>
        <w:t xml:space="preserve"> prices; however, each individual</w:t>
      </w:r>
      <w:r w:rsidR="00513588" w:rsidRPr="00A412E9">
        <w:rPr>
          <w:rFonts w:ascii="Arial" w:hAnsi="Arial" w:cs="Arial"/>
          <w:lang w:val="en-GB"/>
        </w:rPr>
        <w:t xml:space="preserve"> item can be shown separating its</w:t>
      </w:r>
      <w:r w:rsidR="000A073F" w:rsidRPr="00A412E9">
        <w:rPr>
          <w:rFonts w:ascii="Arial" w:hAnsi="Arial" w:cs="Arial"/>
          <w:lang w:val="en-GB"/>
        </w:rPr>
        <w:t xml:space="preserve"> basic value from the</w:t>
      </w:r>
      <w:r w:rsidR="00513588" w:rsidRPr="00A412E9">
        <w:rPr>
          <w:rFonts w:ascii="Arial" w:hAnsi="Arial" w:cs="Arial"/>
          <w:lang w:val="en-GB"/>
        </w:rPr>
        <w:t xml:space="preserve"> valuation items: trade margin, transport margin, non-deductible VAT on products, other taxes on products and subsidies on produc</w:t>
      </w:r>
      <w:r w:rsidR="000A073F" w:rsidRPr="00A412E9">
        <w:rPr>
          <w:rFonts w:ascii="Arial" w:hAnsi="Arial" w:cs="Arial"/>
          <w:lang w:val="en-GB"/>
        </w:rPr>
        <w:t>ts (symmetric)</w:t>
      </w:r>
      <w:r w:rsidR="00391184" w:rsidRPr="00A412E9">
        <w:rPr>
          <w:rFonts w:ascii="Arial" w:hAnsi="Arial" w:cs="Arial"/>
          <w:lang w:val="en-GB"/>
        </w:rPr>
        <w:t>;</w:t>
      </w:r>
    </w:p>
    <w:p w:rsidR="0010477B" w:rsidRPr="00A412E9" w:rsidRDefault="0010477B" w:rsidP="0010477B">
      <w:pPr>
        <w:pStyle w:val="ListParagraph"/>
        <w:numPr>
          <w:ilvl w:val="0"/>
          <w:numId w:val="6"/>
        </w:numPr>
        <w:spacing w:line="360" w:lineRule="auto"/>
        <w:jc w:val="both"/>
        <w:rPr>
          <w:rFonts w:ascii="Arial" w:hAnsi="Arial" w:cs="Arial"/>
          <w:lang w:val="en-GB"/>
        </w:rPr>
      </w:pPr>
      <w:r w:rsidRPr="00A412E9">
        <w:rPr>
          <w:rFonts w:ascii="Arial" w:hAnsi="Arial" w:cs="Arial"/>
          <w:lang w:val="en-GB"/>
        </w:rPr>
        <w:t>Components of value added:</w:t>
      </w:r>
      <w:r w:rsidR="001C5064" w:rsidRPr="00A412E9">
        <w:rPr>
          <w:rFonts w:ascii="Arial" w:hAnsi="Arial" w:cs="Arial"/>
          <w:lang w:val="en-GB"/>
        </w:rPr>
        <w:t xml:space="preserve"> </w:t>
      </w:r>
      <w:r w:rsidR="00231D0D" w:rsidRPr="00A412E9">
        <w:rPr>
          <w:rFonts w:ascii="Arial" w:hAnsi="Arial" w:cs="Arial"/>
          <w:lang w:val="en-GB"/>
        </w:rPr>
        <w:t xml:space="preserve">the </w:t>
      </w:r>
      <w:r w:rsidR="001C5064" w:rsidRPr="00A412E9">
        <w:rPr>
          <w:rFonts w:ascii="Arial" w:hAnsi="Arial" w:cs="Arial"/>
          <w:lang w:val="en-GB"/>
        </w:rPr>
        <w:t xml:space="preserve">decomposition </w:t>
      </w:r>
      <w:r w:rsidR="00231D0D" w:rsidRPr="00A412E9">
        <w:rPr>
          <w:rFonts w:ascii="Arial" w:hAnsi="Arial" w:cs="Arial"/>
          <w:lang w:val="en-GB"/>
        </w:rPr>
        <w:t xml:space="preserve">of value added by industry, basically according to the production factors, </w:t>
      </w:r>
      <w:r w:rsidR="00B80F65" w:rsidRPr="00A412E9">
        <w:rPr>
          <w:rFonts w:ascii="Arial" w:hAnsi="Arial" w:cs="Arial"/>
          <w:lang w:val="en-GB"/>
        </w:rPr>
        <w:t>is shown in a third table making part of the SUT (QRE)</w:t>
      </w:r>
      <w:r w:rsidR="00231D0D" w:rsidRPr="00A412E9">
        <w:rPr>
          <w:rFonts w:ascii="Arial" w:hAnsi="Arial" w:cs="Arial"/>
          <w:lang w:val="en-GB"/>
        </w:rPr>
        <w:t>,</w:t>
      </w:r>
      <w:r w:rsidR="00B80F65" w:rsidRPr="00A412E9">
        <w:rPr>
          <w:rFonts w:ascii="Arial" w:hAnsi="Arial" w:cs="Arial"/>
          <w:lang w:val="en-GB"/>
        </w:rPr>
        <w:t xml:space="preserve"> presenting</w:t>
      </w:r>
      <w:r w:rsidR="001C5064" w:rsidRPr="00A412E9">
        <w:rPr>
          <w:rFonts w:ascii="Arial" w:hAnsi="Arial" w:cs="Arial"/>
          <w:lang w:val="en-GB"/>
        </w:rPr>
        <w:t>: compensation of employees, taxes on production, subsidies on production (-)</w:t>
      </w:r>
      <w:r w:rsidR="00B80F65" w:rsidRPr="00A412E9">
        <w:rPr>
          <w:rFonts w:ascii="Arial" w:hAnsi="Arial" w:cs="Arial"/>
          <w:lang w:val="en-GB"/>
        </w:rPr>
        <w:t>, consumption of fixed capital and net operating surplus.</w:t>
      </w:r>
      <w:r w:rsidR="001C5064" w:rsidRPr="00A412E9">
        <w:rPr>
          <w:rFonts w:ascii="Arial" w:hAnsi="Arial" w:cs="Arial"/>
          <w:lang w:val="en-GB"/>
        </w:rPr>
        <w:t xml:space="preserve"> </w:t>
      </w:r>
    </w:p>
    <w:p w:rsidR="0010477B" w:rsidRPr="00A412E9" w:rsidRDefault="0010477B" w:rsidP="0010477B">
      <w:pPr>
        <w:pStyle w:val="ListParagraph"/>
        <w:numPr>
          <w:ilvl w:val="0"/>
          <w:numId w:val="6"/>
        </w:numPr>
        <w:spacing w:line="360" w:lineRule="auto"/>
        <w:jc w:val="both"/>
        <w:rPr>
          <w:rFonts w:ascii="Arial" w:hAnsi="Arial" w:cs="Arial"/>
          <w:lang w:val="en-GB"/>
        </w:rPr>
      </w:pPr>
      <w:r w:rsidRPr="00A412E9">
        <w:rPr>
          <w:rFonts w:ascii="Arial" w:hAnsi="Arial" w:cs="Arial"/>
          <w:lang w:val="en-GB"/>
        </w:rPr>
        <w:t>Adjustments</w:t>
      </w:r>
      <w:r w:rsidR="004E10F3" w:rsidRPr="00A412E9">
        <w:rPr>
          <w:rFonts w:ascii="Arial" w:hAnsi="Arial" w:cs="Arial"/>
          <w:lang w:val="en-GB"/>
        </w:rPr>
        <w:t xml:space="preserve"> items:</w:t>
      </w:r>
      <w:r w:rsidR="00B80F65" w:rsidRPr="00A412E9">
        <w:rPr>
          <w:rFonts w:ascii="Arial" w:hAnsi="Arial" w:cs="Arial"/>
          <w:lang w:val="en-GB"/>
        </w:rPr>
        <w:t xml:space="preserve"> SUT (QRE) includes also the so-called adjustments items, which are necessary to</w:t>
      </w:r>
      <w:r w:rsidR="00EC4464" w:rsidRPr="00A412E9">
        <w:rPr>
          <w:rFonts w:ascii="Arial" w:hAnsi="Arial" w:cs="Arial"/>
          <w:lang w:val="en-GB"/>
        </w:rPr>
        <w:t xml:space="preserve"> adequate some aggregates to the ESA 95 requirements: Imports by products</w:t>
      </w:r>
      <w:r w:rsidR="000A073F" w:rsidRPr="00A412E9">
        <w:rPr>
          <w:rFonts w:ascii="Arial" w:hAnsi="Arial" w:cs="Arial"/>
          <w:lang w:val="en-GB"/>
        </w:rPr>
        <w:t>,</w:t>
      </w:r>
      <w:r w:rsidR="00EC4464" w:rsidRPr="00A412E9">
        <w:rPr>
          <w:rFonts w:ascii="Arial" w:hAnsi="Arial" w:cs="Arial"/>
          <w:lang w:val="en-GB"/>
        </w:rPr>
        <w:t xml:space="preserve"> firstly included in the supply table</w:t>
      </w:r>
      <w:r w:rsidR="00FE524C">
        <w:rPr>
          <w:rFonts w:ascii="Arial" w:hAnsi="Arial" w:cs="Arial"/>
          <w:lang w:val="en-GB"/>
        </w:rPr>
        <w:t xml:space="preserve"> </w:t>
      </w:r>
      <w:r w:rsidR="00F81C78" w:rsidRPr="00A412E9">
        <w:rPr>
          <w:rFonts w:ascii="Arial" w:hAnsi="Arial" w:cs="Arial"/>
          <w:lang w:val="en-GB"/>
        </w:rPr>
        <w:t xml:space="preserve">at </w:t>
      </w:r>
      <w:r w:rsidR="00FE524C">
        <w:rPr>
          <w:rFonts w:ascii="Arial" w:hAnsi="Arial" w:cs="Arial"/>
          <w:lang w:val="en-GB"/>
        </w:rPr>
        <w:t>CIF value</w:t>
      </w:r>
      <w:r w:rsidR="00EC4464" w:rsidRPr="00A412E9">
        <w:rPr>
          <w:rFonts w:ascii="Arial" w:hAnsi="Arial" w:cs="Arial"/>
          <w:lang w:val="en-GB"/>
        </w:rPr>
        <w:t>, needs to be globally transformed in FOB value by its correspondent adjustment item</w:t>
      </w:r>
      <w:r w:rsidR="000A073F" w:rsidRPr="00A412E9">
        <w:rPr>
          <w:rFonts w:ascii="Arial" w:hAnsi="Arial" w:cs="Arial"/>
          <w:lang w:val="en-GB"/>
        </w:rPr>
        <w:t>s</w:t>
      </w:r>
      <w:r w:rsidR="00EC4464" w:rsidRPr="00A412E9">
        <w:rPr>
          <w:rFonts w:ascii="Arial" w:hAnsi="Arial" w:cs="Arial"/>
          <w:lang w:val="en-GB"/>
        </w:rPr>
        <w:t xml:space="preserve">; Final consumption of the households, previously included in the Use table </w:t>
      </w:r>
      <w:r w:rsidR="00231D0D" w:rsidRPr="00A412E9">
        <w:rPr>
          <w:rFonts w:ascii="Arial" w:hAnsi="Arial" w:cs="Arial"/>
          <w:lang w:val="en-GB"/>
        </w:rPr>
        <w:t xml:space="preserve">as </w:t>
      </w:r>
      <w:r w:rsidR="00F81C78" w:rsidRPr="00A412E9">
        <w:rPr>
          <w:rFonts w:ascii="Arial" w:hAnsi="Arial" w:cs="Arial"/>
          <w:lang w:val="en-GB"/>
        </w:rPr>
        <w:t xml:space="preserve">covering all the </w:t>
      </w:r>
      <w:r w:rsidR="00BE5269" w:rsidRPr="00A412E9">
        <w:rPr>
          <w:rFonts w:ascii="Arial" w:hAnsi="Arial" w:cs="Arial"/>
          <w:lang w:val="en-GB"/>
        </w:rPr>
        <w:t xml:space="preserve">consumption occurred in the </w:t>
      </w:r>
      <w:r w:rsidR="00EC4464" w:rsidRPr="00A412E9">
        <w:rPr>
          <w:rFonts w:ascii="Arial" w:hAnsi="Arial" w:cs="Arial"/>
          <w:lang w:val="en-GB"/>
        </w:rPr>
        <w:t>economic territory of the country</w:t>
      </w:r>
      <w:r w:rsidR="00BE5269" w:rsidRPr="00A412E9">
        <w:rPr>
          <w:rFonts w:ascii="Arial" w:hAnsi="Arial" w:cs="Arial"/>
          <w:lang w:val="en-GB"/>
        </w:rPr>
        <w:t>,</w:t>
      </w:r>
      <w:r w:rsidR="002379B3" w:rsidRPr="00A412E9">
        <w:rPr>
          <w:rFonts w:ascii="Arial" w:hAnsi="Arial" w:cs="Arial"/>
          <w:lang w:val="en-GB"/>
        </w:rPr>
        <w:t xml:space="preserve"> needs to be globally adjusted by two elements</w:t>
      </w:r>
      <w:r w:rsidR="00BE5269" w:rsidRPr="00A412E9">
        <w:rPr>
          <w:rFonts w:ascii="Arial" w:hAnsi="Arial" w:cs="Arial"/>
          <w:lang w:val="en-GB"/>
        </w:rPr>
        <w:t xml:space="preserve">: </w:t>
      </w:r>
      <w:r w:rsidR="002379B3" w:rsidRPr="00A412E9">
        <w:rPr>
          <w:rFonts w:ascii="Arial" w:hAnsi="Arial" w:cs="Arial"/>
          <w:lang w:val="en-GB"/>
        </w:rPr>
        <w:t>subtracting the domestic purchases by non-residents and adding the direct pu</w:t>
      </w:r>
      <w:r w:rsidR="00BE5269" w:rsidRPr="00A412E9">
        <w:rPr>
          <w:rFonts w:ascii="Arial" w:hAnsi="Arial" w:cs="Arial"/>
          <w:lang w:val="en-GB"/>
        </w:rPr>
        <w:t xml:space="preserve">rchases </w:t>
      </w:r>
      <w:r w:rsidR="001E6D32" w:rsidRPr="00A412E9">
        <w:rPr>
          <w:rFonts w:ascii="Arial" w:hAnsi="Arial" w:cs="Arial"/>
          <w:lang w:val="en-GB"/>
        </w:rPr>
        <w:t>made in the rest of the world</w:t>
      </w:r>
      <w:r w:rsidR="00BE5269" w:rsidRPr="00A412E9">
        <w:rPr>
          <w:rFonts w:ascii="Arial" w:hAnsi="Arial" w:cs="Arial"/>
          <w:lang w:val="en-GB"/>
        </w:rPr>
        <w:t xml:space="preserve"> by residents,</w:t>
      </w:r>
      <w:r w:rsidR="00B41990" w:rsidRPr="00A412E9">
        <w:rPr>
          <w:rFonts w:ascii="Arial" w:hAnsi="Arial" w:cs="Arial"/>
          <w:lang w:val="en-GB"/>
        </w:rPr>
        <w:t xml:space="preserve"> with</w:t>
      </w:r>
      <w:r w:rsidR="002379B3" w:rsidRPr="00A412E9">
        <w:rPr>
          <w:rFonts w:ascii="Arial" w:hAnsi="Arial" w:cs="Arial"/>
          <w:lang w:val="en-GB"/>
        </w:rPr>
        <w:t xml:space="preserve"> the co</w:t>
      </w:r>
      <w:r w:rsidR="00F81C78" w:rsidRPr="00A412E9">
        <w:rPr>
          <w:rFonts w:ascii="Arial" w:hAnsi="Arial" w:cs="Arial"/>
          <w:lang w:val="en-GB"/>
        </w:rPr>
        <w:t>rrespondent impact on exports and</w:t>
      </w:r>
      <w:r w:rsidR="002379B3" w:rsidRPr="00A412E9">
        <w:rPr>
          <w:rFonts w:ascii="Arial" w:hAnsi="Arial" w:cs="Arial"/>
          <w:lang w:val="en-GB"/>
        </w:rPr>
        <w:t xml:space="preserve"> imports</w:t>
      </w:r>
      <w:r w:rsidR="00B41990" w:rsidRPr="00A412E9">
        <w:rPr>
          <w:rFonts w:ascii="Arial" w:hAnsi="Arial" w:cs="Arial"/>
          <w:lang w:val="en-GB"/>
        </w:rPr>
        <w:t>.</w:t>
      </w:r>
    </w:p>
    <w:p w:rsidR="00391184" w:rsidRPr="00A412E9" w:rsidRDefault="00391184" w:rsidP="0010477B">
      <w:pPr>
        <w:pStyle w:val="ListParagraph"/>
        <w:numPr>
          <w:ilvl w:val="0"/>
          <w:numId w:val="6"/>
        </w:numPr>
        <w:spacing w:line="360" w:lineRule="auto"/>
        <w:jc w:val="both"/>
        <w:rPr>
          <w:rFonts w:ascii="Arial" w:hAnsi="Arial" w:cs="Arial"/>
          <w:lang w:val="en-GB"/>
        </w:rPr>
      </w:pPr>
      <w:r w:rsidRPr="00A412E9">
        <w:rPr>
          <w:rFonts w:ascii="Arial" w:hAnsi="Arial" w:cs="Arial"/>
          <w:lang w:val="en-GB"/>
        </w:rPr>
        <w:t>Totals and balance items:</w:t>
      </w:r>
      <w:r w:rsidR="00B41990" w:rsidRPr="00A412E9">
        <w:rPr>
          <w:rFonts w:ascii="Arial" w:hAnsi="Arial" w:cs="Arial"/>
          <w:lang w:val="en-GB"/>
        </w:rPr>
        <w:t xml:space="preserve"> </w:t>
      </w:r>
      <w:r w:rsidR="008C4547" w:rsidRPr="00A412E9">
        <w:rPr>
          <w:rFonts w:ascii="Arial" w:hAnsi="Arial" w:cs="Arial"/>
          <w:lang w:val="en-GB"/>
        </w:rPr>
        <w:t>Totals of most</w:t>
      </w:r>
      <w:r w:rsidR="00BD7268" w:rsidRPr="00A412E9">
        <w:rPr>
          <w:rFonts w:ascii="Arial" w:hAnsi="Arial" w:cs="Arial"/>
          <w:lang w:val="en-GB"/>
        </w:rPr>
        <w:t xml:space="preserve"> of the transaction of products and</w:t>
      </w:r>
      <w:r w:rsidR="008C4547" w:rsidRPr="00A412E9">
        <w:rPr>
          <w:rFonts w:ascii="Arial" w:hAnsi="Arial" w:cs="Arial"/>
          <w:lang w:val="en-GB"/>
        </w:rPr>
        <w:t xml:space="preserve"> </w:t>
      </w:r>
      <w:r w:rsidR="001E6D32" w:rsidRPr="00A412E9">
        <w:rPr>
          <w:rFonts w:ascii="Arial" w:hAnsi="Arial" w:cs="Arial"/>
          <w:lang w:val="en-GB"/>
        </w:rPr>
        <w:t xml:space="preserve">of </w:t>
      </w:r>
      <w:r w:rsidR="008C4547" w:rsidRPr="00A412E9">
        <w:rPr>
          <w:rFonts w:ascii="Arial" w:hAnsi="Arial" w:cs="Arial"/>
          <w:lang w:val="en-GB"/>
        </w:rPr>
        <w:t>the balance items correspond to relevant aggregates. T</w:t>
      </w:r>
      <w:r w:rsidR="001E6D32" w:rsidRPr="00A412E9">
        <w:rPr>
          <w:rFonts w:ascii="Arial" w:hAnsi="Arial" w:cs="Arial"/>
          <w:lang w:val="en-GB"/>
        </w:rPr>
        <w:t>he t</w:t>
      </w:r>
      <w:r w:rsidR="00B41990" w:rsidRPr="00A412E9">
        <w:rPr>
          <w:rFonts w:ascii="Arial" w:hAnsi="Arial" w:cs="Arial"/>
          <w:lang w:val="en-GB"/>
        </w:rPr>
        <w:t xml:space="preserve">otal </w:t>
      </w:r>
      <w:r w:rsidR="001E6D32" w:rsidRPr="00A412E9">
        <w:rPr>
          <w:rFonts w:ascii="Arial" w:hAnsi="Arial" w:cs="Arial"/>
          <w:lang w:val="en-GB"/>
        </w:rPr>
        <w:t xml:space="preserve">of </w:t>
      </w:r>
      <w:r w:rsidR="000303FE" w:rsidRPr="00A412E9">
        <w:rPr>
          <w:rFonts w:ascii="Arial" w:hAnsi="Arial" w:cs="Arial"/>
          <w:lang w:val="en-GB"/>
        </w:rPr>
        <w:t xml:space="preserve">gross / net </w:t>
      </w:r>
      <w:r w:rsidR="00B41990" w:rsidRPr="00A412E9">
        <w:rPr>
          <w:rFonts w:ascii="Arial" w:hAnsi="Arial" w:cs="Arial"/>
          <w:lang w:val="en-GB"/>
        </w:rPr>
        <w:t>value added</w:t>
      </w:r>
      <w:r w:rsidR="008C4547" w:rsidRPr="00A412E9">
        <w:rPr>
          <w:rFonts w:ascii="Arial" w:hAnsi="Arial" w:cs="Arial"/>
          <w:lang w:val="en-GB"/>
        </w:rPr>
        <w:t>,</w:t>
      </w:r>
      <w:r w:rsidR="00231D0D" w:rsidRPr="00A412E9">
        <w:rPr>
          <w:rFonts w:ascii="Arial" w:hAnsi="Arial" w:cs="Arial"/>
          <w:lang w:val="en-GB"/>
        </w:rPr>
        <w:t xml:space="preserve"> </w:t>
      </w:r>
      <w:r w:rsidR="001E6D32" w:rsidRPr="00A412E9">
        <w:rPr>
          <w:rFonts w:ascii="Arial" w:hAnsi="Arial" w:cs="Arial"/>
          <w:lang w:val="en-GB"/>
        </w:rPr>
        <w:t xml:space="preserve">as </w:t>
      </w:r>
      <w:r w:rsidR="00231D0D" w:rsidRPr="00A412E9">
        <w:rPr>
          <w:rFonts w:ascii="Arial" w:hAnsi="Arial" w:cs="Arial"/>
          <w:lang w:val="en-GB"/>
        </w:rPr>
        <w:t>the balance of the production account</w:t>
      </w:r>
      <w:r w:rsidR="00BD7268" w:rsidRPr="00A412E9">
        <w:rPr>
          <w:rFonts w:ascii="Arial" w:hAnsi="Arial" w:cs="Arial"/>
          <w:lang w:val="en-GB"/>
        </w:rPr>
        <w:t>,</w:t>
      </w:r>
      <w:r w:rsidR="00231D0D" w:rsidRPr="00A412E9">
        <w:rPr>
          <w:rFonts w:ascii="Arial" w:hAnsi="Arial" w:cs="Arial"/>
          <w:lang w:val="en-GB"/>
        </w:rPr>
        <w:t xml:space="preserve"> </w:t>
      </w:r>
      <w:r w:rsidR="008C4547" w:rsidRPr="00A412E9">
        <w:rPr>
          <w:rFonts w:ascii="Arial" w:hAnsi="Arial" w:cs="Arial"/>
          <w:lang w:val="en-GB"/>
        </w:rPr>
        <w:t xml:space="preserve">and </w:t>
      </w:r>
      <w:r w:rsidR="00683610" w:rsidRPr="00A412E9">
        <w:rPr>
          <w:rFonts w:ascii="Arial" w:hAnsi="Arial" w:cs="Arial"/>
          <w:lang w:val="en-GB"/>
        </w:rPr>
        <w:t xml:space="preserve">of </w:t>
      </w:r>
      <w:r w:rsidR="008C4547" w:rsidRPr="00A412E9">
        <w:rPr>
          <w:rFonts w:ascii="Arial" w:hAnsi="Arial" w:cs="Arial"/>
          <w:lang w:val="en-GB"/>
        </w:rPr>
        <w:t xml:space="preserve">gross / net operating surplus, </w:t>
      </w:r>
      <w:r w:rsidR="001E6D32" w:rsidRPr="00A412E9">
        <w:rPr>
          <w:rFonts w:ascii="Arial" w:hAnsi="Arial" w:cs="Arial"/>
          <w:lang w:val="en-GB"/>
        </w:rPr>
        <w:t xml:space="preserve">as </w:t>
      </w:r>
      <w:r w:rsidR="008C4547" w:rsidRPr="00A412E9">
        <w:rPr>
          <w:rFonts w:ascii="Arial" w:hAnsi="Arial" w:cs="Arial"/>
          <w:lang w:val="en-GB"/>
        </w:rPr>
        <w:t xml:space="preserve">the balance of the generation income account of </w:t>
      </w:r>
      <w:r w:rsidR="008C4547" w:rsidRPr="00A412E9">
        <w:rPr>
          <w:rFonts w:ascii="Arial" w:hAnsi="Arial" w:cs="Arial"/>
          <w:lang w:val="en-GB"/>
        </w:rPr>
        <w:lastRenderedPageBreak/>
        <w:t>the industries</w:t>
      </w:r>
      <w:r w:rsidR="001E6D32" w:rsidRPr="00A412E9">
        <w:rPr>
          <w:rFonts w:ascii="Arial" w:hAnsi="Arial" w:cs="Arial"/>
          <w:lang w:val="en-GB"/>
        </w:rPr>
        <w:t>,</w:t>
      </w:r>
      <w:r w:rsidR="008C4547" w:rsidRPr="00A412E9">
        <w:rPr>
          <w:rFonts w:ascii="Arial" w:hAnsi="Arial" w:cs="Arial"/>
          <w:lang w:val="en-GB"/>
        </w:rPr>
        <w:t xml:space="preserve"> are important aggregate</w:t>
      </w:r>
      <w:r w:rsidR="001E6D32" w:rsidRPr="00A412E9">
        <w:rPr>
          <w:rFonts w:ascii="Arial" w:hAnsi="Arial" w:cs="Arial"/>
          <w:lang w:val="en-GB"/>
        </w:rPr>
        <w:t xml:space="preserve">s resulting from SUT (QRE). </w:t>
      </w:r>
      <w:r w:rsidR="00BD7268" w:rsidRPr="00A412E9">
        <w:rPr>
          <w:rFonts w:ascii="Arial" w:hAnsi="Arial" w:cs="Arial"/>
          <w:lang w:val="en-GB"/>
        </w:rPr>
        <w:t xml:space="preserve">GDP is obtained </w:t>
      </w:r>
      <w:r w:rsidR="001E6D32" w:rsidRPr="00A412E9">
        <w:rPr>
          <w:rFonts w:ascii="Arial" w:hAnsi="Arial" w:cs="Arial"/>
          <w:lang w:val="en-GB"/>
        </w:rPr>
        <w:t>from</w:t>
      </w:r>
      <w:r w:rsidR="00BD7268" w:rsidRPr="00A412E9">
        <w:rPr>
          <w:rFonts w:ascii="Arial" w:hAnsi="Arial" w:cs="Arial"/>
          <w:lang w:val="en-GB"/>
        </w:rPr>
        <w:t xml:space="preserve"> SUT (QRE)</w:t>
      </w:r>
      <w:r w:rsidR="000303FE" w:rsidRPr="00A412E9">
        <w:rPr>
          <w:rFonts w:ascii="Arial" w:hAnsi="Arial" w:cs="Arial"/>
          <w:lang w:val="en-GB"/>
        </w:rPr>
        <w:t xml:space="preserve"> by adding net taxes on products to total </w:t>
      </w:r>
      <w:r w:rsidR="00C425D3" w:rsidRPr="00A412E9">
        <w:rPr>
          <w:rFonts w:ascii="Arial" w:hAnsi="Arial" w:cs="Arial"/>
          <w:lang w:val="en-GB"/>
        </w:rPr>
        <w:t>GVA</w:t>
      </w:r>
      <w:r w:rsidR="00BD7268" w:rsidRPr="00A412E9">
        <w:rPr>
          <w:rFonts w:ascii="Arial" w:hAnsi="Arial" w:cs="Arial"/>
          <w:lang w:val="en-GB"/>
        </w:rPr>
        <w:t xml:space="preserve">.  </w:t>
      </w:r>
    </w:p>
    <w:p w:rsidR="002A6E4A" w:rsidRPr="00A412E9" w:rsidRDefault="00C425D3" w:rsidP="00C425D3">
      <w:pPr>
        <w:pStyle w:val="ListParagraph"/>
        <w:spacing w:line="360" w:lineRule="auto"/>
        <w:jc w:val="both"/>
        <w:rPr>
          <w:rFonts w:ascii="Arial" w:hAnsi="Arial" w:cs="Arial"/>
          <w:lang w:val="en-GB"/>
        </w:rPr>
      </w:pPr>
      <w:r w:rsidRPr="00A412E9">
        <w:rPr>
          <w:rFonts w:ascii="Arial" w:hAnsi="Arial" w:cs="Arial"/>
          <w:lang w:val="en-GB"/>
        </w:rPr>
        <w:t>The above referred components of the</w:t>
      </w:r>
      <w:r w:rsidR="00BD7268" w:rsidRPr="00A412E9">
        <w:rPr>
          <w:rFonts w:ascii="Arial" w:hAnsi="Arial" w:cs="Arial"/>
          <w:lang w:val="en-GB"/>
        </w:rPr>
        <w:t xml:space="preserve"> SUT (QRE) are </w:t>
      </w:r>
      <w:r w:rsidRPr="00A412E9">
        <w:rPr>
          <w:rFonts w:ascii="Arial" w:hAnsi="Arial" w:cs="Arial"/>
          <w:lang w:val="en-GB"/>
        </w:rPr>
        <w:t>elaborated and generally available i</w:t>
      </w:r>
      <w:r w:rsidR="00BD7268" w:rsidRPr="00A412E9">
        <w:rPr>
          <w:rFonts w:ascii="Arial" w:hAnsi="Arial" w:cs="Arial"/>
          <w:lang w:val="en-GB"/>
        </w:rPr>
        <w:t xml:space="preserve">n current and at </w:t>
      </w:r>
      <w:r w:rsidR="00556308" w:rsidRPr="00A412E9">
        <w:rPr>
          <w:rFonts w:ascii="Arial" w:hAnsi="Arial" w:cs="Arial"/>
          <w:lang w:val="en-GB"/>
        </w:rPr>
        <w:t>previous</w:t>
      </w:r>
      <w:r w:rsidR="00BD7268" w:rsidRPr="00A412E9">
        <w:rPr>
          <w:rFonts w:ascii="Arial" w:hAnsi="Arial" w:cs="Arial"/>
          <w:lang w:val="en-GB"/>
        </w:rPr>
        <w:t xml:space="preserve"> </w:t>
      </w:r>
      <w:r w:rsidR="007A37DA" w:rsidRPr="00A412E9">
        <w:rPr>
          <w:rFonts w:ascii="Arial" w:hAnsi="Arial" w:cs="Arial"/>
          <w:lang w:val="en-GB"/>
        </w:rPr>
        <w:t>year</w:t>
      </w:r>
      <w:r w:rsidRPr="00A412E9">
        <w:rPr>
          <w:rFonts w:ascii="Arial" w:hAnsi="Arial" w:cs="Arial"/>
          <w:lang w:val="en-GB"/>
        </w:rPr>
        <w:t xml:space="preserve"> prices.</w:t>
      </w:r>
    </w:p>
    <w:p w:rsidR="002A6E4A" w:rsidRPr="00A412E9" w:rsidRDefault="002A6E4A" w:rsidP="00C425D3">
      <w:pPr>
        <w:pStyle w:val="ListParagraph"/>
        <w:spacing w:line="360" w:lineRule="auto"/>
        <w:jc w:val="both"/>
        <w:rPr>
          <w:rFonts w:ascii="Arial" w:hAnsi="Arial" w:cs="Arial"/>
          <w:lang w:val="en-GB"/>
        </w:rPr>
      </w:pPr>
    </w:p>
    <w:p w:rsidR="00542867" w:rsidRPr="00A412E9" w:rsidRDefault="00B41C85" w:rsidP="00542867">
      <w:pPr>
        <w:pStyle w:val="ListParagraph"/>
        <w:numPr>
          <w:ilvl w:val="0"/>
          <w:numId w:val="2"/>
        </w:numPr>
        <w:spacing w:line="360" w:lineRule="auto"/>
        <w:rPr>
          <w:rFonts w:ascii="Arial" w:hAnsi="Arial" w:cs="Arial"/>
          <w:lang w:val="en-GB"/>
        </w:rPr>
      </w:pPr>
      <w:r w:rsidRPr="00A412E9">
        <w:rPr>
          <w:rFonts w:ascii="Arial" w:hAnsi="Arial" w:cs="Arial"/>
          <w:lang w:val="en-GB"/>
        </w:rPr>
        <w:t>SUT (QRE) in the NA framework</w:t>
      </w:r>
    </w:p>
    <w:p w:rsidR="008440AD" w:rsidRPr="00A412E9" w:rsidRDefault="006339DE" w:rsidP="00152889">
      <w:pPr>
        <w:pStyle w:val="ListParagraph"/>
        <w:spacing w:line="360" w:lineRule="auto"/>
        <w:jc w:val="both"/>
        <w:rPr>
          <w:rFonts w:ascii="Arial" w:hAnsi="Arial" w:cs="Arial"/>
          <w:lang w:val="en-GB"/>
        </w:rPr>
      </w:pPr>
      <w:r w:rsidRPr="00A412E9">
        <w:rPr>
          <w:rFonts w:ascii="Arial" w:hAnsi="Arial" w:cs="Arial"/>
          <w:lang w:val="en-GB"/>
        </w:rPr>
        <w:t>To understand better the</w:t>
      </w:r>
      <w:r w:rsidR="00D411BE" w:rsidRPr="00A412E9">
        <w:rPr>
          <w:rFonts w:ascii="Arial" w:hAnsi="Arial" w:cs="Arial"/>
          <w:lang w:val="en-GB"/>
        </w:rPr>
        <w:t xml:space="preserve"> role </w:t>
      </w:r>
      <w:r w:rsidRPr="00A412E9">
        <w:rPr>
          <w:rFonts w:ascii="Arial" w:hAnsi="Arial" w:cs="Arial"/>
          <w:lang w:val="en-GB"/>
        </w:rPr>
        <w:t xml:space="preserve">of SUT (QRE) </w:t>
      </w:r>
      <w:r w:rsidR="00D411BE" w:rsidRPr="00A412E9">
        <w:rPr>
          <w:rFonts w:ascii="Arial" w:hAnsi="Arial" w:cs="Arial"/>
          <w:lang w:val="en-GB"/>
        </w:rPr>
        <w:t>in the NA framework, it is necessary to</w:t>
      </w:r>
      <w:r w:rsidRPr="00A412E9">
        <w:rPr>
          <w:rFonts w:ascii="Arial" w:hAnsi="Arial" w:cs="Arial"/>
          <w:lang w:val="en-GB"/>
        </w:rPr>
        <w:t xml:space="preserve"> describe</w:t>
      </w:r>
      <w:r w:rsidR="00683610" w:rsidRPr="00A412E9">
        <w:rPr>
          <w:rFonts w:ascii="Arial" w:hAnsi="Arial" w:cs="Arial"/>
          <w:lang w:val="en-GB"/>
        </w:rPr>
        <w:t>, even briefly,</w:t>
      </w:r>
      <w:r w:rsidR="00295996" w:rsidRPr="00A412E9">
        <w:rPr>
          <w:rFonts w:ascii="Arial" w:hAnsi="Arial" w:cs="Arial"/>
          <w:lang w:val="en-GB"/>
        </w:rPr>
        <w:t xml:space="preserve"> </w:t>
      </w:r>
      <w:r w:rsidRPr="00A412E9">
        <w:rPr>
          <w:rFonts w:ascii="Arial" w:hAnsi="Arial" w:cs="Arial"/>
          <w:lang w:val="en-GB"/>
        </w:rPr>
        <w:t>the compilation</w:t>
      </w:r>
      <w:r w:rsidR="00295996" w:rsidRPr="00A412E9">
        <w:rPr>
          <w:rFonts w:ascii="Arial" w:hAnsi="Arial" w:cs="Arial"/>
          <w:lang w:val="en-GB"/>
        </w:rPr>
        <w:t xml:space="preserve"> structure, </w:t>
      </w:r>
      <w:r w:rsidR="00EA5E6B" w:rsidRPr="00A412E9">
        <w:rPr>
          <w:rFonts w:ascii="Arial" w:hAnsi="Arial" w:cs="Arial"/>
          <w:lang w:val="en-GB"/>
        </w:rPr>
        <w:t xml:space="preserve">the basic units </w:t>
      </w:r>
      <w:r w:rsidR="00295996" w:rsidRPr="00A412E9">
        <w:rPr>
          <w:rFonts w:ascii="Arial" w:hAnsi="Arial" w:cs="Arial"/>
          <w:lang w:val="en-GB"/>
        </w:rPr>
        <w:t>and the appropriation of the information</w:t>
      </w:r>
      <w:r w:rsidR="00463370" w:rsidRPr="00A412E9">
        <w:rPr>
          <w:rFonts w:ascii="Arial" w:hAnsi="Arial" w:cs="Arial"/>
          <w:lang w:val="en-GB"/>
        </w:rPr>
        <w:t xml:space="preserve"> from the main </w:t>
      </w:r>
      <w:r w:rsidR="00EA5E6B" w:rsidRPr="00A412E9">
        <w:rPr>
          <w:rFonts w:ascii="Arial" w:hAnsi="Arial" w:cs="Arial"/>
          <w:lang w:val="en-GB"/>
        </w:rPr>
        <w:t>sources</w:t>
      </w:r>
      <w:r w:rsidR="00AF4AAD" w:rsidRPr="00A412E9">
        <w:rPr>
          <w:rFonts w:ascii="Arial" w:hAnsi="Arial" w:cs="Arial"/>
          <w:lang w:val="en-GB"/>
        </w:rPr>
        <w:t>.</w:t>
      </w:r>
    </w:p>
    <w:p w:rsidR="00AF4AAD" w:rsidRPr="00A412E9" w:rsidRDefault="005A5C79" w:rsidP="00152889">
      <w:pPr>
        <w:pStyle w:val="ListParagraph"/>
        <w:spacing w:line="360" w:lineRule="auto"/>
        <w:jc w:val="both"/>
        <w:rPr>
          <w:rFonts w:ascii="Arial" w:hAnsi="Arial" w:cs="Arial"/>
          <w:lang w:val="en-GB"/>
        </w:rPr>
      </w:pPr>
      <w:r w:rsidRPr="00A412E9">
        <w:rPr>
          <w:rFonts w:ascii="Arial" w:hAnsi="Arial" w:cs="Arial"/>
          <w:lang w:val="en-GB"/>
        </w:rPr>
        <w:t>The first idea is that the Portuguese NA system is</w:t>
      </w:r>
      <w:r w:rsidR="000F16BF" w:rsidRPr="00A412E9">
        <w:rPr>
          <w:rFonts w:ascii="Arial" w:hAnsi="Arial" w:cs="Arial"/>
          <w:lang w:val="en-GB"/>
        </w:rPr>
        <w:t xml:space="preserve"> fully </w:t>
      </w:r>
      <w:r w:rsidR="00683610" w:rsidRPr="00A412E9">
        <w:rPr>
          <w:rFonts w:ascii="Arial" w:hAnsi="Arial" w:cs="Arial"/>
          <w:lang w:val="en-GB"/>
        </w:rPr>
        <w:t>integrated in the sense that every</w:t>
      </w:r>
      <w:r w:rsidR="000F16BF" w:rsidRPr="00A412E9">
        <w:rPr>
          <w:rFonts w:ascii="Arial" w:hAnsi="Arial" w:cs="Arial"/>
          <w:lang w:val="en-GB"/>
        </w:rPr>
        <w:t xml:space="preserve"> </w:t>
      </w:r>
      <w:r w:rsidR="005E5EA4" w:rsidRPr="00A412E9">
        <w:rPr>
          <w:rFonts w:ascii="Arial" w:hAnsi="Arial" w:cs="Arial"/>
          <w:lang w:val="en-GB"/>
        </w:rPr>
        <w:t xml:space="preserve">resident </w:t>
      </w:r>
      <w:r w:rsidR="000F16BF" w:rsidRPr="00A412E9">
        <w:rPr>
          <w:rFonts w:ascii="Arial" w:hAnsi="Arial" w:cs="Arial"/>
          <w:lang w:val="en-GB"/>
        </w:rPr>
        <w:t xml:space="preserve">economic unit </w:t>
      </w:r>
      <w:r w:rsidR="00895059" w:rsidRPr="00A412E9">
        <w:rPr>
          <w:rFonts w:ascii="Arial" w:hAnsi="Arial" w:cs="Arial"/>
          <w:lang w:val="en-GB"/>
        </w:rPr>
        <w:t xml:space="preserve">acting in the economy </w:t>
      </w:r>
      <w:r w:rsidR="000F16BF" w:rsidRPr="00A412E9">
        <w:rPr>
          <w:rFonts w:ascii="Arial" w:hAnsi="Arial" w:cs="Arial"/>
          <w:lang w:val="en-GB"/>
        </w:rPr>
        <w:t>is classified</w:t>
      </w:r>
      <w:r w:rsidR="00BE1A72" w:rsidRPr="00A412E9">
        <w:rPr>
          <w:rFonts w:ascii="Arial" w:hAnsi="Arial" w:cs="Arial"/>
          <w:lang w:val="en-GB"/>
        </w:rPr>
        <w:t xml:space="preserve"> </w:t>
      </w:r>
      <w:r w:rsidR="00895059" w:rsidRPr="00A412E9">
        <w:rPr>
          <w:rFonts w:ascii="Arial" w:hAnsi="Arial" w:cs="Arial"/>
          <w:lang w:val="en-GB"/>
        </w:rPr>
        <w:t>in simultaneous in the a</w:t>
      </w:r>
      <w:r w:rsidR="009A435F" w:rsidRPr="00A412E9">
        <w:rPr>
          <w:rFonts w:ascii="Arial" w:hAnsi="Arial" w:cs="Arial"/>
          <w:lang w:val="en-GB"/>
        </w:rPr>
        <w:t>ppropriate institutional sector plus</w:t>
      </w:r>
      <w:r w:rsidR="00895059" w:rsidRPr="00A412E9">
        <w:rPr>
          <w:rFonts w:ascii="Arial" w:hAnsi="Arial" w:cs="Arial"/>
          <w:lang w:val="en-GB"/>
        </w:rPr>
        <w:t xml:space="preserve"> in one (o</w:t>
      </w:r>
      <w:r w:rsidR="00EA5E6B" w:rsidRPr="00A412E9">
        <w:rPr>
          <w:rFonts w:ascii="Arial" w:hAnsi="Arial" w:cs="Arial"/>
          <w:lang w:val="en-GB"/>
        </w:rPr>
        <w:t>r more) kind of activity</w:t>
      </w:r>
      <w:r w:rsidR="002B3FD3" w:rsidRPr="00A412E9">
        <w:rPr>
          <w:rFonts w:ascii="Arial" w:hAnsi="Arial" w:cs="Arial"/>
          <w:lang w:val="en-GB"/>
        </w:rPr>
        <w:t>; by other side,</w:t>
      </w:r>
      <w:r w:rsidR="001F0E3B" w:rsidRPr="00A412E9">
        <w:rPr>
          <w:rFonts w:ascii="Arial" w:hAnsi="Arial" w:cs="Arial"/>
          <w:lang w:val="en-GB"/>
        </w:rPr>
        <w:t xml:space="preserve"> </w:t>
      </w:r>
      <w:r w:rsidR="00EA5E6B" w:rsidRPr="00A412E9">
        <w:rPr>
          <w:rFonts w:ascii="Arial" w:hAnsi="Arial" w:cs="Arial"/>
          <w:lang w:val="en-GB"/>
        </w:rPr>
        <w:t xml:space="preserve">all </w:t>
      </w:r>
      <w:r w:rsidR="00683610" w:rsidRPr="00A412E9">
        <w:rPr>
          <w:rFonts w:ascii="Arial" w:hAnsi="Arial" w:cs="Arial"/>
          <w:lang w:val="en-GB"/>
        </w:rPr>
        <w:t xml:space="preserve">its </w:t>
      </w:r>
      <w:r w:rsidR="00EA5E6B" w:rsidRPr="00A412E9">
        <w:rPr>
          <w:rFonts w:ascii="Arial" w:hAnsi="Arial" w:cs="Arial"/>
          <w:lang w:val="en-GB"/>
        </w:rPr>
        <w:t>flows and stocks</w:t>
      </w:r>
      <w:r w:rsidR="001F0E3B" w:rsidRPr="00A412E9">
        <w:rPr>
          <w:rFonts w:ascii="Arial" w:hAnsi="Arial" w:cs="Arial"/>
          <w:lang w:val="en-GB"/>
        </w:rPr>
        <w:t xml:space="preserve"> are</w:t>
      </w:r>
      <w:r w:rsidR="00895059" w:rsidRPr="00A412E9">
        <w:rPr>
          <w:rFonts w:ascii="Arial" w:hAnsi="Arial" w:cs="Arial"/>
          <w:lang w:val="en-GB"/>
        </w:rPr>
        <w:t xml:space="preserve"> </w:t>
      </w:r>
      <w:r w:rsidR="00EA5E6B" w:rsidRPr="00A412E9">
        <w:rPr>
          <w:rFonts w:ascii="Arial" w:hAnsi="Arial" w:cs="Arial"/>
          <w:lang w:val="en-GB"/>
        </w:rPr>
        <w:t>classified according to its nature (p</w:t>
      </w:r>
      <w:r w:rsidR="00B644DE" w:rsidRPr="00A412E9">
        <w:rPr>
          <w:rFonts w:ascii="Arial" w:hAnsi="Arial" w:cs="Arial"/>
          <w:lang w:val="en-GB"/>
        </w:rPr>
        <w:t xml:space="preserve">roduction, distribution, etc.) </w:t>
      </w:r>
      <w:r w:rsidR="004D069E">
        <w:rPr>
          <w:rFonts w:ascii="Arial" w:hAnsi="Arial" w:cs="Arial"/>
          <w:lang w:val="en-GB"/>
        </w:rPr>
        <w:t>and</w:t>
      </w:r>
      <w:r w:rsidR="00B644DE" w:rsidRPr="00A412E9">
        <w:rPr>
          <w:rFonts w:ascii="Arial" w:hAnsi="Arial" w:cs="Arial"/>
          <w:lang w:val="en-GB"/>
        </w:rPr>
        <w:t xml:space="preserve"> function,</w:t>
      </w:r>
      <w:r w:rsidR="00683610" w:rsidRPr="00A412E9">
        <w:rPr>
          <w:rFonts w:ascii="Arial" w:hAnsi="Arial" w:cs="Arial"/>
          <w:lang w:val="en-GB"/>
        </w:rPr>
        <w:t xml:space="preserve"> if appropriated.</w:t>
      </w:r>
      <w:r w:rsidR="00B644DE" w:rsidRPr="00A412E9">
        <w:rPr>
          <w:rFonts w:ascii="Arial" w:hAnsi="Arial" w:cs="Arial"/>
          <w:lang w:val="en-GB"/>
        </w:rPr>
        <w:t xml:space="preserve"> In all cases, those classifications are </w:t>
      </w:r>
      <w:r w:rsidR="00DF4B2F" w:rsidRPr="00A412E9">
        <w:rPr>
          <w:rFonts w:ascii="Arial" w:hAnsi="Arial" w:cs="Arial"/>
          <w:lang w:val="en-GB"/>
        </w:rPr>
        <w:t xml:space="preserve">identical or </w:t>
      </w:r>
      <w:r w:rsidR="005E5EA4" w:rsidRPr="00A412E9">
        <w:rPr>
          <w:rFonts w:ascii="Arial" w:hAnsi="Arial" w:cs="Arial"/>
          <w:lang w:val="en-GB"/>
        </w:rPr>
        <w:t>similar to the correspondent ones of</w:t>
      </w:r>
      <w:r w:rsidR="00B644DE" w:rsidRPr="00A412E9">
        <w:rPr>
          <w:rFonts w:ascii="Arial" w:hAnsi="Arial" w:cs="Arial"/>
          <w:lang w:val="en-GB"/>
        </w:rPr>
        <w:t xml:space="preserve"> the ESA 95.</w:t>
      </w:r>
    </w:p>
    <w:p w:rsidR="00B644DE" w:rsidRPr="00A412E9" w:rsidRDefault="005E5EA4" w:rsidP="00152889">
      <w:pPr>
        <w:pStyle w:val="ListParagraph"/>
        <w:spacing w:line="360" w:lineRule="auto"/>
        <w:jc w:val="both"/>
        <w:rPr>
          <w:rFonts w:ascii="Arial" w:hAnsi="Arial" w:cs="Arial"/>
          <w:lang w:val="en-GB"/>
        </w:rPr>
      </w:pPr>
      <w:r w:rsidRPr="00A412E9">
        <w:rPr>
          <w:rFonts w:ascii="Arial" w:hAnsi="Arial" w:cs="Arial"/>
          <w:lang w:val="en-GB"/>
        </w:rPr>
        <w:t>Concerning</w:t>
      </w:r>
      <w:r w:rsidR="00C87A75" w:rsidRPr="00A412E9">
        <w:rPr>
          <w:rFonts w:ascii="Arial" w:hAnsi="Arial" w:cs="Arial"/>
          <w:lang w:val="en-GB"/>
        </w:rPr>
        <w:t xml:space="preserve"> </w:t>
      </w:r>
      <w:r w:rsidR="009C011C" w:rsidRPr="00A412E9">
        <w:rPr>
          <w:rFonts w:ascii="Arial" w:hAnsi="Arial" w:cs="Arial"/>
          <w:lang w:val="en-GB"/>
        </w:rPr>
        <w:t>Output (or intermediate consumption)</w:t>
      </w:r>
      <w:r w:rsidR="0007339C" w:rsidRPr="00A412E9">
        <w:rPr>
          <w:rFonts w:ascii="Arial" w:hAnsi="Arial" w:cs="Arial"/>
          <w:lang w:val="en-GB"/>
        </w:rPr>
        <w:t xml:space="preserve"> specifically</w:t>
      </w:r>
      <w:r w:rsidR="00BE5535" w:rsidRPr="00A412E9">
        <w:rPr>
          <w:rFonts w:ascii="Arial" w:hAnsi="Arial" w:cs="Arial"/>
          <w:lang w:val="en-GB"/>
        </w:rPr>
        <w:t>,</w:t>
      </w:r>
      <w:r w:rsidR="009C011C" w:rsidRPr="00A412E9">
        <w:rPr>
          <w:rFonts w:ascii="Arial" w:hAnsi="Arial" w:cs="Arial"/>
          <w:lang w:val="en-GB"/>
        </w:rPr>
        <w:t xml:space="preserve"> not only the </w:t>
      </w:r>
      <w:r w:rsidR="00463370" w:rsidRPr="00A412E9">
        <w:rPr>
          <w:rFonts w:ascii="Arial" w:hAnsi="Arial" w:cs="Arial"/>
          <w:lang w:val="en-GB"/>
        </w:rPr>
        <w:t>nature</w:t>
      </w:r>
      <w:r w:rsidR="009C011C" w:rsidRPr="00A412E9">
        <w:rPr>
          <w:rFonts w:ascii="Arial" w:hAnsi="Arial" w:cs="Arial"/>
          <w:lang w:val="en-GB"/>
        </w:rPr>
        <w:t xml:space="preserve"> of </w:t>
      </w:r>
      <w:r w:rsidR="00463370" w:rsidRPr="00A412E9">
        <w:rPr>
          <w:rFonts w:ascii="Arial" w:hAnsi="Arial" w:cs="Arial"/>
          <w:lang w:val="en-GB"/>
        </w:rPr>
        <w:t xml:space="preserve">the </w:t>
      </w:r>
      <w:r w:rsidR="009C011C" w:rsidRPr="00A412E9">
        <w:rPr>
          <w:rFonts w:ascii="Arial" w:hAnsi="Arial" w:cs="Arial"/>
          <w:lang w:val="en-GB"/>
        </w:rPr>
        <w:t>transaction</w:t>
      </w:r>
      <w:r w:rsidR="00DF4B2F" w:rsidRPr="00A412E9">
        <w:rPr>
          <w:rFonts w:ascii="Arial" w:hAnsi="Arial" w:cs="Arial"/>
          <w:lang w:val="en-GB"/>
        </w:rPr>
        <w:t xml:space="preserve"> shall</w:t>
      </w:r>
      <w:r w:rsidR="009C011C" w:rsidRPr="00A412E9">
        <w:rPr>
          <w:rFonts w:ascii="Arial" w:hAnsi="Arial" w:cs="Arial"/>
          <w:lang w:val="en-GB"/>
        </w:rPr>
        <w:t xml:space="preserve"> be classified but also the products produced (or consumed in </w:t>
      </w:r>
      <w:r w:rsidR="00463370" w:rsidRPr="00A412E9">
        <w:rPr>
          <w:rFonts w:ascii="Arial" w:hAnsi="Arial" w:cs="Arial"/>
          <w:lang w:val="en-GB"/>
        </w:rPr>
        <w:t xml:space="preserve">the </w:t>
      </w:r>
      <w:r w:rsidR="009C011C" w:rsidRPr="00A412E9">
        <w:rPr>
          <w:rFonts w:ascii="Arial" w:hAnsi="Arial" w:cs="Arial"/>
          <w:lang w:val="en-GB"/>
        </w:rPr>
        <w:t>production processes)</w:t>
      </w:r>
      <w:r w:rsidR="00463370" w:rsidRPr="00A412E9">
        <w:rPr>
          <w:rFonts w:ascii="Arial" w:hAnsi="Arial" w:cs="Arial"/>
          <w:lang w:val="en-GB"/>
        </w:rPr>
        <w:t>.</w:t>
      </w:r>
    </w:p>
    <w:p w:rsidR="003A6DB8" w:rsidRPr="00A412E9" w:rsidRDefault="0007339C" w:rsidP="00152889">
      <w:pPr>
        <w:pStyle w:val="ListParagraph"/>
        <w:spacing w:line="360" w:lineRule="auto"/>
        <w:jc w:val="both"/>
        <w:rPr>
          <w:rFonts w:ascii="Arial" w:hAnsi="Arial" w:cs="Arial"/>
          <w:lang w:val="en-GB"/>
        </w:rPr>
      </w:pPr>
      <w:r w:rsidRPr="00A412E9">
        <w:rPr>
          <w:rFonts w:ascii="Arial" w:hAnsi="Arial" w:cs="Arial"/>
          <w:lang w:val="en-GB"/>
        </w:rPr>
        <w:t>Generally, t</w:t>
      </w:r>
      <w:r w:rsidR="00233941" w:rsidRPr="00A412E9">
        <w:rPr>
          <w:rFonts w:ascii="Arial" w:hAnsi="Arial" w:cs="Arial"/>
          <w:lang w:val="en-GB"/>
        </w:rPr>
        <w:t>he</w:t>
      </w:r>
      <w:r w:rsidR="002B4A57" w:rsidRPr="00A412E9">
        <w:rPr>
          <w:rFonts w:ascii="Arial" w:hAnsi="Arial" w:cs="Arial"/>
          <w:lang w:val="en-GB"/>
        </w:rPr>
        <w:t>se</w:t>
      </w:r>
      <w:r w:rsidRPr="00A412E9">
        <w:rPr>
          <w:rFonts w:ascii="Arial" w:hAnsi="Arial" w:cs="Arial"/>
          <w:lang w:val="en-GB"/>
        </w:rPr>
        <w:t xml:space="preserve"> data on Output and </w:t>
      </w:r>
      <w:r w:rsidR="00233941" w:rsidRPr="00A412E9">
        <w:rPr>
          <w:rFonts w:ascii="Arial" w:hAnsi="Arial" w:cs="Arial"/>
          <w:lang w:val="en-GB"/>
        </w:rPr>
        <w:t xml:space="preserve">Intermediate consumption </w:t>
      </w:r>
      <w:r w:rsidR="002B4A57" w:rsidRPr="00A412E9">
        <w:rPr>
          <w:rFonts w:ascii="Arial" w:hAnsi="Arial" w:cs="Arial"/>
          <w:lang w:val="en-GB"/>
        </w:rPr>
        <w:t>are</w:t>
      </w:r>
      <w:r w:rsidRPr="00A412E9">
        <w:rPr>
          <w:rFonts w:ascii="Arial" w:hAnsi="Arial" w:cs="Arial"/>
          <w:lang w:val="en-GB"/>
        </w:rPr>
        <w:t xml:space="preserve"> obtained from seve</w:t>
      </w:r>
      <w:r w:rsidR="000235DE" w:rsidRPr="00A412E9">
        <w:rPr>
          <w:rFonts w:ascii="Arial" w:hAnsi="Arial" w:cs="Arial"/>
          <w:lang w:val="en-GB"/>
        </w:rPr>
        <w:t>ral sources, often associated with</w:t>
      </w:r>
      <w:r w:rsidRPr="00A412E9">
        <w:rPr>
          <w:rFonts w:ascii="Arial" w:hAnsi="Arial" w:cs="Arial"/>
          <w:lang w:val="en-GB"/>
        </w:rPr>
        <w:t xml:space="preserve"> specific insti</w:t>
      </w:r>
      <w:r w:rsidR="000B452E" w:rsidRPr="00A412E9">
        <w:rPr>
          <w:rFonts w:ascii="Arial" w:hAnsi="Arial" w:cs="Arial"/>
          <w:lang w:val="en-GB"/>
        </w:rPr>
        <w:t>tutional sectors, and that are usually common to other NA</w:t>
      </w:r>
      <w:r w:rsidR="00A07F57" w:rsidRPr="00A412E9">
        <w:rPr>
          <w:rFonts w:ascii="Arial" w:hAnsi="Arial" w:cs="Arial"/>
          <w:lang w:val="en-GB"/>
        </w:rPr>
        <w:t xml:space="preserve"> outcomes</w:t>
      </w:r>
      <w:r w:rsidR="000B452E" w:rsidRPr="00A412E9">
        <w:rPr>
          <w:rFonts w:ascii="Arial" w:hAnsi="Arial" w:cs="Arial"/>
          <w:lang w:val="en-GB"/>
        </w:rPr>
        <w:t xml:space="preserve"> or sub-systems, like </w:t>
      </w:r>
      <w:r w:rsidR="009A435F" w:rsidRPr="00A412E9">
        <w:rPr>
          <w:rFonts w:ascii="Arial" w:hAnsi="Arial" w:cs="Arial"/>
          <w:lang w:val="en-GB"/>
        </w:rPr>
        <w:t>quarterly accounts</w:t>
      </w:r>
      <w:r w:rsidR="006D0319" w:rsidRPr="00A412E9">
        <w:rPr>
          <w:rFonts w:ascii="Arial" w:hAnsi="Arial" w:cs="Arial"/>
          <w:lang w:val="en-GB"/>
        </w:rPr>
        <w:t>, regional accounts or</w:t>
      </w:r>
      <w:r w:rsidR="009A435F" w:rsidRPr="00A412E9">
        <w:rPr>
          <w:rFonts w:ascii="Arial" w:hAnsi="Arial" w:cs="Arial"/>
          <w:lang w:val="en-GB"/>
        </w:rPr>
        <w:t xml:space="preserve"> </w:t>
      </w:r>
      <w:r w:rsidR="000B452E" w:rsidRPr="00A412E9">
        <w:rPr>
          <w:rFonts w:ascii="Arial" w:hAnsi="Arial" w:cs="Arial"/>
          <w:lang w:val="en-GB"/>
        </w:rPr>
        <w:t xml:space="preserve">satellite accounts (agriculture, </w:t>
      </w:r>
      <w:r w:rsidR="006D0319" w:rsidRPr="00A412E9">
        <w:rPr>
          <w:rFonts w:ascii="Arial" w:hAnsi="Arial" w:cs="Arial"/>
          <w:lang w:val="en-GB"/>
        </w:rPr>
        <w:t xml:space="preserve">tourism, health, </w:t>
      </w:r>
      <w:r w:rsidR="000B452E" w:rsidRPr="00A412E9">
        <w:rPr>
          <w:rFonts w:ascii="Arial" w:hAnsi="Arial" w:cs="Arial"/>
          <w:lang w:val="en-GB"/>
        </w:rPr>
        <w:t xml:space="preserve">environment, </w:t>
      </w:r>
      <w:r w:rsidR="006D0319" w:rsidRPr="00A412E9">
        <w:rPr>
          <w:rFonts w:ascii="Arial" w:hAnsi="Arial" w:cs="Arial"/>
          <w:lang w:val="en-GB"/>
        </w:rPr>
        <w:t>SAM, etc.)</w:t>
      </w:r>
      <w:r w:rsidR="000B452E" w:rsidRPr="00A412E9">
        <w:rPr>
          <w:rFonts w:ascii="Arial" w:hAnsi="Arial" w:cs="Arial"/>
          <w:lang w:val="en-GB"/>
        </w:rPr>
        <w:t xml:space="preserve"> </w:t>
      </w:r>
      <w:r w:rsidR="0015239B" w:rsidRPr="00A412E9">
        <w:rPr>
          <w:rFonts w:ascii="Arial" w:hAnsi="Arial" w:cs="Arial"/>
          <w:lang w:val="en-GB"/>
        </w:rPr>
        <w:t xml:space="preserve">and, furthermost, </w:t>
      </w:r>
      <w:r w:rsidR="00A07F57" w:rsidRPr="00A412E9">
        <w:rPr>
          <w:rFonts w:ascii="Arial" w:hAnsi="Arial" w:cs="Arial"/>
          <w:lang w:val="en-GB"/>
        </w:rPr>
        <w:t xml:space="preserve">to </w:t>
      </w:r>
      <w:r w:rsidR="0015239B" w:rsidRPr="00A412E9">
        <w:rPr>
          <w:rFonts w:ascii="Arial" w:hAnsi="Arial" w:cs="Arial"/>
          <w:lang w:val="en-GB"/>
        </w:rPr>
        <w:t>the whole economic accounts of the</w:t>
      </w:r>
      <w:r w:rsidR="009A435F" w:rsidRPr="00A412E9">
        <w:rPr>
          <w:rFonts w:ascii="Arial" w:hAnsi="Arial" w:cs="Arial"/>
          <w:lang w:val="en-GB"/>
        </w:rPr>
        <w:t xml:space="preserve"> several</w:t>
      </w:r>
      <w:r w:rsidR="0015239B" w:rsidRPr="00A412E9">
        <w:rPr>
          <w:rFonts w:ascii="Arial" w:hAnsi="Arial" w:cs="Arial"/>
          <w:lang w:val="en-GB"/>
        </w:rPr>
        <w:t xml:space="preserve"> institutional sectors that</w:t>
      </w:r>
      <w:r w:rsidR="003A6DB8" w:rsidRPr="00A412E9">
        <w:rPr>
          <w:rFonts w:ascii="Arial" w:hAnsi="Arial" w:cs="Arial"/>
          <w:lang w:val="en-GB"/>
        </w:rPr>
        <w:t xml:space="preserve"> constitute the</w:t>
      </w:r>
      <w:r w:rsidR="000235DE" w:rsidRPr="00A412E9">
        <w:rPr>
          <w:rFonts w:ascii="Arial" w:hAnsi="Arial" w:cs="Arial"/>
          <w:lang w:val="en-GB"/>
        </w:rPr>
        <w:t xml:space="preserve"> integrated</w:t>
      </w:r>
      <w:r w:rsidR="009A435F" w:rsidRPr="00A412E9">
        <w:rPr>
          <w:rFonts w:ascii="Arial" w:hAnsi="Arial" w:cs="Arial"/>
          <w:lang w:val="en-GB"/>
        </w:rPr>
        <w:t xml:space="preserve"> economic accounts</w:t>
      </w:r>
      <w:r w:rsidR="000235DE" w:rsidRPr="00A412E9">
        <w:rPr>
          <w:rFonts w:ascii="Arial" w:hAnsi="Arial" w:cs="Arial"/>
          <w:lang w:val="en-GB"/>
        </w:rPr>
        <w:t xml:space="preserve"> table (QCEI, </w:t>
      </w:r>
      <w:r w:rsidR="001B5DFB" w:rsidRPr="00A412E9">
        <w:rPr>
          <w:rFonts w:ascii="Arial" w:hAnsi="Arial" w:cs="Arial"/>
          <w:lang w:val="en-GB"/>
        </w:rPr>
        <w:t>the Portuguese acronym of</w:t>
      </w:r>
      <w:r w:rsidR="001B5DFB" w:rsidRPr="00A412E9">
        <w:rPr>
          <w:rFonts w:ascii="Arial" w:hAnsi="Arial" w:cs="Arial"/>
          <w:i/>
          <w:lang w:val="en-GB"/>
        </w:rPr>
        <w:t xml:space="preserve"> </w:t>
      </w:r>
      <w:proofErr w:type="spellStart"/>
      <w:r w:rsidR="000235DE" w:rsidRPr="00A412E9">
        <w:rPr>
          <w:rFonts w:ascii="Arial" w:hAnsi="Arial" w:cs="Arial"/>
          <w:i/>
          <w:lang w:val="en-GB"/>
        </w:rPr>
        <w:t>Quadro</w:t>
      </w:r>
      <w:proofErr w:type="spellEnd"/>
      <w:r w:rsidR="000235DE" w:rsidRPr="00A412E9">
        <w:rPr>
          <w:rFonts w:ascii="Arial" w:hAnsi="Arial" w:cs="Arial"/>
          <w:i/>
          <w:lang w:val="en-GB"/>
        </w:rPr>
        <w:t xml:space="preserve"> de </w:t>
      </w:r>
      <w:proofErr w:type="spellStart"/>
      <w:r w:rsidR="000235DE" w:rsidRPr="00A412E9">
        <w:rPr>
          <w:rFonts w:ascii="Arial" w:hAnsi="Arial" w:cs="Arial"/>
          <w:i/>
          <w:lang w:val="en-GB"/>
        </w:rPr>
        <w:t>Contas</w:t>
      </w:r>
      <w:proofErr w:type="spellEnd"/>
      <w:r w:rsidR="000235DE" w:rsidRPr="00A412E9">
        <w:rPr>
          <w:rFonts w:ascii="Arial" w:hAnsi="Arial" w:cs="Arial"/>
          <w:i/>
          <w:lang w:val="en-GB"/>
        </w:rPr>
        <w:t xml:space="preserve"> </w:t>
      </w:r>
      <w:proofErr w:type="spellStart"/>
      <w:r w:rsidR="000235DE" w:rsidRPr="00A412E9">
        <w:rPr>
          <w:rFonts w:ascii="Arial" w:hAnsi="Arial" w:cs="Arial"/>
          <w:i/>
          <w:lang w:val="en-GB"/>
        </w:rPr>
        <w:t>Económicas</w:t>
      </w:r>
      <w:proofErr w:type="spellEnd"/>
      <w:r w:rsidR="000235DE" w:rsidRPr="00A412E9">
        <w:rPr>
          <w:rFonts w:ascii="Arial" w:hAnsi="Arial" w:cs="Arial"/>
          <w:i/>
          <w:lang w:val="en-GB"/>
        </w:rPr>
        <w:t xml:space="preserve"> </w:t>
      </w:r>
      <w:proofErr w:type="spellStart"/>
      <w:r w:rsidR="000235DE" w:rsidRPr="00A412E9">
        <w:rPr>
          <w:rFonts w:ascii="Arial" w:hAnsi="Arial" w:cs="Arial"/>
          <w:i/>
          <w:lang w:val="en-GB"/>
        </w:rPr>
        <w:t>Integradas</w:t>
      </w:r>
      <w:proofErr w:type="spellEnd"/>
      <w:r w:rsidR="000235DE" w:rsidRPr="00A412E9">
        <w:rPr>
          <w:rFonts w:ascii="Arial" w:hAnsi="Arial" w:cs="Arial"/>
          <w:lang w:val="en-GB"/>
        </w:rPr>
        <w:t>)</w:t>
      </w:r>
      <w:r w:rsidR="00A07F57" w:rsidRPr="00A412E9">
        <w:rPr>
          <w:rFonts w:ascii="Arial" w:hAnsi="Arial" w:cs="Arial"/>
          <w:lang w:val="en-GB"/>
        </w:rPr>
        <w:t>.</w:t>
      </w:r>
      <w:r w:rsidR="000235DE" w:rsidRPr="00A412E9">
        <w:rPr>
          <w:rFonts w:ascii="Arial" w:hAnsi="Arial" w:cs="Arial"/>
          <w:lang w:val="en-GB"/>
        </w:rPr>
        <w:t xml:space="preserve"> </w:t>
      </w:r>
    </w:p>
    <w:p w:rsidR="00D338AF" w:rsidRDefault="003A6DB8" w:rsidP="00152889">
      <w:pPr>
        <w:pStyle w:val="ListParagraph"/>
        <w:spacing w:line="360" w:lineRule="auto"/>
        <w:jc w:val="both"/>
        <w:rPr>
          <w:rFonts w:ascii="Arial" w:hAnsi="Arial" w:cs="Arial"/>
          <w:lang w:val="en-GB"/>
        </w:rPr>
      </w:pPr>
      <w:r w:rsidRPr="00A412E9">
        <w:rPr>
          <w:rFonts w:ascii="Arial" w:hAnsi="Arial" w:cs="Arial"/>
          <w:lang w:val="en-GB"/>
        </w:rPr>
        <w:t xml:space="preserve">Main NA output tables </w:t>
      </w:r>
      <w:r w:rsidR="00A07F57" w:rsidRPr="00A412E9">
        <w:rPr>
          <w:rFonts w:ascii="Arial" w:hAnsi="Arial" w:cs="Arial"/>
          <w:lang w:val="en-GB"/>
        </w:rPr>
        <w:t>QCEI and QRE are perfectly consistent and coherent between, since their elaboration is developed in full connection</w:t>
      </w:r>
      <w:r w:rsidR="00FA2B75" w:rsidRPr="00A412E9">
        <w:rPr>
          <w:rFonts w:ascii="Arial" w:hAnsi="Arial" w:cs="Arial"/>
          <w:lang w:val="en-GB"/>
        </w:rPr>
        <w:t xml:space="preserve"> and interactivity</w:t>
      </w:r>
      <w:r w:rsidR="00A07F57" w:rsidRPr="00A412E9">
        <w:rPr>
          <w:rFonts w:ascii="Arial" w:hAnsi="Arial" w:cs="Arial"/>
          <w:lang w:val="en-GB"/>
        </w:rPr>
        <w:t xml:space="preserve">. </w:t>
      </w:r>
    </w:p>
    <w:p w:rsidR="00D8024F" w:rsidRPr="00A412E9" w:rsidRDefault="00131ED4" w:rsidP="00152889">
      <w:pPr>
        <w:pStyle w:val="ListParagraph"/>
        <w:spacing w:line="360" w:lineRule="auto"/>
        <w:jc w:val="both"/>
        <w:rPr>
          <w:rFonts w:ascii="Arial" w:hAnsi="Arial" w:cs="Arial"/>
          <w:lang w:val="en-GB"/>
        </w:rPr>
      </w:pPr>
      <w:r w:rsidRPr="00A412E9">
        <w:rPr>
          <w:rFonts w:ascii="Arial" w:hAnsi="Arial" w:cs="Arial"/>
          <w:lang w:val="en-GB"/>
        </w:rPr>
        <w:t xml:space="preserve">In advance to SUT (QRE) compilation, </w:t>
      </w:r>
      <w:r w:rsidR="00F87E4F" w:rsidRPr="00A412E9">
        <w:rPr>
          <w:rFonts w:ascii="Arial" w:hAnsi="Arial" w:cs="Arial"/>
          <w:lang w:val="en-GB"/>
        </w:rPr>
        <w:t>other important set of tables have to be underta</w:t>
      </w:r>
      <w:r w:rsidR="003A6DB8" w:rsidRPr="00A412E9">
        <w:rPr>
          <w:rFonts w:ascii="Arial" w:hAnsi="Arial" w:cs="Arial"/>
          <w:lang w:val="en-GB"/>
        </w:rPr>
        <w:t>ken</w:t>
      </w:r>
      <w:r w:rsidR="00F87E4F" w:rsidRPr="00A412E9">
        <w:rPr>
          <w:rFonts w:ascii="Arial" w:hAnsi="Arial" w:cs="Arial"/>
          <w:lang w:val="en-GB"/>
        </w:rPr>
        <w:t>: output matrices, intermediate consumption matrices plus supply and use balance tables (ERE,</w:t>
      </w:r>
      <w:r w:rsidR="001B5DFB" w:rsidRPr="00A412E9">
        <w:rPr>
          <w:rFonts w:ascii="Arial" w:hAnsi="Arial" w:cs="Arial"/>
          <w:lang w:val="en-GB"/>
        </w:rPr>
        <w:t xml:space="preserve"> the Portuguese acronym of</w:t>
      </w:r>
      <w:r w:rsidR="00F87E4F" w:rsidRPr="00A412E9">
        <w:rPr>
          <w:rFonts w:ascii="Arial" w:hAnsi="Arial" w:cs="Arial"/>
          <w:lang w:val="en-GB"/>
        </w:rPr>
        <w:t xml:space="preserve"> </w:t>
      </w:r>
      <w:proofErr w:type="spellStart"/>
      <w:r w:rsidR="00F87E4F" w:rsidRPr="00A412E9">
        <w:rPr>
          <w:rFonts w:ascii="Arial" w:hAnsi="Arial" w:cs="Arial"/>
          <w:i/>
          <w:lang w:val="en-GB"/>
        </w:rPr>
        <w:t>Equilíbrio</w:t>
      </w:r>
      <w:proofErr w:type="spellEnd"/>
      <w:r w:rsidR="00F87E4F" w:rsidRPr="00A412E9">
        <w:rPr>
          <w:rFonts w:ascii="Arial" w:hAnsi="Arial" w:cs="Arial"/>
          <w:i/>
          <w:lang w:val="en-GB"/>
        </w:rPr>
        <w:t xml:space="preserve"> </w:t>
      </w:r>
      <w:proofErr w:type="spellStart"/>
      <w:r w:rsidR="00F87E4F" w:rsidRPr="00A412E9">
        <w:rPr>
          <w:rFonts w:ascii="Arial" w:hAnsi="Arial" w:cs="Arial"/>
          <w:i/>
          <w:lang w:val="en-GB"/>
        </w:rPr>
        <w:t>Recursos</w:t>
      </w:r>
      <w:proofErr w:type="spellEnd"/>
      <w:r w:rsidR="00F87E4F" w:rsidRPr="00A412E9">
        <w:rPr>
          <w:rFonts w:ascii="Arial" w:hAnsi="Arial" w:cs="Arial"/>
          <w:i/>
          <w:lang w:val="en-GB"/>
        </w:rPr>
        <w:t xml:space="preserve"> e </w:t>
      </w:r>
      <w:proofErr w:type="spellStart"/>
      <w:r w:rsidR="00F87E4F" w:rsidRPr="00A412E9">
        <w:rPr>
          <w:rFonts w:ascii="Arial" w:hAnsi="Arial" w:cs="Arial"/>
          <w:i/>
          <w:lang w:val="en-GB"/>
        </w:rPr>
        <w:t>Empregos</w:t>
      </w:r>
      <w:proofErr w:type="spellEnd"/>
      <w:r w:rsidR="00F87E4F" w:rsidRPr="00A412E9">
        <w:rPr>
          <w:rFonts w:ascii="Arial" w:hAnsi="Arial" w:cs="Arial"/>
          <w:lang w:val="en-GB"/>
        </w:rPr>
        <w:t>), further on explained.</w:t>
      </w:r>
    </w:p>
    <w:p w:rsidR="00344D93" w:rsidRPr="00A412E9" w:rsidRDefault="00344D93" w:rsidP="00152889">
      <w:pPr>
        <w:pStyle w:val="ListParagraph"/>
        <w:spacing w:line="360" w:lineRule="auto"/>
        <w:jc w:val="both"/>
        <w:rPr>
          <w:rFonts w:ascii="Arial" w:hAnsi="Arial" w:cs="Arial"/>
          <w:lang w:val="en-GB"/>
        </w:rPr>
      </w:pPr>
    </w:p>
    <w:p w:rsidR="00673061" w:rsidRPr="00A412E9" w:rsidRDefault="00F87E4F" w:rsidP="003A6DB8">
      <w:pPr>
        <w:pStyle w:val="ListParagraph"/>
        <w:spacing w:line="360" w:lineRule="auto"/>
        <w:jc w:val="both"/>
        <w:rPr>
          <w:rFonts w:ascii="Arial" w:hAnsi="Arial" w:cs="Arial"/>
          <w:lang w:val="en-GB"/>
        </w:rPr>
      </w:pPr>
      <w:r w:rsidRPr="00A412E9">
        <w:rPr>
          <w:rFonts w:ascii="Arial" w:hAnsi="Arial" w:cs="Arial"/>
          <w:lang w:val="en-GB"/>
        </w:rPr>
        <w:t xml:space="preserve">The role of SUT (QRE) in the NA framework may be </w:t>
      </w:r>
      <w:r w:rsidR="00344D93" w:rsidRPr="00A412E9">
        <w:rPr>
          <w:rFonts w:ascii="Arial" w:hAnsi="Arial" w:cs="Arial"/>
          <w:lang w:val="en-GB"/>
        </w:rPr>
        <w:t>completed by the illustration of</w:t>
      </w:r>
      <w:r w:rsidRPr="00A412E9">
        <w:rPr>
          <w:rFonts w:ascii="Arial" w:hAnsi="Arial" w:cs="Arial"/>
          <w:lang w:val="en-GB"/>
        </w:rPr>
        <w:t xml:space="preserve"> the following pictures focused on the overall </w:t>
      </w:r>
      <w:r w:rsidR="00344D93" w:rsidRPr="00A412E9">
        <w:rPr>
          <w:rFonts w:ascii="Arial" w:hAnsi="Arial" w:cs="Arial"/>
          <w:lang w:val="en-GB"/>
        </w:rPr>
        <w:t>NA compilation.</w:t>
      </w:r>
      <w:r w:rsidR="00673061" w:rsidRPr="00A412E9">
        <w:rPr>
          <w:rFonts w:ascii="Arial" w:hAnsi="Arial" w:cs="Arial"/>
          <w:lang w:val="en-GB"/>
        </w:rPr>
        <w:br w:type="page"/>
      </w:r>
    </w:p>
    <w:p w:rsidR="003D0764" w:rsidRDefault="00B81A1E" w:rsidP="003D0764">
      <w:pPr>
        <w:spacing w:line="360" w:lineRule="auto"/>
        <w:rPr>
          <w:rFonts w:ascii="Arial" w:hAnsi="Arial" w:cs="Arial"/>
          <w:b/>
          <w:sz w:val="18"/>
          <w:szCs w:val="18"/>
          <w:lang w:val="en-GB"/>
        </w:rPr>
      </w:pPr>
      <w:r w:rsidRPr="00B81A1E">
        <w:rPr>
          <w:rFonts w:ascii="Arial" w:hAnsi="Arial" w:cs="Arial"/>
          <w:b/>
          <w:sz w:val="18"/>
          <w:szCs w:val="18"/>
          <w:lang w:val="en-GB"/>
        </w:rPr>
        <w:lastRenderedPageBreak/>
        <w:t>Figure 2 - Overall NA compilation (I)</w:t>
      </w:r>
    </w:p>
    <w:p w:rsidR="00933912" w:rsidRPr="001D6EC5" w:rsidRDefault="00B527C3" w:rsidP="003D0764">
      <w:pPr>
        <w:spacing w:line="360" w:lineRule="auto"/>
        <w:rPr>
          <w:rFonts w:ascii="Arial" w:hAnsi="Arial" w:cs="Arial"/>
          <w:b/>
          <w:sz w:val="14"/>
          <w:szCs w:val="14"/>
          <w:lang w:val="en-GB"/>
        </w:rPr>
      </w:pPr>
      <w:r w:rsidRPr="00B527C3">
        <w:rPr>
          <w:rFonts w:ascii="Arial" w:hAnsi="Arial" w:cs="Arial"/>
          <w:b/>
          <w:sz w:val="14"/>
          <w:szCs w:val="14"/>
          <w:lang w:val="en-GB"/>
        </w:rPr>
      </w:r>
      <w:r>
        <w:rPr>
          <w:rFonts w:ascii="Arial" w:hAnsi="Arial" w:cs="Arial"/>
          <w:b/>
          <w:sz w:val="14"/>
          <w:szCs w:val="14"/>
          <w:lang w:val="en-GB"/>
        </w:rPr>
        <w:pict>
          <v:group id="_x0000_s1028" editas="canvas" style="width:471.2pt;height:654.9pt;mso-position-horizontal-relative:char;mso-position-vertical-relative:line" coordsize="9424,130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24;height:13098" o:preferrelative="f">
              <v:fill o:detectmouseclick="t"/>
              <v:path o:extrusionok="t" o:connecttype="none"/>
              <o:lock v:ext="edit" text="t"/>
            </v:shape>
            <v:rect id="_x0000_s1029" style="position:absolute;width:934;height:201" stroked="f"/>
            <v:rect id="_x0000_s1030" style="position:absolute;left:919;width:8505;height:201" stroked="f"/>
            <v:rect id="_x0000_s1031" style="position:absolute;top:187;width:9424;height:12911" stroked="f"/>
            <v:rect id="_x0000_s1032" style="position:absolute;left:43;top:1020;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33" style="position:absolute;left:215;top:1020;width:291;height:438;mso-wrap-style:none" filled="f" stroked="f">
              <v:textbox style="mso-fit-shape-to-text:t" inset="0,0,0,0">
                <w:txbxContent>
                  <w:p w:rsidR="00FC0BD2" w:rsidRDefault="00FC0BD2">
                    <w:r>
                      <w:rPr>
                        <w:rFonts w:ascii="Arial" w:hAnsi="Arial" w:cs="Arial"/>
                        <w:color w:val="000000"/>
                        <w:sz w:val="18"/>
                        <w:szCs w:val="18"/>
                        <w:lang w:val="en-US"/>
                      </w:rPr>
                      <w:t xml:space="preserve">IES </w:t>
                    </w:r>
                  </w:p>
                </w:txbxContent>
              </v:textbox>
            </v:rect>
            <v:rect id="_x0000_s1034" style="position:absolute;left:575;top:1048;width:123;height:332;mso-wrap-style:none" filled="f" stroked="f">
              <v:textbox style="mso-fit-shape-to-text:t" inset="0,0,0,0">
                <w:txbxContent>
                  <w:p w:rsidR="00FC0BD2" w:rsidRDefault="00FC0BD2">
                    <w:r>
                      <w:rPr>
                        <w:rFonts w:ascii="Arial" w:hAnsi="Arial" w:cs="Arial"/>
                        <w:color w:val="000000"/>
                        <w:sz w:val="10"/>
                        <w:szCs w:val="10"/>
                        <w:lang w:val="en-US"/>
                      </w:rPr>
                      <w:t>(1)</w:t>
                    </w:r>
                  </w:p>
                </w:txbxContent>
              </v:textbox>
            </v:rect>
            <v:rect id="_x0000_s1035" style="position:absolute;left:43;top:1494;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36" style="position:absolute;left:215;top:1494;width:1121;height:438;mso-wrap-style:none" filled="f" stroked="f">
              <v:textbox style="mso-fit-shape-to-text:t" inset="0,0,0,0">
                <w:txbxContent>
                  <w:p w:rsidR="00FC0BD2" w:rsidRDefault="00FC0BD2">
                    <w:r>
                      <w:rPr>
                        <w:rFonts w:ascii="Arial" w:hAnsi="Arial" w:cs="Arial"/>
                        <w:color w:val="000000"/>
                        <w:sz w:val="18"/>
                        <w:szCs w:val="18"/>
                        <w:lang w:val="en-US"/>
                      </w:rPr>
                      <w:t>INE´s surveys</w:t>
                    </w:r>
                  </w:p>
                </w:txbxContent>
              </v:textbox>
            </v:rect>
            <v:rect id="_x0000_s1037" style="position:absolute;left:43;top:1968;width:129;height:509;mso-wrap-style:none" filled="f" stroked="f">
              <v:textbox style="mso-fit-shape-to-text:t" inset="0,0,0,0">
                <w:txbxContent>
                  <w:p w:rsidR="00FC0BD2" w:rsidRDefault="00FC0BD2"/>
                </w:txbxContent>
              </v:textbox>
            </v:rect>
            <v:rect id="_x0000_s1038" style="position:absolute;left:172;top:1968;width:1694;height:438" filled="f" stroked="f">
              <v:textbox style="mso-fit-shape-to-text:t" inset="0,0,0,0">
                <w:txbxContent>
                  <w:p w:rsidR="00FC0BD2" w:rsidRDefault="00D25F96">
                    <w:r>
                      <w:rPr>
                        <w:rFonts w:ascii="Arial" w:hAnsi="Arial" w:cs="Arial"/>
                        <w:color w:val="000000"/>
                        <w:sz w:val="18"/>
                        <w:szCs w:val="18"/>
                        <w:lang w:val="en-US"/>
                      </w:rPr>
                      <w:t>S</w:t>
                    </w:r>
                    <w:r w:rsidR="00FC0BD2">
                      <w:rPr>
                        <w:rFonts w:ascii="Arial" w:hAnsi="Arial" w:cs="Arial"/>
                        <w:color w:val="000000"/>
                        <w:sz w:val="18"/>
                        <w:szCs w:val="18"/>
                        <w:lang w:val="en-US"/>
                      </w:rPr>
                      <w:t>ector publications</w:t>
                    </w:r>
                  </w:p>
                </w:txbxContent>
              </v:textbox>
            </v:rect>
            <v:rect id="_x0000_s1039" style="position:absolute;left:43;top:2801;width:1501;height:438;mso-wrap-style:none" filled="f" stroked="f">
              <v:textbox style="mso-fit-shape-to-text:t" inset="0,0,0,0">
                <w:txbxContent>
                  <w:p w:rsidR="00FC0BD2" w:rsidRDefault="00FC0BD2">
                    <w:r>
                      <w:rPr>
                        <w:rFonts w:ascii="Arial" w:hAnsi="Arial" w:cs="Arial"/>
                        <w:color w:val="000000"/>
                        <w:sz w:val="18"/>
                        <w:szCs w:val="18"/>
                        <w:lang w:val="en-US"/>
                      </w:rPr>
                      <w:t xml:space="preserve">    </w:t>
                    </w:r>
                    <w:proofErr w:type="gramStart"/>
                    <w:r>
                      <w:rPr>
                        <w:rFonts w:ascii="Arial" w:hAnsi="Arial" w:cs="Arial"/>
                        <w:color w:val="000000"/>
                        <w:sz w:val="18"/>
                        <w:szCs w:val="18"/>
                        <w:lang w:val="en-US"/>
                      </w:rPr>
                      <w:t>bodies</w:t>
                    </w:r>
                    <w:proofErr w:type="gramEnd"/>
                    <w:r>
                      <w:rPr>
                        <w:rFonts w:ascii="Arial" w:hAnsi="Arial" w:cs="Arial"/>
                        <w:color w:val="000000"/>
                        <w:sz w:val="18"/>
                        <w:szCs w:val="18"/>
                        <w:lang w:val="en-US"/>
                      </w:rPr>
                      <w:t xml:space="preserve"> accounts</w:t>
                    </w:r>
                  </w:p>
                </w:txbxContent>
              </v:textbox>
            </v:rect>
            <v:rect id="_x0000_s1040" style="position:absolute;left:43;top:3863;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41" style="position:absolute;left:215;top:3863;width:1301;height:438;mso-wrap-style:none" filled="f" stroked="f">
              <v:textbox style="mso-fit-shape-to-text:t" inset="0,0,0,0">
                <w:txbxContent>
                  <w:p w:rsidR="00FC0BD2" w:rsidRDefault="00FC0BD2">
                    <w:r>
                      <w:rPr>
                        <w:rFonts w:ascii="Arial" w:hAnsi="Arial" w:cs="Arial"/>
                        <w:color w:val="000000"/>
                        <w:sz w:val="18"/>
                        <w:szCs w:val="18"/>
                        <w:lang w:val="en-US"/>
                      </w:rPr>
                      <w:t>Output - product</w:t>
                    </w:r>
                  </w:p>
                </w:txbxContent>
              </v:textbox>
            </v:rect>
            <v:rect id="_x0000_s1042" style="position:absolute;left:43;top:4337;width:2692;height:438;mso-wrap-style:none" filled="f" stroked="f">
              <v:textbox style="mso-fit-shape-to-text:t" inset="0,0,0,0">
                <w:txbxContent>
                  <w:p w:rsidR="00FC0BD2" w:rsidRDefault="00FC0BD2">
                    <w:r>
                      <w:rPr>
                        <w:rFonts w:ascii="Arial" w:hAnsi="Arial" w:cs="Arial"/>
                        <w:color w:val="000000"/>
                        <w:sz w:val="18"/>
                        <w:szCs w:val="18"/>
                        <w:lang w:val="en-US"/>
                      </w:rPr>
                      <w:t xml:space="preserve"> Intermediate consumption - prod.</w:t>
                    </w:r>
                  </w:p>
                </w:txbxContent>
              </v:textbox>
            </v:rect>
            <v:rect id="_x0000_s1043" style="position:absolute;left:43;top:5170;width:1141;height:438;mso-wrap-style:none" filled="f" stroked="f">
              <v:textbox style="mso-fit-shape-to-text:t" inset="0,0,0,0">
                <w:txbxContent>
                  <w:p w:rsidR="00FC0BD2" w:rsidRDefault="00FC0BD2">
                    <w:r>
                      <w:rPr>
                        <w:rFonts w:ascii="Arial" w:hAnsi="Arial" w:cs="Arial"/>
                        <w:color w:val="000000"/>
                        <w:sz w:val="18"/>
                        <w:szCs w:val="18"/>
                        <w:lang w:val="en-US"/>
                      </w:rPr>
                      <w:t xml:space="preserve">    </w:t>
                    </w:r>
                    <w:proofErr w:type="gramStart"/>
                    <w:r>
                      <w:rPr>
                        <w:rFonts w:ascii="Arial" w:hAnsi="Arial" w:cs="Arial"/>
                        <w:color w:val="000000"/>
                        <w:sz w:val="18"/>
                        <w:szCs w:val="18"/>
                        <w:lang w:val="en-US"/>
                      </w:rPr>
                      <w:t>on</w:t>
                    </w:r>
                    <w:proofErr w:type="gramEnd"/>
                    <w:r>
                      <w:rPr>
                        <w:rFonts w:ascii="Arial" w:hAnsi="Arial" w:cs="Arial"/>
                        <w:color w:val="000000"/>
                        <w:sz w:val="18"/>
                        <w:szCs w:val="18"/>
                        <w:lang w:val="en-US"/>
                      </w:rPr>
                      <w:t xml:space="preserve"> products</w:t>
                    </w:r>
                  </w:p>
                </w:txbxContent>
              </v:textbox>
            </v:rect>
            <v:rect id="_x0000_s1044" style="position:absolute;left:43;top:5759;width:1561;height:438;mso-wrap-style:none" filled="f" stroked="f">
              <v:textbox style="mso-fit-shape-to-text:t" inset="0,0,0,0">
                <w:txbxContent>
                  <w:p w:rsidR="00FC0BD2" w:rsidRDefault="00FC0BD2">
                    <w:r>
                      <w:rPr>
                        <w:rFonts w:ascii="Arial" w:hAnsi="Arial" w:cs="Arial"/>
                        <w:color w:val="000000"/>
                        <w:sz w:val="18"/>
                        <w:szCs w:val="18"/>
                        <w:lang w:val="en-US"/>
                      </w:rPr>
                      <w:t xml:space="preserve"> International Trade</w:t>
                    </w:r>
                  </w:p>
                </w:txbxContent>
              </v:textbox>
            </v:rect>
            <v:rect id="_x0000_s1045" style="position:absolute;left:43;top:6233;width:1882;height:438;mso-wrap-style:none" filled="f" stroked="f">
              <v:textbox style="mso-fit-shape-to-text:t" inset="0,0,0,0">
                <w:txbxContent>
                  <w:p w:rsidR="00FC0BD2" w:rsidRDefault="00FC0BD2">
                    <w:r>
                      <w:rPr>
                        <w:rFonts w:ascii="Arial" w:hAnsi="Arial" w:cs="Arial"/>
                        <w:color w:val="000000"/>
                        <w:sz w:val="18"/>
                        <w:szCs w:val="18"/>
                        <w:lang w:val="en-US"/>
                      </w:rPr>
                      <w:t xml:space="preserve"> Changes in inventories</w:t>
                    </w:r>
                  </w:p>
                </w:txbxContent>
              </v:textbox>
            </v:rect>
            <v:rect id="_x0000_s1046" style="position:absolute;left:43;top:6707;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47" style="position:absolute;left:215;top:6707;width:2452;height:438;mso-wrap-style:none" filled="f" stroked="f">
              <v:textbox style="mso-fit-shape-to-text:t" inset="0,0,0,0">
                <w:txbxContent>
                  <w:p w:rsidR="00FC0BD2" w:rsidRDefault="00FC0BD2">
                    <w:r>
                      <w:rPr>
                        <w:rFonts w:ascii="Arial" w:hAnsi="Arial" w:cs="Arial"/>
                        <w:color w:val="000000"/>
                        <w:sz w:val="18"/>
                        <w:szCs w:val="18"/>
                        <w:lang w:val="en-US"/>
                      </w:rPr>
                      <w:t>Final consumption expenditure</w:t>
                    </w:r>
                  </w:p>
                </w:txbxContent>
              </v:textbox>
            </v:rect>
            <v:rect id="_x0000_s1048" style="position:absolute;left:43;top:8014;width:1641;height:438;mso-wrap-style:none" filled="f" stroked="f">
              <v:textbox style="mso-fit-shape-to-text:t" inset="0,0,0,0">
                <w:txbxContent>
                  <w:p w:rsidR="00FC0BD2" w:rsidRDefault="00FC0BD2">
                    <w:r>
                      <w:rPr>
                        <w:rFonts w:ascii="Arial" w:hAnsi="Arial" w:cs="Arial"/>
                        <w:color w:val="000000"/>
                        <w:sz w:val="18"/>
                        <w:szCs w:val="18"/>
                        <w:lang w:val="en-US"/>
                      </w:rPr>
                      <w:t xml:space="preserve">      </w:t>
                    </w:r>
                    <w:proofErr w:type="gramStart"/>
                    <w:r>
                      <w:rPr>
                        <w:rFonts w:ascii="Arial" w:hAnsi="Arial" w:cs="Arial"/>
                        <w:color w:val="000000"/>
                        <w:sz w:val="18"/>
                        <w:szCs w:val="18"/>
                        <w:lang w:val="en-US"/>
                      </w:rPr>
                      <w:t>data  information</w:t>
                    </w:r>
                    <w:proofErr w:type="gramEnd"/>
                  </w:p>
                </w:txbxContent>
              </v:textbox>
            </v:rect>
            <v:rect id="_x0000_s1049" style="position:absolute;left:43;top:9077;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50" style="position:absolute;left:215;top:9077;width:1121;height:438;mso-wrap-style:none" filled="f" stroked="f">
              <v:textbox style="mso-fit-shape-to-text:t" inset="0,0,0,0">
                <w:txbxContent>
                  <w:p w:rsidR="00FC0BD2" w:rsidRDefault="00FC0BD2">
                    <w:r>
                      <w:rPr>
                        <w:rFonts w:ascii="Arial" w:hAnsi="Arial" w:cs="Arial"/>
                        <w:color w:val="000000"/>
                        <w:sz w:val="18"/>
                        <w:szCs w:val="18"/>
                        <w:lang w:val="en-US"/>
                      </w:rPr>
                      <w:t>INE´s surveys</w:t>
                    </w:r>
                  </w:p>
                </w:txbxContent>
              </v:textbox>
            </v:rect>
            <v:rect id="_x0000_s1051" style="position:absolute;left:43;top:9551;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52" style="position:absolute;left:215;top:9551;width:1521;height:438;mso-wrap-style:none" filled="f" stroked="f">
              <v:textbox style="mso-fit-shape-to-text:t" inset="0,0,0,0">
                <w:txbxContent>
                  <w:p w:rsidR="00FC0BD2" w:rsidRDefault="00FC0BD2">
                    <w:r>
                      <w:rPr>
                        <w:rFonts w:ascii="Arial" w:hAnsi="Arial" w:cs="Arial"/>
                        <w:color w:val="000000"/>
                        <w:sz w:val="18"/>
                        <w:szCs w:val="18"/>
                        <w:lang w:val="en-US"/>
                      </w:rPr>
                      <w:t>Sector publications</w:t>
                    </w:r>
                  </w:p>
                </w:txbxContent>
              </v:textbox>
            </v:rect>
            <v:rect id="_x0000_s1053" style="position:absolute;left:43;top:10384;width:1501;height:438;mso-wrap-style:none" filled="f" stroked="f">
              <v:textbox style="mso-fit-shape-to-text:t" inset="0,0,0,0">
                <w:txbxContent>
                  <w:p w:rsidR="00FC0BD2" w:rsidRDefault="00FC0BD2">
                    <w:r>
                      <w:rPr>
                        <w:rFonts w:ascii="Arial" w:hAnsi="Arial" w:cs="Arial"/>
                        <w:color w:val="000000"/>
                        <w:sz w:val="18"/>
                        <w:szCs w:val="18"/>
                        <w:lang w:val="en-US"/>
                      </w:rPr>
                      <w:t xml:space="preserve">    </w:t>
                    </w:r>
                    <w:proofErr w:type="gramStart"/>
                    <w:r>
                      <w:rPr>
                        <w:rFonts w:ascii="Arial" w:hAnsi="Arial" w:cs="Arial"/>
                        <w:color w:val="000000"/>
                        <w:sz w:val="18"/>
                        <w:szCs w:val="18"/>
                        <w:lang w:val="en-US"/>
                      </w:rPr>
                      <w:t>bodies</w:t>
                    </w:r>
                    <w:proofErr w:type="gramEnd"/>
                    <w:r>
                      <w:rPr>
                        <w:rFonts w:ascii="Arial" w:hAnsi="Arial" w:cs="Arial"/>
                        <w:color w:val="000000"/>
                        <w:sz w:val="18"/>
                        <w:szCs w:val="18"/>
                        <w:lang w:val="en-US"/>
                      </w:rPr>
                      <w:t xml:space="preserve"> accounts</w:t>
                    </w:r>
                  </w:p>
                </w:txbxContent>
              </v:textbox>
            </v:rect>
            <v:rect id="_x0000_s1054" style="position:absolute;left:43;top:11446;width:1071;height:438;mso-wrap-style:none" filled="f" stroked="f">
              <v:textbox style="mso-fit-shape-to-text:t" inset="0,0,0,0">
                <w:txbxContent>
                  <w:p w:rsidR="00FC0BD2" w:rsidRDefault="00FC0BD2">
                    <w:r>
                      <w:rPr>
                        <w:rFonts w:ascii="Arial" w:hAnsi="Arial" w:cs="Arial"/>
                        <w:color w:val="000000"/>
                        <w:sz w:val="18"/>
                        <w:szCs w:val="18"/>
                        <w:lang w:val="en-US"/>
                      </w:rPr>
                      <w:t xml:space="preserve"> GFCF series</w:t>
                    </w:r>
                  </w:p>
                </w:txbxContent>
              </v:textbox>
            </v:rect>
            <v:rect id="_x0000_s1055" style="position:absolute;left:43;top:12610;width:2126;height:412;mso-wrap-style:none" filled="f" stroked="f">
              <v:textbox style="mso-fit-shape-to-text:t" inset="0,0,0,0">
                <w:txbxContent>
                  <w:p w:rsidR="00FC0BD2" w:rsidRPr="00FC0BD2" w:rsidRDefault="00FC0BD2">
                    <w:pPr>
                      <w:rPr>
                        <w:lang w:val="en-GB"/>
                      </w:rPr>
                    </w:pPr>
                    <w:r>
                      <w:rPr>
                        <w:rFonts w:ascii="Arial" w:hAnsi="Arial" w:cs="Arial"/>
                        <w:color w:val="000000"/>
                        <w:sz w:val="16"/>
                        <w:szCs w:val="16"/>
                        <w:lang w:val="en-US"/>
                      </w:rPr>
                      <w:t xml:space="preserve"> (1) - IES - administrative data</w:t>
                    </w:r>
                  </w:p>
                </w:txbxContent>
              </v:textbox>
            </v:rect>
            <v:rect id="_x0000_s1056" style="position:absolute;left:43;top:2556;width:51;height:509;mso-wrap-style:none" filled="f" stroked="f">
              <v:textbox style="mso-fit-shape-to-text:t" inset="0,0,0,0">
                <w:txbxContent>
                  <w:p w:rsidR="00FC0BD2" w:rsidRDefault="00FC0BD2">
                    <w:r>
                      <w:rPr>
                        <w:rFonts w:ascii="Arial" w:hAnsi="Arial" w:cs="Arial"/>
                        <w:b/>
                        <w:bCs/>
                        <w:color w:val="000000"/>
                        <w:sz w:val="18"/>
                        <w:szCs w:val="18"/>
                        <w:lang w:val="en-US"/>
                      </w:rPr>
                      <w:t xml:space="preserve"> </w:t>
                    </w:r>
                  </w:p>
                </w:txbxContent>
              </v:textbox>
            </v:rect>
            <v:rect id="_x0000_s1057" style="position:absolute;left:215;top:2556;width:1681;height:438;mso-wrap-style:none" filled="f" stroked="f">
              <v:textbox style="mso-fit-shape-to-text:t" inset="0,0,0,0">
                <w:txbxContent>
                  <w:p w:rsidR="00FC0BD2" w:rsidRDefault="00FC0BD2">
                    <w:r>
                      <w:rPr>
                        <w:rFonts w:ascii="Arial" w:hAnsi="Arial" w:cs="Arial"/>
                        <w:color w:val="000000"/>
                        <w:sz w:val="18"/>
                        <w:szCs w:val="18"/>
                        <w:lang w:val="en-US"/>
                      </w:rPr>
                      <w:t>General Government</w:t>
                    </w:r>
                  </w:p>
                </w:txbxContent>
              </v:textbox>
            </v:rect>
            <v:rect id="_x0000_s1058" style="position:absolute;left:43;top:4926;width:1511;height:438;mso-wrap-style:none" filled="f" stroked="f">
              <v:textbox style="mso-fit-shape-to-text:t" inset="0,0,0,0">
                <w:txbxContent>
                  <w:p w:rsidR="00FC0BD2" w:rsidRDefault="00FC0BD2">
                    <w:r>
                      <w:rPr>
                        <w:rFonts w:ascii="Arial" w:hAnsi="Arial" w:cs="Arial"/>
                        <w:color w:val="000000"/>
                        <w:sz w:val="18"/>
                        <w:szCs w:val="18"/>
                        <w:lang w:val="en-US"/>
                      </w:rPr>
                      <w:t xml:space="preserve"> Taxes &amp; subsidies</w:t>
                    </w:r>
                  </w:p>
                </w:txbxContent>
              </v:textbox>
            </v:rect>
            <v:rect id="_x0000_s1059" style="position:absolute;left:43;top:7770;width:1731;height:438;mso-wrap-style:none" filled="f" stroked="f">
              <v:textbox style="mso-fit-shape-to-text:t" inset="0,0,0,0">
                <w:txbxContent>
                  <w:p w:rsidR="00FC0BD2" w:rsidRDefault="00FC0BD2">
                    <w:r>
                      <w:rPr>
                        <w:rFonts w:ascii="Arial" w:hAnsi="Arial" w:cs="Arial"/>
                        <w:color w:val="000000"/>
                        <w:sz w:val="18"/>
                        <w:szCs w:val="18"/>
                        <w:lang w:val="en-US"/>
                      </w:rPr>
                      <w:t xml:space="preserve"> General Government</w:t>
                    </w:r>
                  </w:p>
                </w:txbxContent>
              </v:textbox>
            </v:rect>
            <v:rect id="_x0000_s1060" style="position:absolute;left:43;top:10139;width:1731;height:438;mso-wrap-style:none" filled="f" stroked="f">
              <v:textbox style="mso-fit-shape-to-text:t" inset="0,0,0,0">
                <w:txbxContent>
                  <w:p w:rsidR="00FC0BD2" w:rsidRDefault="00FC0BD2">
                    <w:r>
                      <w:rPr>
                        <w:rFonts w:ascii="Arial" w:hAnsi="Arial" w:cs="Arial"/>
                        <w:color w:val="000000"/>
                        <w:sz w:val="18"/>
                        <w:szCs w:val="18"/>
                        <w:lang w:val="en-US"/>
                      </w:rPr>
                      <w:t xml:space="preserve"> General Government</w:t>
                    </w:r>
                  </w:p>
                </w:txbxContent>
              </v:textbox>
            </v:rect>
            <v:line id="_x0000_s1061" style="position:absolute" from="14,187" to="8505,188" strokeweight="0"/>
            <v:rect id="_x0000_s1062" style="position:absolute;left:14;top:187;width:8491;height:14" fillcolor="black" stroked="f"/>
            <v:line id="_x0000_s1063" style="position:absolute" from="0,187" to="1,12552" strokeweight="0"/>
            <v:rect id="_x0000_s1064" style="position:absolute;top:187;width:14;height:12365" fillcolor="black" stroked="f"/>
            <v:line id="_x0000_s1065" style="position:absolute" from="14,12538" to="8505,12539" strokeweight="0"/>
            <v:rect id="_x0000_s1066" style="position:absolute;left:14;top:12538;width:8491;height:14" fillcolor="black" stroked="f"/>
            <v:line id="_x0000_s1067" style="position:absolute" from="8491,201" to="8492,12552" strokeweight="0"/>
            <v:rect id="_x0000_s1068" style="position:absolute;left:8491;top:201;width:14;height:12351" fillcolor="black" stroked="f"/>
            <v:shape id="_x0000_s1069" style="position:absolute;left:2772;top:741;width:669;height:2455" coordsize="745,2735" path="m3,l76,5r70,13l210,39hdc211,39,212,40,214,40hal268,68hdc269,69,270,69,271,70hal315,103hdc316,104,317,105,319,107hal352,145hdc353,146,354,148,355,150hal376,192hdc377,194,378,196,378,199hal385,244hdc385,245,385,246,385,247hal385,1143r,-3l392,1185r-2,-7l411,1220r-4,-6l441,1252r-3,-3l482,1283r-4,-2l531,1308r-3,-1l589,1327r65,12l723,1344hdc736,1344,745,1355,745,1367v,13,-9,24,-22,24hal651,1396r-65,13l528,1428r4,-1l479,1455r3,-2l438,1486r3,-4l407,1520r4,-5l390,1557r2,-7l385,1595r,-4l385,2487hdc385,2489,385,2490,385,2491hal378,2536hdc378,2539,377,2541,376,2543hal355,2585hdc354,2587,353,2589,352,2590hal319,2628hdc318,2629,316,2630,315,2631hal271,2665hdc270,2666,269,2667,267,2668hal213,2695hdc212,2695,211,2696,210,2696hal149,2716r-70,14l3,2735,,2688r70,-5l134,2671r61,-20l192,2652r54,-27l242,2627r44,-34l282,2597r33,-38l312,2564r21,-42l331,2529r7,-45l337,2487r,-896hdc337,1590,338,1589,338,1588hal345,1543hdc345,1540,346,1538,347,1536hal368,1494hdc369,1492,370,1490,372,1488hal406,1450hdc407,1449,408,1448,409,1447hal453,1414hdc454,1414,455,1413,456,1412hal509,1384hdc510,1384,512,1383,513,1383hal577,1362r71,-13l720,1344r,47l645,1386r-71,-14l513,1352hdc512,1352,511,1351,510,1351hal457,1324hdc455,1323,454,1322,453,1321hal409,1287hdc408,1287,407,1286,406,1284hal372,1246hdc370,1245,369,1243,368,1241hal347,1199hdc346,1197,345,1195,345,1192hal338,1147hdc338,1146,337,1145,337,1143hal337,247r1,4l331,206r2,7l312,171r3,5l282,138r4,4l242,109r3,2l191,83r4,1l137,65,73,52,,47,3,xe" fillcolor="#598f94" strokecolor="#598f94" strokeweight=".05pt">
              <v:path arrowok="t"/>
            </v:shape>
            <v:shape id="_x0000_s1070" style="position:absolute;left:2785;top:3656;width:713;height:3532" coordsize="794,3935" path="m5,l83,7hdc84,7,85,7,87,7hal159,26hdc160,27,161,27,163,28hal228,58hdc229,58,230,59,231,60hal288,99hdc289,100,291,101,292,102hal339,150hdc340,151,341,152,342,154hal377,209hdc378,210,378,212,379,213hal401,274hdc402,276,402,278,402,280hal410,345r,1298l418,1706r-1,-6l439,1761r-2,-5l473,1811r-3,-3l517,1856r-4,-3l569,1893r-4,-2l631,1921r-4,-2l699,1937r-3,l773,1944hdc785,1945,794,1955,794,1967v,13,-9,23,-21,24hal696,1998r4,l628,2017r3,-2l565,2045r4,-2l513,2082r4,-3l470,2127r3,-3l437,2179r2,-5l417,2235r1,-6l410,2294r,1293l402,3655hdc402,3657,402,3659,401,3661hal379,3722hdc378,3723,378,3725,377,3726hal342,3781hdc341,3783,340,3784,339,3785hal292,3833hdc291,3834,289,3835,288,3836hal231,3876hdc230,3877,229,3878,228,3878hal163,3908hdc161,3909,160,3909,158,3910hal86,3928hdc85,3928,84,3928,83,3928hal5,3935,,3888r78,-7l75,3881r72,-18l142,3865r65,-30l204,3837r57,-40l257,3800r47,-48l301,3756r35,-55l334,3705r22,-61l355,3650r7,-63l363,2289r8,-65hdc371,2222,371,2220,372,2218hal394,2157hdc395,2156,395,2154,396,2152hal432,2097hdc433,2096,434,2095,435,2094hal482,2046hdc483,2045,485,2044,486,2043hal542,2004hdc543,2003,544,2002,546,2002hal612,1972hdc613,1971,614,1971,615,1970hal687,1951hdc689,1951,690,1951,691,1951hal768,1944r,47l691,1984hdc690,1984,689,1984,688,1984hal616,1966hdc614,1965,613,1965,612,1964hal546,1934hdc544,1934,543,1933,542,1932hal486,1892hdc484,1891,483,1890,482,1889hal435,1841hdc434,1840,433,1839,432,1838hal396,1783hdc395,1781,395,1779,394,1778hal372,1717hdc371,1715,371,1713,371,1711hal362,1643,363,350r-8,-65l356,291,334,230r2,4l301,179r3,4l257,135r4,3l204,99r3,2l142,71r4,2l74,54r4,l,47,5,xe" fillcolor="#598f94" strokecolor="#598f94" strokeweight=".05pt">
              <v:path arrowok="t"/>
            </v:shape>
            <v:shape id="_x0000_s1071" style="position:absolute;left:2757;top:7590;width:569;height:819" coordsize="633,912" path="m3,l121,6r53,7l221,22r39,11l291,46hdc293,47,295,48,296,50hal314,64hdc317,66,320,69,322,73hal328,87hdc329,90,329,93,329,96hal329,391r-1,-8l334,398r-8,-11l344,400r-5,-3l367,409r34,10l444,428r50,6l611,439hdc623,440,633,451,633,463v,13,-10,24,-22,24hal493,493r-51,6l399,508r-35,10l339,530r5,-3l326,540r8,-11l328,544r1,-9l329,816hdc329,820,329,823,328,825hal322,840hdc320,845,317,848,314,851hal296,864hdc294,865,293,866,291,867hal263,879r-40,11l176,900r-54,6l3,912,,864r117,-5l167,853r43,-9l244,834r28,-12l267,825r18,-13l277,823r6,-15l281,816r,-281hdc281,532,282,529,283,527hal289,512hdc291,507,294,504,297,501hal315,488hdc317,487,318,486,320,485hal351,472r39,-11l437,452r53,-7l608,439r,48l489,481r-54,-6l388,465,348,454,320,442hdc318,441,317,440,315,439hal297,426hdc294,423,291,420,289,415hal283,400hdc282,398,281,395,281,391hal281,96r2,10l277,92r8,9l267,87r5,4l247,79,212,69,169,60,118,54,,48,3,xe" fillcolor="#598f94" strokecolor="#598f94" strokeweight=".05pt">
              <v:path arrowok="t"/>
            </v:shape>
            <v:shape id="_x0000_s1072" style="position:absolute;left:2772;top:8798;width:597;height:1937" coordsize="665,2159" path="m3,l68,4r62,10l187,30hdc188,31,190,31,191,32hal238,54hdc239,54,240,55,241,55hal280,81hdc281,82,282,83,283,84hal313,114hdc315,116,316,118,317,119hal336,152hdc338,155,339,158,339,160hal345,195hdc345,197,345,198,345,199hal345,919r,-4l352,950r-2,-7l368,976r-5,-6l393,1000r-3,-3l429,1023r-3,-1l473,1044r-4,-2l524,1058r57,10l643,1072hdc656,1072,665,1083,665,1095v,13,-9,24,-22,24hal579,1123r-58,10l469,1149r4,-2l426,1169r3,-2l390,1193r3,-3l363,1220r5,-5l350,1248r2,-7l345,1276r,-5l345,1959hdc345,1961,345,1962,345,1963hal339,1999hdc339,2002,338,2005,336,2007hal317,2040hdc316,2042,315,2044,313,2045hal283,2075hdc282,2077,281,2078,280,2078hal241,2104hdc240,2105,238,2106,237,2106hal190,2127r-57,17l70,2155r-67,4l,2112r63,-4l120,2098r51,-14l218,2063r-4,1l253,2038r-4,3l279,2011r-3,5l295,1983r-3,9l298,1956r-1,3l297,1271hdc297,1270,298,1268,298,1267hal305,1232hdc305,1229,306,1227,307,1225hal325,1192hdc326,1190,328,1188,329,1186hal359,1156hdc361,1155,362,1154,363,1153hal402,1127hdc403,1127,404,1126,405,1126hal452,1104hdc453,1103,455,1103,456,1102hal514,1086r62,-10l640,1072r,47l574,1115r-63,-10l456,1089hdc455,1088,453,1088,452,1087hal405,1065hdc404,1065,403,1064,402,1063hal363,1037hdc362,1037,361,1036,359,1034hal329,1004hdc328,1003,326,1001,325,999hal307,966hdc306,964,305,962,305,959hal298,924hdc298,923,297,921,297,919hal297,199r1,5l292,169r3,7l276,143r3,5l249,118r4,3l214,95r3,2l170,75r4,1l123,61,65,51,,47,3,xe" fillcolor="#598f94" strokecolor="#598f94" strokeweight=".05pt">
              <v:path arrowok="t"/>
            </v:shape>
            <v:shape id="_x0000_s1073" style="position:absolute;left:5041;top:396;width:1015;height:11962" coordsize="1130,13327" path="m5,l61,6hdc63,6,64,6,66,7hal121,24hdc122,24,123,24,124,25hal177,52hdc179,53,180,53,181,54hal232,92r50,49l330,199r44,66l414,340r36,81l483,508r27,94l535,701r32,212l578,1140r,4406l589,5770r33,208l645,6073r27,92l703,6249r35,78l777,6397r41,62l862,6513r47,45l957,6594r-4,-2l1006,6619r-3,-1l1058,6635r-5,-1l1109,6640hdc1121,6641,1130,6651,1130,6663v,13,-9,23,-21,24hal1053,6693r5,-1l1003,6709r3,-1l953,6735r4,-2l907,6771r-47,45l817,6869r-42,63l738,7003r-36,77l672,7165r-28,90l622,7352r-33,208l578,7783r,4403l567,12413r-32,212l511,12724r-27,94l451,12906r-37,80l375,13060r-43,66l284,13184r-50,49l181,13273hdc180,13274,179,13274,177,13275hal124,13302hdc123,13302,122,13303,121,13303hal66,13320hdc64,13321,63,13321,61,13321hal5,13327,,13280r56,-6l51,13275r55,-17l103,13259r53,-27l152,13234r49,-36l247,13153r44,-54l332,13037r39,-70l406,12889r31,-84l464,12713r24,-95l519,12410r11,-224l530,7780r12,-227l575,7341r24,-100l627,7148r32,-87l695,6980r41,-75l780,6839r47,-58l878,6732r50,-38hdc929,6693,930,6693,932,6692hal985,6665hdc986,6664,987,6664,988,6664hal1043,6647hdc1045,6646,1046,6646,1048,6646hal1104,6640r,47l1048,6681hdc1046,6681,1045,6681,1043,6680hal988,6663hdc987,6663,986,6662,985,6662hal932,6635hdc930,6634,929,6633,928,6633hal876,6593r-51,-50l779,6486r-45,-66l695,6346r-37,-80l626,6178r-28,-94l575,5985,541,5773,530,5546r,-4403l520,920,488,712,464,615,438,525,407,440,371,363,333,292,293,230,249,176,203,131,152,93r4,2l103,68r3,1l51,52r5,1l,47,5,xe" fillcolor="#598f94" strokecolor="#598f94" strokeweight=".05pt">
              <v:path arrowok="t"/>
            </v:shape>
            <v:shape id="_x0000_s1074" style="position:absolute;left:2801;top:11167;width:453;height:818" coordsize="505,911" path="m3,l97,6r42,6l177,21r32,12l234,46hdc236,47,238,49,239,50hal253,64hdc256,67,258,70,259,73hal264,87hdc265,90,265,93,265,95hal265,390r-1,-7l269,398r-6,-10l277,401r-5,-4l294,409r-3,-1l321,419r32,8l392,433r91,6hdc496,439,505,450,505,462v,13,-9,24,-22,24hal390,492r-39,6l318,507r-27,10l294,516r-22,12l277,524r-14,13l269,527r-5,15l265,534r,281hdc265,818,265,821,264,823hal259,838hdc258,842,256,845,253,848hal239,861hdc237,862,236,864,234,865hal212,877r-32,12l141,899r-42,6l3,911,,864r92,-6l130,852r33,-8l189,834r22,-12l206,826r14,-13l214,823r5,-15l217,815r,-281hdc217,532,218,529,219,527hal224,512hdc225,508,227,505,230,502hal244,489hdc246,488,247,486,249,485hal271,473hdc272,473,273,472,274,472hal306,460r38,-9l387,445r93,-6l480,486r-95,-6l341,474,304,464,274,453hdc273,453,272,452,271,452hal249,440hdc247,439,246,437,244,436hal230,423hdc227,420,225,417,224,413hal219,398hdc218,396,217,393,217,390hal217,95r2,9l214,90r5,8l205,84r6,5l192,78,166,68,132,59,94,53,,47,3,xe" fillcolor="#598f94" strokecolor="#598f94" strokeweight=".05pt">
              <v:path arrowok="t"/>
            </v:shape>
            <v:rect id="_x0000_s1075" style="position:absolute;left:3599;top:4991;width:1753;height:861" fillcolor="#bdd2d4" stroked="f"/>
            <v:shape id="_x0000_s1076" style="position:absolute;left:3570;top:4962;width:1810;height:919" coordsize="1810,919" path="m,l1810,r,919l,919,,xm20,900r1771,l1791,20,20,20r,880xm39,39r1734,l1773,881,39,881,39,39xm58,862r1695,l1753,57,58,57r,805xe" fillcolor="#598f94" strokecolor="#598f94" strokeweight=".05pt">
              <v:path arrowok="t"/>
              <o:lock v:ext="edit" verticies="t"/>
            </v:shape>
            <v:rect id="_x0000_s1077" style="position:absolute;left:3892;top:5112;width:1111;height:438;mso-wrap-style:none" filled="f" stroked="f">
              <v:textbox style="mso-fit-shape-to-text:t" inset="0,0,0,0">
                <w:txbxContent>
                  <w:p w:rsidR="00FC0BD2" w:rsidRDefault="00FC0BD2">
                    <w:r>
                      <w:rPr>
                        <w:rFonts w:ascii="Arial" w:hAnsi="Arial" w:cs="Arial"/>
                        <w:color w:val="000000"/>
                        <w:sz w:val="18"/>
                        <w:szCs w:val="18"/>
                        <w:lang w:val="en-US"/>
                      </w:rPr>
                      <w:t xml:space="preserve">Supply / Uses </w:t>
                    </w:r>
                  </w:p>
                </w:txbxContent>
              </v:textbox>
            </v:rect>
            <v:rect id="_x0000_s1078" style="position:absolute;left:4093;top:5329;width:741;height:438;mso-wrap-style:none" filled="f" stroked="f">
              <v:textbox style="mso-fit-shape-to-text:t" inset="0,0,0,0">
                <w:txbxContent>
                  <w:p w:rsidR="00FC0BD2" w:rsidRDefault="00FC0BD2">
                    <w:r>
                      <w:rPr>
                        <w:rFonts w:ascii="Arial" w:hAnsi="Arial" w:cs="Arial"/>
                        <w:color w:val="000000"/>
                        <w:sz w:val="18"/>
                        <w:szCs w:val="18"/>
                        <w:lang w:val="en-US"/>
                      </w:rPr>
                      <w:t xml:space="preserve">Balances     </w:t>
                    </w:r>
                  </w:p>
                </w:txbxContent>
              </v:textbox>
            </v:rect>
            <v:rect id="_x0000_s1079" style="position:absolute;left:4179;top:5544;width:580;height:438;mso-wrap-style:none" filled="f" stroked="f">
              <v:textbox style="mso-fit-shape-to-text:t" inset="0,0,0,0">
                <w:txbxContent>
                  <w:p w:rsidR="00FC0BD2" w:rsidRDefault="00FC0BD2">
                    <w:r>
                      <w:rPr>
                        <w:rFonts w:ascii="Arial" w:hAnsi="Arial" w:cs="Arial"/>
                        <w:color w:val="000000"/>
                        <w:sz w:val="18"/>
                        <w:szCs w:val="18"/>
                        <w:lang w:val="en-US"/>
                      </w:rPr>
                      <w:t>(EREs)</w:t>
                    </w:r>
                  </w:p>
                </w:txbxContent>
              </v:textbox>
            </v:rect>
            <v:rect id="_x0000_s1080" style="position:absolute;left:3498;top:7619;width:1696;height:761" fillcolor="#bdd2d4" stroked="f"/>
            <v:shape id="_x0000_s1081" style="position:absolute;left:3470;top:7590;width:1752;height:819" coordsize="1752,819" path="m,l1752,r,819l,819,,xm19,800r1714,l1733,20,19,20r,780xm38,39r1677,l1715,781,38,781,38,39xm57,761r1638,l1695,58,57,58r,703xe" fillcolor="#598f94" strokecolor="#598f94" strokeweight=".05pt">
              <v:path arrowok="t"/>
              <o:lock v:ext="edit" verticies="t"/>
            </v:shape>
            <v:rect id="_x0000_s1082" style="position:absolute;left:3734;top:7690;width:1161;height:438;mso-wrap-style:none" filled="f" stroked="f">
              <v:textbox style="mso-fit-shape-to-text:t" inset="0,0,0,0">
                <w:txbxContent>
                  <w:p w:rsidR="00FC0BD2" w:rsidRDefault="00FC0BD2">
                    <w:r>
                      <w:rPr>
                        <w:rFonts w:ascii="Arial" w:hAnsi="Arial" w:cs="Arial"/>
                        <w:color w:val="000000"/>
                        <w:sz w:val="18"/>
                        <w:szCs w:val="18"/>
                        <w:lang w:val="en-US"/>
                      </w:rPr>
                      <w:t xml:space="preserve">Other Taxes &amp; </w:t>
                    </w:r>
                  </w:p>
                </w:txbxContent>
              </v:textbox>
            </v:rect>
            <v:rect id="_x0000_s1083" style="position:absolute;left:3662;top:7907;width:1281;height:438;mso-wrap-style:none" filled="f" stroked="f">
              <v:textbox style="mso-fit-shape-to-text:t" inset="0,0,0,0">
                <w:txbxContent>
                  <w:p w:rsidR="00FC0BD2" w:rsidRDefault="00FC0BD2">
                    <w:r>
                      <w:rPr>
                        <w:rFonts w:ascii="Arial" w:hAnsi="Arial" w:cs="Arial"/>
                        <w:color w:val="000000"/>
                        <w:sz w:val="18"/>
                        <w:szCs w:val="18"/>
                        <w:lang w:val="en-US"/>
                      </w:rPr>
                      <w:t xml:space="preserve">Other Subsidies </w:t>
                    </w:r>
                  </w:p>
                </w:txbxContent>
              </v:textbox>
            </v:rect>
            <v:rect id="_x0000_s1084" style="position:absolute;left:3763;top:8122;width:1091;height:438;mso-wrap-style:none" filled="f" stroked="f">
              <v:textbox style="mso-fit-shape-to-text:t" inset="0,0,0,0">
                <w:txbxContent>
                  <w:p w:rsidR="00FC0BD2" w:rsidRDefault="00FC0BD2">
                    <w:proofErr w:type="gramStart"/>
                    <w:r>
                      <w:rPr>
                        <w:rFonts w:ascii="Arial" w:hAnsi="Arial" w:cs="Arial"/>
                        <w:color w:val="000000"/>
                        <w:sz w:val="18"/>
                        <w:szCs w:val="18"/>
                        <w:lang w:val="en-US"/>
                      </w:rPr>
                      <w:t>on</w:t>
                    </w:r>
                    <w:proofErr w:type="gramEnd"/>
                    <w:r>
                      <w:rPr>
                        <w:rFonts w:ascii="Arial" w:hAnsi="Arial" w:cs="Arial"/>
                        <w:color w:val="000000"/>
                        <w:sz w:val="18"/>
                        <w:szCs w:val="18"/>
                        <w:lang w:val="en-US"/>
                      </w:rPr>
                      <w:t xml:space="preserve"> production</w:t>
                    </w:r>
                  </w:p>
                </w:txbxContent>
              </v:textbox>
            </v:rect>
            <v:rect id="_x0000_s1085" style="position:absolute;left:3541;top:926;width:1753;height:862" fillcolor="#bdd2d4" stroked="f"/>
            <v:shape id="_x0000_s1086" style="position:absolute;left:3513;top:898;width:1810;height:919" coordsize="1810,919" path="m,l1810,r,919l,919,,xm19,900r1772,l1791,19,19,19r,881xm38,38r1734,l1772,881,38,881,38,38xm57,861r1695,l1752,57,57,57r,804xe" fillcolor="#598f94" strokecolor="#598f94" strokeweight=".05pt">
              <v:path arrowok="t"/>
              <o:lock v:ext="edit" verticies="t"/>
            </v:shape>
            <v:rect id="_x0000_s1087" style="position:absolute;left:3849;top:1049;width:1081;height:438;mso-wrap-style:none" filled="f" stroked="f">
              <v:textbox style="mso-fit-shape-to-text:t" inset="0,0,0,0">
                <w:txbxContent>
                  <w:p w:rsidR="00FC0BD2" w:rsidRDefault="00FC0BD2">
                    <w:r>
                      <w:rPr>
                        <w:rFonts w:ascii="Arial" w:hAnsi="Arial" w:cs="Arial"/>
                        <w:color w:val="000000"/>
                        <w:sz w:val="18"/>
                        <w:szCs w:val="18"/>
                        <w:lang w:val="en-US"/>
                      </w:rPr>
                      <w:t xml:space="preserve">Output Matrix </w:t>
                    </w:r>
                  </w:p>
                </w:txbxContent>
              </v:textbox>
            </v:rect>
            <v:rect id="_x0000_s1088" style="position:absolute;left:3633;top:1264;width:1511;height:438;mso-wrap-style:none" filled="f" stroked="f">
              <v:textbox style="mso-fit-shape-to-text:t" inset="0,0,0,0">
                <w:txbxContent>
                  <w:p w:rsidR="00FC0BD2" w:rsidRDefault="00FC0BD2">
                    <w:r>
                      <w:rPr>
                        <w:rFonts w:ascii="Arial" w:hAnsi="Arial" w:cs="Arial"/>
                        <w:color w:val="000000"/>
                        <w:sz w:val="18"/>
                        <w:szCs w:val="18"/>
                        <w:lang w:val="en-US"/>
                      </w:rPr>
                      <w:t xml:space="preserve">Product / Industry / </w:t>
                    </w:r>
                  </w:p>
                </w:txbxContent>
              </v:textbox>
            </v:rect>
            <v:rect id="_x0000_s1089" style="position:absolute;left:3763;top:1479;width:1261;height:438;mso-wrap-style:none" filled="f" stroked="f">
              <v:textbox style="mso-fit-shape-to-text:t" inset="0,0,0,0">
                <w:txbxContent>
                  <w:p w:rsidR="00FC0BD2" w:rsidRDefault="00FC0BD2">
                    <w:r>
                      <w:rPr>
                        <w:rFonts w:ascii="Arial" w:hAnsi="Arial" w:cs="Arial"/>
                        <w:color w:val="000000"/>
                        <w:sz w:val="18"/>
                        <w:szCs w:val="18"/>
                        <w:lang w:val="en-US"/>
                      </w:rPr>
                      <w:t xml:space="preserve">Sector </w:t>
                    </w:r>
                    <w:proofErr w:type="gramStart"/>
                    <w:r>
                      <w:rPr>
                        <w:rFonts w:ascii="Arial" w:hAnsi="Arial" w:cs="Arial"/>
                        <w:color w:val="000000"/>
                        <w:sz w:val="18"/>
                        <w:szCs w:val="18"/>
                        <w:lang w:val="en-US"/>
                      </w:rPr>
                      <w:t>/  Nature</w:t>
                    </w:r>
                    <w:proofErr w:type="gramEnd"/>
                  </w:p>
                </w:txbxContent>
              </v:textbox>
            </v:rect>
            <v:rect id="_x0000_s1090" style="position:absolute;left:3541;top:2090;width:1753;height:1048" fillcolor="#bdd2d4" stroked="f"/>
            <v:shape id="_x0000_s1091" style="position:absolute;left:3513;top:2061;width:1810;height:1106" coordsize="1810,1106" path="m,l1810,r,1106l,1106,,xm19,1087r1772,l1791,20,19,20r,1067xm38,39r1734,l1772,1068r-1734,l38,39xm57,1048r1695,l1752,57,57,57r,991xe" fillcolor="#598f94" strokecolor="#598f94" strokeweight=".05pt">
              <v:path arrowok="t"/>
              <o:lock v:ext="edit" verticies="t"/>
            </v:shape>
            <v:rect id="_x0000_s1092" style="position:absolute;left:3906;top:2195;width:1001;height:438;mso-wrap-style:none" filled="f" stroked="f">
              <v:textbox style="mso-fit-shape-to-text:t" inset="0,0,0,0">
                <w:txbxContent>
                  <w:p w:rsidR="00FC0BD2" w:rsidRDefault="00FC0BD2">
                    <w:r>
                      <w:rPr>
                        <w:rFonts w:ascii="Arial" w:hAnsi="Arial" w:cs="Arial"/>
                        <w:color w:val="000000"/>
                        <w:sz w:val="18"/>
                        <w:szCs w:val="18"/>
                        <w:lang w:val="en-US"/>
                      </w:rPr>
                      <w:t xml:space="preserve">Intermediate </w:t>
                    </w:r>
                  </w:p>
                </w:txbxContent>
              </v:textbox>
            </v:rect>
            <v:rect id="_x0000_s1093" style="position:absolute;left:3676;top:2411;width:1411;height:438;mso-wrap-style:none" filled="f" stroked="f">
              <v:textbox style="mso-fit-shape-to-text:t" inset="0,0,0,0">
                <w:txbxContent>
                  <w:p w:rsidR="00FC0BD2" w:rsidRDefault="00FC0BD2">
                    <w:proofErr w:type="spellStart"/>
                    <w:proofErr w:type="gramStart"/>
                    <w:r>
                      <w:rPr>
                        <w:rFonts w:ascii="Arial" w:hAnsi="Arial" w:cs="Arial"/>
                        <w:color w:val="000000"/>
                        <w:sz w:val="18"/>
                        <w:szCs w:val="18"/>
                        <w:lang w:val="en-US"/>
                      </w:rPr>
                      <w:t>Consumpt</w:t>
                    </w:r>
                    <w:proofErr w:type="spellEnd"/>
                    <w:r>
                      <w:rPr>
                        <w:rFonts w:ascii="Arial" w:hAnsi="Arial" w:cs="Arial"/>
                        <w:color w:val="000000"/>
                        <w:sz w:val="18"/>
                        <w:szCs w:val="18"/>
                        <w:lang w:val="en-US"/>
                      </w:rPr>
                      <w:t>.</w:t>
                    </w:r>
                    <w:proofErr w:type="gramEnd"/>
                    <w:r>
                      <w:rPr>
                        <w:rFonts w:ascii="Arial" w:hAnsi="Arial" w:cs="Arial"/>
                        <w:color w:val="000000"/>
                        <w:sz w:val="18"/>
                        <w:szCs w:val="18"/>
                        <w:lang w:val="en-US"/>
                      </w:rPr>
                      <w:t xml:space="preserve"> Matrix </w:t>
                    </w:r>
                  </w:p>
                </w:txbxContent>
              </v:textbox>
            </v:rect>
            <v:rect id="_x0000_s1094" style="position:absolute;left:3619;top:2626;width:1511;height:438;mso-wrap-style:none" filled="f" stroked="f">
              <v:textbox style="mso-fit-shape-to-text:t" inset="0,0,0,0">
                <w:txbxContent>
                  <w:p w:rsidR="00FC0BD2" w:rsidRDefault="00FC0BD2">
                    <w:r>
                      <w:rPr>
                        <w:rFonts w:ascii="Arial" w:hAnsi="Arial" w:cs="Arial"/>
                        <w:color w:val="000000"/>
                        <w:sz w:val="18"/>
                        <w:szCs w:val="18"/>
                        <w:lang w:val="en-US"/>
                      </w:rPr>
                      <w:t xml:space="preserve">Product / Industry / </w:t>
                    </w:r>
                  </w:p>
                </w:txbxContent>
              </v:textbox>
            </v:rect>
            <v:rect id="_x0000_s1095" style="position:absolute;left:4136;top:2855;width:521;height:438;mso-wrap-style:none" filled="f" stroked="f">
              <v:textbox style="mso-fit-shape-to-text:t" inset="0,0,0,0">
                <w:txbxContent>
                  <w:p w:rsidR="00FC0BD2" w:rsidRDefault="00FC0BD2">
                    <w:r>
                      <w:rPr>
                        <w:rFonts w:ascii="Arial" w:hAnsi="Arial" w:cs="Arial"/>
                        <w:color w:val="000000"/>
                        <w:sz w:val="18"/>
                        <w:szCs w:val="18"/>
                        <w:lang w:val="en-US"/>
                      </w:rPr>
                      <w:t>Sector</w:t>
                    </w:r>
                  </w:p>
                </w:txbxContent>
              </v:textbox>
            </v:rect>
            <v:rect id="_x0000_s1096" style="position:absolute;left:3556;top:9400;width:1752;height:704" fillcolor="#bdd2d4" stroked="f"/>
            <v:shape id="_x0000_s1097" style="position:absolute;left:3527;top:9371;width:1810;height:761" coordsize="1810,761" path="m,l1810,r,761l,761,,xm20,742r1771,l1791,20,20,20r,722xm39,39r1733,l1772,724,39,724,39,39xm57,704r1696,l1753,58,57,58r,646xe" fillcolor="#598f94" strokecolor="#598f94" strokeweight=".05pt">
              <v:path arrowok="t"/>
              <o:lock v:ext="edit" verticies="t"/>
            </v:shape>
            <v:rect id="_x0000_s1098" style="position:absolute;left:3763;top:9553;width:1251;height:438;mso-wrap-style:none" filled="f" stroked="f">
              <v:textbox style="mso-fit-shape-to-text:t" inset="0,0,0,0">
                <w:txbxContent>
                  <w:p w:rsidR="00FC0BD2" w:rsidRDefault="00FC0BD2">
                    <w:r>
                      <w:rPr>
                        <w:rFonts w:ascii="Arial" w:hAnsi="Arial" w:cs="Arial"/>
                        <w:color w:val="000000"/>
                        <w:sz w:val="18"/>
                        <w:szCs w:val="18"/>
                        <w:lang w:val="en-US"/>
                      </w:rPr>
                      <w:t xml:space="preserve">Compensations </w:t>
                    </w:r>
                  </w:p>
                </w:txbxContent>
              </v:textbox>
            </v:rect>
            <v:rect id="_x0000_s1099" style="position:absolute;left:3734;top:9769;width:1311;height:438;mso-wrap-style:none" filled="f" stroked="f">
              <v:textbox style="mso-fit-shape-to-text:t" inset="0,0,0,0">
                <w:txbxContent>
                  <w:p w:rsidR="00FC0BD2" w:rsidRDefault="00FC0BD2">
                    <w:r>
                      <w:rPr>
                        <w:rFonts w:ascii="Arial" w:hAnsi="Arial" w:cs="Arial"/>
                        <w:color w:val="000000"/>
                        <w:sz w:val="18"/>
                        <w:szCs w:val="18"/>
                        <w:lang w:val="en-US"/>
                      </w:rPr>
                      <w:t>Industry / Sector</w:t>
                    </w:r>
                  </w:p>
                </w:txbxContent>
              </v:textbox>
            </v:rect>
            <v:rect id="_x0000_s1100" style="position:absolute;left:3570;top:11296;width:1753;height:574" fillcolor="#bdd2d4" stroked="f"/>
            <v:shape id="_x0000_s1101" style="position:absolute;left:3541;top:11267;width:1811;height:632" coordsize="1811,632" path="m,l1811,r,632l,632,,xm20,613r1772,l1792,20,20,20r,593xm39,38r1734,l1773,594,39,594,39,38xm58,574r1695,l1753,57,58,57r,517xe" fillcolor="#598f94" strokecolor="#598f94" strokeweight=".05pt">
              <v:path arrowok="t"/>
              <o:lock v:ext="edit" verticies="t"/>
            </v:shape>
            <v:rect id="_x0000_s1102" style="position:absolute;left:3763;top:11385;width:1261;height:438;mso-wrap-style:none" filled="f" stroked="f">
              <v:textbox style="mso-fit-shape-to-text:t" inset="0,0,0,0">
                <w:txbxContent>
                  <w:p w:rsidR="00FC0BD2" w:rsidRDefault="00FC0BD2">
                    <w:r>
                      <w:rPr>
                        <w:rFonts w:ascii="Arial" w:hAnsi="Arial" w:cs="Arial"/>
                        <w:color w:val="000000"/>
                        <w:sz w:val="18"/>
                        <w:szCs w:val="18"/>
                        <w:lang w:val="en-US"/>
                      </w:rPr>
                      <w:t xml:space="preserve">Consumption of </w:t>
                    </w:r>
                  </w:p>
                </w:txbxContent>
              </v:textbox>
            </v:rect>
            <v:rect id="_x0000_s1103" style="position:absolute;left:3892;top:11599;width:441;height:438;mso-wrap-style:none" filled="f" stroked="f">
              <v:textbox style="mso-fit-shape-to-text:t" inset="0,0,0,0">
                <w:txbxContent>
                  <w:p w:rsidR="00FC0BD2" w:rsidRDefault="00FC0BD2">
                    <w:r>
                      <w:rPr>
                        <w:rFonts w:ascii="Arial" w:hAnsi="Arial" w:cs="Arial"/>
                        <w:color w:val="000000"/>
                        <w:sz w:val="18"/>
                        <w:szCs w:val="18"/>
                        <w:lang w:val="en-US"/>
                      </w:rPr>
                      <w:t>Fixed</w:t>
                    </w:r>
                  </w:p>
                </w:txbxContent>
              </v:textbox>
            </v:rect>
            <v:rect id="_x0000_s1104" style="position:absolute;left:4409;top:11599;width:561;height:438;mso-wrap-style:none" filled="f" stroked="f">
              <v:textbox style="mso-fit-shape-to-text:t" inset="0,0,0,0">
                <w:txbxContent>
                  <w:p w:rsidR="00FC0BD2" w:rsidRDefault="00FC0BD2">
                    <w:r>
                      <w:rPr>
                        <w:rFonts w:ascii="Arial" w:hAnsi="Arial" w:cs="Arial"/>
                        <w:color w:val="000000"/>
                        <w:sz w:val="18"/>
                        <w:szCs w:val="18"/>
                        <w:lang w:val="en-US"/>
                      </w:rPr>
                      <w:t>Capital</w:t>
                    </w:r>
                  </w:p>
                </w:txbxContent>
              </v:textbox>
            </v:rect>
            <v:rect id="_x0000_s1105" style="position:absolute;left:6070;top:4890;width:2198;height:1178" fillcolor="#598f94" stroked="f"/>
            <v:shape id="_x0000_s1106" style="position:absolute;left:6041;top:4861;width:2256;height:1236" coordsize="2256,1236" path="m,l2256,r,1236l,1236,,xm20,1217r2217,l2237,20,20,20r,1197xm39,39r2179,l2218,1198r-2179,l39,39xm58,1178r2140,l2198,58,58,58r,1120xe" fillcolor="#bdd2d4" strokecolor="#bdd2d4" strokeweight=".05pt">
              <v:path arrowok="t"/>
              <o:lock v:ext="edit" verticies="t"/>
            </v:shape>
            <v:rect id="_x0000_s1107" style="position:absolute;left:6205;top:5255;width:477;height:491;mso-wrap-style:none" filled="f" stroked="f">
              <v:textbox style="mso-fit-shape-to-text:t" inset="0,0,0,0">
                <w:txbxContent>
                  <w:p w:rsidR="00FC0BD2" w:rsidRDefault="00FC0BD2">
                    <w:r>
                      <w:rPr>
                        <w:rFonts w:ascii="Arial" w:hAnsi="Arial" w:cs="Arial"/>
                        <w:b/>
                        <w:bCs/>
                        <w:color w:val="FFFFFF"/>
                        <w:lang w:val="en-US"/>
                      </w:rPr>
                      <w:t>QRE</w:t>
                    </w:r>
                  </w:p>
                </w:txbxContent>
              </v:textbox>
            </v:rect>
            <v:rect id="_x0000_s1108" style="position:absolute;left:6722;top:5284;width:60;height:438;mso-wrap-style:none" filled="f" stroked="f">
              <v:textbox style="mso-fit-shape-to-text:t" inset="0,0,0,0">
                <w:txbxContent>
                  <w:p w:rsidR="00FC0BD2" w:rsidRDefault="00FC0BD2">
                    <w:r>
                      <w:rPr>
                        <w:rFonts w:ascii="Arial" w:hAnsi="Arial" w:cs="Arial"/>
                        <w:b/>
                        <w:bCs/>
                        <w:color w:val="FFFFFF"/>
                        <w:sz w:val="18"/>
                        <w:szCs w:val="18"/>
                        <w:lang w:val="en-US"/>
                      </w:rPr>
                      <w:t>-</w:t>
                    </w:r>
                  </w:p>
                </w:txbxContent>
              </v:textbox>
            </v:rect>
            <v:rect id="_x0000_s1109" style="position:absolute;left:6823;top:5284;width:1261;height:438;mso-wrap-style:none" filled="f" stroked="f">
              <v:textbox style="mso-fit-shape-to-text:t" inset="0,0,0,0">
                <w:txbxContent>
                  <w:p w:rsidR="00FC0BD2" w:rsidRDefault="00FC0BD2">
                    <w:r>
                      <w:rPr>
                        <w:rFonts w:ascii="Arial" w:hAnsi="Arial" w:cs="Arial"/>
                        <w:b/>
                        <w:bCs/>
                        <w:color w:val="FFFFFF"/>
                        <w:sz w:val="18"/>
                        <w:szCs w:val="18"/>
                        <w:lang w:val="en-US"/>
                      </w:rPr>
                      <w:t xml:space="preserve">Supply &amp; Uses </w:t>
                    </w:r>
                  </w:p>
                </w:txbxContent>
              </v:textbox>
            </v:rect>
            <v:rect id="_x0000_s1110" style="position:absolute;left:6923;top:5499;width:471;height:438;mso-wrap-style:none" filled="f" stroked="f">
              <v:textbox style="mso-fit-shape-to-text:t" inset="0,0,0,0">
                <w:txbxContent>
                  <w:p w:rsidR="00FC0BD2" w:rsidRDefault="00FC0BD2">
                    <w:r>
                      <w:rPr>
                        <w:rFonts w:ascii="Arial" w:hAnsi="Arial" w:cs="Arial"/>
                        <w:b/>
                        <w:bCs/>
                        <w:color w:val="FFFFFF"/>
                        <w:sz w:val="18"/>
                        <w:szCs w:val="18"/>
                        <w:lang w:val="en-US"/>
                      </w:rPr>
                      <w:t>Table</w:t>
                    </w:r>
                  </w:p>
                </w:txbxContent>
              </v:textbox>
            </v:rect>
            <v:rect id="_x0000_s1111" style="position:absolute;left:6056;top:6599;width:2212;height:1178" fillcolor="#598f94" stroked="f"/>
            <v:shape id="_x0000_s1112" style="position:absolute;left:6027;top:6571;width:2270;height:1235" coordsize="2270,1235" path="m,l2270,r,1235l,1235,,xm20,1216r2231,l2251,19,20,19r,1197xm38,38r2194,l2232,1197r-2194,l38,38xm57,1177r2155,l2212,57,57,57r,1120xe" fillcolor="#bdd2d4" strokecolor="#bdd2d4" strokeweight=".05pt">
              <v:path arrowok="t"/>
              <o:lock v:ext="edit" verticies="t"/>
            </v:shape>
            <v:rect id="_x0000_s1113" style="position:absolute;left:6377;top:6854;width:538;height:491;mso-wrap-style:none" filled="f" stroked="f">
              <v:textbox style="mso-fit-shape-to-text:t" inset="0,0,0,0">
                <w:txbxContent>
                  <w:p w:rsidR="00FC0BD2" w:rsidRDefault="00FC0BD2">
                    <w:r>
                      <w:rPr>
                        <w:rFonts w:ascii="Arial" w:hAnsi="Arial" w:cs="Arial"/>
                        <w:b/>
                        <w:bCs/>
                        <w:color w:val="FFFFFF"/>
                        <w:lang w:val="en-US"/>
                      </w:rPr>
                      <w:t xml:space="preserve">QCEI </w:t>
                    </w:r>
                  </w:p>
                </w:txbxContent>
              </v:textbox>
            </v:rect>
            <v:rect id="_x0000_s1114" style="position:absolute;left:6952;top:6883;width:60;height:438;mso-wrap-style:none" filled="f" stroked="f">
              <v:textbox style="mso-fit-shape-to-text:t" inset="0,0,0,0">
                <w:txbxContent>
                  <w:p w:rsidR="00FC0BD2" w:rsidRDefault="00FC0BD2">
                    <w:r>
                      <w:rPr>
                        <w:rFonts w:ascii="Arial" w:hAnsi="Arial" w:cs="Arial"/>
                        <w:b/>
                        <w:bCs/>
                        <w:color w:val="FFFFFF"/>
                        <w:sz w:val="18"/>
                        <w:szCs w:val="18"/>
                        <w:lang w:val="en-US"/>
                      </w:rPr>
                      <w:t>-</w:t>
                    </w:r>
                  </w:p>
                </w:txbxContent>
              </v:textbox>
            </v:rect>
            <v:rect id="_x0000_s1115" style="position:absolute;left:7053;top:6883;width:871;height:438;mso-wrap-style:none" filled="f" stroked="f">
              <v:textbox style="mso-fit-shape-to-text:t" inset="0,0,0,0">
                <w:txbxContent>
                  <w:p w:rsidR="00FC0BD2" w:rsidRDefault="00FC0BD2">
                    <w:r>
                      <w:rPr>
                        <w:rFonts w:ascii="Arial" w:hAnsi="Arial" w:cs="Arial"/>
                        <w:b/>
                        <w:bCs/>
                        <w:color w:val="FFFFFF"/>
                        <w:sz w:val="18"/>
                        <w:szCs w:val="18"/>
                        <w:lang w:val="en-US"/>
                      </w:rPr>
                      <w:t xml:space="preserve">Integrated </w:t>
                    </w:r>
                  </w:p>
                </w:txbxContent>
              </v:textbox>
            </v:rect>
            <v:rect id="_x0000_s1116" style="position:absolute;left:6277;top:7098;width:1731;height:438;mso-wrap-style:none" filled="f" stroked="f">
              <v:textbox style="mso-fit-shape-to-text:t" inset="0,0,0,0">
                <w:txbxContent>
                  <w:p w:rsidR="00FC0BD2" w:rsidRDefault="00FC0BD2">
                    <w:r>
                      <w:rPr>
                        <w:rFonts w:ascii="Arial" w:hAnsi="Arial" w:cs="Arial"/>
                        <w:b/>
                        <w:bCs/>
                        <w:color w:val="FFFFFF"/>
                        <w:sz w:val="18"/>
                        <w:szCs w:val="18"/>
                        <w:lang w:val="en-US"/>
                      </w:rPr>
                      <w:t xml:space="preserve">Economic Accounts </w:t>
                    </w:r>
                  </w:p>
                </w:txbxContent>
              </v:textbox>
            </v:rect>
            <v:rect id="_x0000_s1117" style="position:absolute;left:6923;top:7328;width:471;height:438;mso-wrap-style:none" filled="f" stroked="f">
              <v:textbox style="mso-fit-shape-to-text:t" inset="0,0,0,0">
                <w:txbxContent>
                  <w:p w:rsidR="00FC0BD2" w:rsidRDefault="00FC0BD2">
                    <w:r>
                      <w:rPr>
                        <w:rFonts w:ascii="Arial" w:hAnsi="Arial" w:cs="Arial"/>
                        <w:b/>
                        <w:bCs/>
                        <w:color w:val="FFFFFF"/>
                        <w:sz w:val="18"/>
                        <w:szCs w:val="18"/>
                        <w:lang w:val="en-US"/>
                      </w:rPr>
                      <w:t>Table</w:t>
                    </w:r>
                  </w:p>
                </w:txbxContent>
              </v:textbox>
            </v:rect>
            <v:shape id="_x0000_s1118" style="position:absolute;left:4339;top:3160;width:115;height:1780" coordsize="115,1780" path="m,356l57,r58,356l86,356r,1069l115,1425,57,1780,,1425r28,l28,356,,356xe" fillcolor="#bdd2d4" stroked="f">
              <v:path arrowok="t"/>
            </v:shape>
            <v:shape id="_x0000_s1119" style="position:absolute;left:4331;top:3115;width:132;height:1871" coordsize="132,1871" path="m,408l65,r67,408l94,408r7,-7l101,1470r-7,-7l132,1463,65,1871,,1463r36,l29,1470,29,401r7,7l,408xm44,394r,1083l8,1477r7,-9l72,1825r-13,l116,1468r7,9l87,1477,87,394r36,l116,403,59,46r13,l15,403,8,394r36,xe" fillcolor="#598f94" strokecolor="#598f94" strokeweight=".05pt">
              <v:path arrowok="t"/>
              <o:lock v:ext="edit" verticies="t"/>
            </v:shape>
            <w10:wrap type="none"/>
            <w10:anchorlock/>
          </v:group>
        </w:pict>
      </w:r>
    </w:p>
    <w:p w:rsidR="005D0D4B" w:rsidRPr="00A412E9" w:rsidRDefault="005D0D4B" w:rsidP="005D0D4B">
      <w:pPr>
        <w:spacing w:line="360" w:lineRule="auto"/>
        <w:rPr>
          <w:rFonts w:ascii="Arial" w:hAnsi="Arial" w:cs="Arial"/>
        </w:rPr>
      </w:pPr>
    </w:p>
    <w:p w:rsidR="005D0D4B" w:rsidRPr="00A412E9" w:rsidRDefault="00C765CD" w:rsidP="002B79CE">
      <w:pPr>
        <w:spacing w:line="360" w:lineRule="auto"/>
        <w:ind w:left="709"/>
        <w:jc w:val="both"/>
        <w:rPr>
          <w:rFonts w:ascii="Arial" w:hAnsi="Arial" w:cs="Arial"/>
          <w:lang w:val="en-GB"/>
        </w:rPr>
      </w:pPr>
      <w:r w:rsidRPr="00A412E9">
        <w:rPr>
          <w:rFonts w:ascii="Arial" w:hAnsi="Arial" w:cs="Arial"/>
          <w:lang w:val="en-GB"/>
        </w:rPr>
        <w:t>Figure 2 represents the kind of sources th</w:t>
      </w:r>
      <w:r w:rsidR="00660D37" w:rsidRPr="00A412E9">
        <w:rPr>
          <w:rFonts w:ascii="Arial" w:hAnsi="Arial" w:cs="Arial"/>
          <w:lang w:val="en-GB"/>
        </w:rPr>
        <w:t>at contribute to the different intermediate tables that are crucial to the compilation of SUT (QRE) and QCEI.</w:t>
      </w:r>
    </w:p>
    <w:p w:rsidR="00660D37" w:rsidRPr="00A412E9" w:rsidRDefault="00660D37" w:rsidP="002B79CE">
      <w:pPr>
        <w:spacing w:line="360" w:lineRule="auto"/>
        <w:ind w:left="709"/>
        <w:jc w:val="both"/>
        <w:rPr>
          <w:rFonts w:ascii="Arial" w:hAnsi="Arial" w:cs="Arial"/>
          <w:lang w:val="en-GB"/>
        </w:rPr>
      </w:pPr>
      <w:r w:rsidRPr="00A412E9">
        <w:rPr>
          <w:rFonts w:ascii="Arial" w:hAnsi="Arial" w:cs="Arial"/>
          <w:lang w:val="en-GB"/>
        </w:rPr>
        <w:t>Those intermediate tables are the following:</w:t>
      </w:r>
    </w:p>
    <w:p w:rsidR="008706DA" w:rsidRPr="00A412E9" w:rsidRDefault="008706DA"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xml:space="preserve"> - Output matrix, including, namely, information on the product, industry (branch), institutional sector and the nature of the production (market outpu</w:t>
      </w:r>
      <w:r w:rsidR="00F81C78" w:rsidRPr="00A412E9">
        <w:rPr>
          <w:rFonts w:ascii="Arial" w:hAnsi="Arial" w:cs="Arial"/>
          <w:lang w:val="en-GB"/>
        </w:rPr>
        <w:t>t, output for own final use or other</w:t>
      </w:r>
      <w:r w:rsidR="006A1844">
        <w:rPr>
          <w:rFonts w:ascii="Arial" w:hAnsi="Arial" w:cs="Arial"/>
          <w:lang w:val="en-GB"/>
        </w:rPr>
        <w:t xml:space="preserve"> non-market output), which </w:t>
      </w:r>
      <w:r w:rsidRPr="00A412E9">
        <w:rPr>
          <w:rFonts w:ascii="Arial" w:hAnsi="Arial" w:cs="Arial"/>
          <w:lang w:val="en-GB"/>
        </w:rPr>
        <w:t>come</w:t>
      </w:r>
      <w:r w:rsidR="006A1844">
        <w:rPr>
          <w:rFonts w:ascii="Arial" w:hAnsi="Arial" w:cs="Arial"/>
          <w:lang w:val="en-GB"/>
        </w:rPr>
        <w:t>s</w:t>
      </w:r>
      <w:r w:rsidR="00FC0BD2">
        <w:rPr>
          <w:rFonts w:ascii="Arial" w:hAnsi="Arial" w:cs="Arial"/>
          <w:lang w:val="en-GB"/>
        </w:rPr>
        <w:t xml:space="preserve"> from different sources, </w:t>
      </w:r>
      <w:r w:rsidR="006A1844">
        <w:rPr>
          <w:rFonts w:ascii="Arial" w:hAnsi="Arial" w:cs="Arial"/>
          <w:lang w:val="en-GB"/>
        </w:rPr>
        <w:t>namely the Simplified Business Information (</w:t>
      </w:r>
      <w:r w:rsidR="00345930">
        <w:rPr>
          <w:rFonts w:ascii="Arial" w:hAnsi="Arial" w:cs="Arial"/>
          <w:lang w:val="en-GB"/>
        </w:rPr>
        <w:t>IES</w:t>
      </w:r>
      <w:r w:rsidR="006A1844">
        <w:rPr>
          <w:rFonts w:ascii="Arial" w:hAnsi="Arial" w:cs="Arial"/>
          <w:lang w:val="en-GB"/>
        </w:rPr>
        <w:t xml:space="preserve">, the Portuguese acronym of </w:t>
      </w:r>
      <w:proofErr w:type="spellStart"/>
      <w:r w:rsidR="006A1844" w:rsidRPr="00AD0DC9">
        <w:rPr>
          <w:rFonts w:ascii="Arial" w:hAnsi="Arial" w:cs="Arial"/>
          <w:i/>
          <w:lang w:val="en-GB"/>
        </w:rPr>
        <w:t>Informação</w:t>
      </w:r>
      <w:proofErr w:type="spellEnd"/>
      <w:r w:rsidR="006A1844" w:rsidRPr="00AD0DC9">
        <w:rPr>
          <w:rFonts w:ascii="Arial" w:hAnsi="Arial" w:cs="Arial"/>
          <w:i/>
          <w:lang w:val="en-GB"/>
        </w:rPr>
        <w:t xml:space="preserve"> </w:t>
      </w:r>
      <w:proofErr w:type="spellStart"/>
      <w:r w:rsidR="006A1844" w:rsidRPr="00AD0DC9">
        <w:rPr>
          <w:rFonts w:ascii="Arial" w:hAnsi="Arial" w:cs="Arial"/>
          <w:i/>
          <w:lang w:val="en-GB"/>
        </w:rPr>
        <w:t>Empresarial</w:t>
      </w:r>
      <w:proofErr w:type="spellEnd"/>
      <w:r w:rsidR="006A1844" w:rsidRPr="00AD0DC9">
        <w:rPr>
          <w:rFonts w:ascii="Arial" w:hAnsi="Arial" w:cs="Arial"/>
          <w:i/>
          <w:lang w:val="en-GB"/>
        </w:rPr>
        <w:t xml:space="preserve"> </w:t>
      </w:r>
      <w:proofErr w:type="spellStart"/>
      <w:r w:rsidR="006A1844" w:rsidRPr="00AD0DC9">
        <w:rPr>
          <w:rFonts w:ascii="Arial" w:hAnsi="Arial" w:cs="Arial"/>
          <w:i/>
          <w:lang w:val="en-GB"/>
        </w:rPr>
        <w:t>Simplificada</w:t>
      </w:r>
      <w:proofErr w:type="spellEnd"/>
      <w:r w:rsidR="00AD0DC9">
        <w:rPr>
          <w:rFonts w:ascii="Arial" w:hAnsi="Arial" w:cs="Arial"/>
          <w:lang w:val="en-GB"/>
        </w:rPr>
        <w:t>,</w:t>
      </w:r>
      <w:r w:rsidR="00345930">
        <w:rPr>
          <w:rFonts w:ascii="Arial" w:hAnsi="Arial" w:cs="Arial"/>
          <w:lang w:val="en-GB"/>
        </w:rPr>
        <w:t xml:space="preserve"> a mandatory </w:t>
      </w:r>
      <w:r w:rsidRPr="00A412E9">
        <w:rPr>
          <w:rFonts w:ascii="Arial" w:hAnsi="Arial" w:cs="Arial"/>
          <w:lang w:val="en-GB"/>
        </w:rPr>
        <w:t xml:space="preserve">administrative </w:t>
      </w:r>
      <w:r w:rsidR="00345930">
        <w:rPr>
          <w:rFonts w:ascii="Arial" w:hAnsi="Arial" w:cs="Arial"/>
          <w:lang w:val="en-GB"/>
        </w:rPr>
        <w:t>information covering all business operating in the Portuguese territory)</w:t>
      </w:r>
      <w:r w:rsidR="005E5C6B">
        <w:rPr>
          <w:rFonts w:ascii="Arial" w:hAnsi="Arial" w:cs="Arial"/>
          <w:lang w:val="en-GB"/>
        </w:rPr>
        <w:t xml:space="preserve">, </w:t>
      </w:r>
      <w:r w:rsidRPr="00A412E9">
        <w:rPr>
          <w:rFonts w:ascii="Arial" w:hAnsi="Arial" w:cs="Arial"/>
          <w:lang w:val="en-GB"/>
        </w:rPr>
        <w:t xml:space="preserve"> INE’s surveys </w:t>
      </w:r>
      <w:r w:rsidR="00B46730">
        <w:rPr>
          <w:rFonts w:ascii="Arial" w:hAnsi="Arial" w:cs="Arial"/>
          <w:lang w:val="en-GB"/>
        </w:rPr>
        <w:t>and</w:t>
      </w:r>
      <w:r w:rsidRPr="00A412E9">
        <w:rPr>
          <w:rFonts w:ascii="Arial" w:hAnsi="Arial" w:cs="Arial"/>
          <w:lang w:val="en-GB"/>
        </w:rPr>
        <w:t xml:space="preserve"> publications or the accounts of the general government </w:t>
      </w:r>
      <w:r w:rsidR="00047C73" w:rsidRPr="00A412E9">
        <w:rPr>
          <w:rFonts w:ascii="Arial" w:hAnsi="Arial" w:cs="Arial"/>
          <w:lang w:val="en-GB"/>
        </w:rPr>
        <w:t xml:space="preserve">(GG) </w:t>
      </w:r>
      <w:r w:rsidRPr="00A412E9">
        <w:rPr>
          <w:rFonts w:ascii="Arial" w:hAnsi="Arial" w:cs="Arial"/>
          <w:lang w:val="en-GB"/>
        </w:rPr>
        <w:t>bodies;</w:t>
      </w:r>
    </w:p>
    <w:p w:rsidR="008706DA" w:rsidRPr="00A412E9" w:rsidRDefault="008706DA"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xml:space="preserve">- </w:t>
      </w:r>
      <w:r w:rsidR="00D33490" w:rsidRPr="00A412E9">
        <w:rPr>
          <w:rFonts w:ascii="Arial" w:hAnsi="Arial" w:cs="Arial"/>
          <w:lang w:val="en-GB"/>
        </w:rPr>
        <w:t>I</w:t>
      </w:r>
      <w:r w:rsidRPr="00A412E9">
        <w:rPr>
          <w:rFonts w:ascii="Arial" w:hAnsi="Arial" w:cs="Arial"/>
          <w:lang w:val="en-GB"/>
        </w:rPr>
        <w:t>ntermediate Consumption matrix, including</w:t>
      </w:r>
      <w:r w:rsidR="00D33490" w:rsidRPr="00A412E9">
        <w:rPr>
          <w:rFonts w:ascii="Arial" w:hAnsi="Arial" w:cs="Arial"/>
          <w:lang w:val="en-GB"/>
        </w:rPr>
        <w:t xml:space="preserve"> the identification of the product, industry (branch) and institutional sector, becoming from the same kind of sources as the output matrix information, </w:t>
      </w:r>
      <w:r w:rsidR="005E5C6B">
        <w:rPr>
          <w:rFonts w:ascii="Arial" w:hAnsi="Arial" w:cs="Arial"/>
          <w:lang w:val="en-GB"/>
        </w:rPr>
        <w:t xml:space="preserve">in </w:t>
      </w:r>
      <w:r w:rsidR="00D33490" w:rsidRPr="00A412E9">
        <w:rPr>
          <w:rFonts w:ascii="Arial" w:hAnsi="Arial" w:cs="Arial"/>
          <w:lang w:val="en-GB"/>
        </w:rPr>
        <w:t>general;</w:t>
      </w:r>
    </w:p>
    <w:p w:rsidR="00D33490" w:rsidRPr="00A412E9" w:rsidRDefault="00D33490"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EREs, or supply and uses balances by product which combine information of production and intermediate consumption be</w:t>
      </w:r>
      <w:r w:rsidR="00184CF0">
        <w:rPr>
          <w:rFonts w:ascii="Arial" w:hAnsi="Arial" w:cs="Arial"/>
          <w:lang w:val="en-GB"/>
        </w:rPr>
        <w:t>coming from the precedent matric</w:t>
      </w:r>
      <w:r w:rsidRPr="00A412E9">
        <w:rPr>
          <w:rFonts w:ascii="Arial" w:hAnsi="Arial" w:cs="Arial"/>
          <w:lang w:val="en-GB"/>
        </w:rPr>
        <w:t xml:space="preserve">es and further information on taxes and subsidies on the products, international trade, changes of inventories or on </w:t>
      </w:r>
      <w:r w:rsidR="00F81C78" w:rsidRPr="00A412E9">
        <w:rPr>
          <w:rFonts w:ascii="Arial" w:hAnsi="Arial" w:cs="Arial"/>
          <w:lang w:val="en-GB"/>
        </w:rPr>
        <w:t xml:space="preserve">the </w:t>
      </w:r>
      <w:r w:rsidRPr="00A412E9">
        <w:rPr>
          <w:rFonts w:ascii="Arial" w:hAnsi="Arial" w:cs="Arial"/>
          <w:lang w:val="en-GB"/>
        </w:rPr>
        <w:t>final consumption expenditures, for each product</w:t>
      </w:r>
      <w:r w:rsidR="00047C73" w:rsidRPr="00A412E9">
        <w:rPr>
          <w:rFonts w:ascii="Arial" w:hAnsi="Arial" w:cs="Arial"/>
          <w:lang w:val="en-GB"/>
        </w:rPr>
        <w:t>;</w:t>
      </w:r>
    </w:p>
    <w:p w:rsidR="00047C73" w:rsidRPr="00A412E9" w:rsidRDefault="00047C73"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Other taxes and subsidies on production, from general government information;</w:t>
      </w:r>
    </w:p>
    <w:p w:rsidR="00047C73" w:rsidRPr="00A412E9" w:rsidRDefault="00047C73"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Compensations of employees, containing information by industry and institutional sector, compiled from different sources, like INE’s survey</w:t>
      </w:r>
      <w:r w:rsidR="00345930">
        <w:rPr>
          <w:rFonts w:ascii="Arial" w:hAnsi="Arial" w:cs="Arial"/>
          <w:lang w:val="en-GB"/>
        </w:rPr>
        <w:t>s</w:t>
      </w:r>
      <w:r w:rsidRPr="00A412E9">
        <w:rPr>
          <w:rFonts w:ascii="Arial" w:hAnsi="Arial" w:cs="Arial"/>
          <w:lang w:val="en-GB"/>
        </w:rPr>
        <w:t xml:space="preserve"> and publications or GG bodies accounts;</w:t>
      </w:r>
    </w:p>
    <w:p w:rsidR="00047C73" w:rsidRPr="00A412E9" w:rsidRDefault="00047C73" w:rsidP="008706DA">
      <w:pPr>
        <w:pStyle w:val="ListParagraph"/>
        <w:numPr>
          <w:ilvl w:val="0"/>
          <w:numId w:val="7"/>
        </w:numPr>
        <w:spacing w:line="360" w:lineRule="auto"/>
        <w:jc w:val="both"/>
        <w:rPr>
          <w:rFonts w:ascii="Arial" w:hAnsi="Arial" w:cs="Arial"/>
          <w:lang w:val="en-GB"/>
        </w:rPr>
      </w:pPr>
      <w:r w:rsidRPr="00A412E9">
        <w:rPr>
          <w:rFonts w:ascii="Arial" w:hAnsi="Arial" w:cs="Arial"/>
          <w:lang w:val="en-GB"/>
        </w:rPr>
        <w:t>- Consumption of fixed capital, which requires mainly the INE’s GFCF series.</w:t>
      </w:r>
    </w:p>
    <w:p w:rsidR="00B46730" w:rsidRDefault="00B46730" w:rsidP="002B79CE">
      <w:pPr>
        <w:spacing w:line="360" w:lineRule="auto"/>
        <w:ind w:left="709"/>
        <w:jc w:val="both"/>
        <w:rPr>
          <w:rFonts w:ascii="Arial" w:hAnsi="Arial" w:cs="Arial"/>
          <w:lang w:val="en-GB"/>
        </w:rPr>
      </w:pPr>
      <w:r>
        <w:rPr>
          <w:rFonts w:ascii="Arial" w:hAnsi="Arial" w:cs="Arial"/>
          <w:lang w:val="en-GB"/>
        </w:rPr>
        <w:t xml:space="preserve">Besides the above referred tables, other </w:t>
      </w:r>
      <w:r w:rsidR="005E5C6B">
        <w:rPr>
          <w:rFonts w:ascii="Arial" w:hAnsi="Arial" w:cs="Arial"/>
          <w:lang w:val="en-GB"/>
        </w:rPr>
        <w:t xml:space="preserve">also relevant </w:t>
      </w:r>
      <w:r>
        <w:rPr>
          <w:rFonts w:ascii="Arial" w:hAnsi="Arial" w:cs="Arial"/>
          <w:lang w:val="en-GB"/>
        </w:rPr>
        <w:t>intermediate tables in t</w:t>
      </w:r>
      <w:r w:rsidR="005E5C6B">
        <w:rPr>
          <w:rFonts w:ascii="Arial" w:hAnsi="Arial" w:cs="Arial"/>
          <w:lang w:val="en-GB"/>
        </w:rPr>
        <w:t>he NA framework can be added, concerning</w:t>
      </w:r>
      <w:r>
        <w:rPr>
          <w:rFonts w:ascii="Arial" w:hAnsi="Arial" w:cs="Arial"/>
          <w:lang w:val="en-GB"/>
        </w:rPr>
        <w:t>:</w:t>
      </w:r>
    </w:p>
    <w:p w:rsidR="00FF2E19" w:rsidRDefault="00B46730">
      <w:pPr>
        <w:pStyle w:val="ListParagraph"/>
        <w:numPr>
          <w:ilvl w:val="0"/>
          <w:numId w:val="6"/>
        </w:numPr>
        <w:spacing w:line="360" w:lineRule="auto"/>
        <w:jc w:val="both"/>
        <w:rPr>
          <w:rFonts w:ascii="Arial" w:hAnsi="Arial" w:cs="Arial"/>
          <w:lang w:val="en-GB"/>
        </w:rPr>
      </w:pPr>
      <w:r>
        <w:rPr>
          <w:rFonts w:ascii="Arial" w:hAnsi="Arial" w:cs="Arial"/>
          <w:lang w:val="en-GB"/>
        </w:rPr>
        <w:t>Margins and margin rates, according to the different products and their use:</w:t>
      </w:r>
    </w:p>
    <w:p w:rsidR="00FF2E19" w:rsidRDefault="00B46730">
      <w:pPr>
        <w:pStyle w:val="ListParagraph"/>
        <w:numPr>
          <w:ilvl w:val="0"/>
          <w:numId w:val="6"/>
        </w:numPr>
        <w:spacing w:line="360" w:lineRule="auto"/>
        <w:jc w:val="both"/>
        <w:rPr>
          <w:rFonts w:ascii="Arial" w:hAnsi="Arial" w:cs="Arial"/>
          <w:lang w:val="en-GB"/>
        </w:rPr>
      </w:pPr>
      <w:r>
        <w:rPr>
          <w:rFonts w:ascii="Arial" w:hAnsi="Arial" w:cs="Arial"/>
          <w:lang w:val="en-GB"/>
        </w:rPr>
        <w:t>VAT and VAT rates, with full detail by products, taxes and prorate rates, application, etc.</w:t>
      </w:r>
    </w:p>
    <w:p w:rsidR="005E5C6B" w:rsidRDefault="005E5C6B" w:rsidP="002B79CE">
      <w:pPr>
        <w:spacing w:line="360" w:lineRule="auto"/>
        <w:ind w:left="709"/>
        <w:jc w:val="both"/>
        <w:rPr>
          <w:rFonts w:ascii="Arial" w:hAnsi="Arial" w:cs="Arial"/>
          <w:lang w:val="en-GB"/>
        </w:rPr>
      </w:pPr>
    </w:p>
    <w:p w:rsidR="002B79CE" w:rsidRPr="00A412E9" w:rsidRDefault="006D0319" w:rsidP="002B79CE">
      <w:pPr>
        <w:spacing w:line="360" w:lineRule="auto"/>
        <w:ind w:left="709"/>
        <w:jc w:val="both"/>
        <w:rPr>
          <w:rFonts w:ascii="Arial" w:hAnsi="Arial" w:cs="Arial"/>
          <w:lang w:val="en-GB"/>
        </w:rPr>
      </w:pPr>
      <w:r w:rsidRPr="00A412E9">
        <w:rPr>
          <w:rFonts w:ascii="Arial" w:hAnsi="Arial" w:cs="Arial"/>
          <w:lang w:val="en-GB"/>
        </w:rPr>
        <w:lastRenderedPageBreak/>
        <w:t>Concerning f</w:t>
      </w:r>
      <w:r w:rsidR="003A6DB8" w:rsidRPr="00A412E9">
        <w:rPr>
          <w:rFonts w:ascii="Arial" w:hAnsi="Arial" w:cs="Arial"/>
          <w:lang w:val="en-GB"/>
        </w:rPr>
        <w:t>igure 3</w:t>
      </w:r>
      <w:r w:rsidRPr="00A412E9">
        <w:rPr>
          <w:rFonts w:ascii="Arial" w:hAnsi="Arial" w:cs="Arial"/>
          <w:lang w:val="en-GB"/>
        </w:rPr>
        <w:t xml:space="preserve">, it </w:t>
      </w:r>
      <w:r w:rsidR="003A6DB8" w:rsidRPr="00A412E9">
        <w:rPr>
          <w:rFonts w:ascii="Arial" w:hAnsi="Arial" w:cs="Arial"/>
          <w:lang w:val="en-GB"/>
        </w:rPr>
        <w:t>represents the compilation procedure since the elementary unit (economic unit) up to the most important NA output tables, including QRE, and other related accounts or sub-systems.</w:t>
      </w:r>
    </w:p>
    <w:p w:rsidR="00F47F53" w:rsidRPr="00A412E9" w:rsidRDefault="003A6DB8" w:rsidP="002B79CE">
      <w:pPr>
        <w:spacing w:line="360" w:lineRule="auto"/>
        <w:ind w:left="709"/>
        <w:jc w:val="both"/>
        <w:rPr>
          <w:rFonts w:ascii="Arial" w:hAnsi="Arial" w:cs="Arial"/>
          <w:lang w:val="en-GB"/>
        </w:rPr>
      </w:pPr>
      <w:r w:rsidRPr="00A412E9">
        <w:rPr>
          <w:rFonts w:ascii="Arial" w:hAnsi="Arial" w:cs="Arial"/>
          <w:lang w:val="en-GB"/>
        </w:rPr>
        <w:t xml:space="preserve">The basic economic unit may be “seen” mostly focused on its activity (kind </w:t>
      </w:r>
      <w:r w:rsidR="00387716" w:rsidRPr="00A412E9">
        <w:rPr>
          <w:rFonts w:ascii="Arial" w:hAnsi="Arial" w:cs="Arial"/>
          <w:lang w:val="en-GB"/>
        </w:rPr>
        <w:t>of economic activity, KAU) or on</w:t>
      </w:r>
      <w:r w:rsidRPr="00A412E9">
        <w:rPr>
          <w:rFonts w:ascii="Arial" w:hAnsi="Arial" w:cs="Arial"/>
          <w:lang w:val="en-GB"/>
        </w:rPr>
        <w:t xml:space="preserve"> its institutional</w:t>
      </w:r>
      <w:r w:rsidR="00387716" w:rsidRPr="00A412E9">
        <w:rPr>
          <w:rFonts w:ascii="Arial" w:hAnsi="Arial" w:cs="Arial"/>
          <w:lang w:val="en-GB"/>
        </w:rPr>
        <w:t xml:space="preserve"> behaviour. The KAU unit is that one that is behind the compilation of the SUT (QRE), passing by the EREs tables</w:t>
      </w:r>
      <w:r w:rsidR="00F47F53" w:rsidRPr="00A412E9">
        <w:rPr>
          <w:rFonts w:ascii="Arial" w:hAnsi="Arial" w:cs="Arial"/>
          <w:lang w:val="en-GB"/>
        </w:rPr>
        <w:t>, namely</w:t>
      </w:r>
      <w:r w:rsidR="00387716" w:rsidRPr="00A412E9">
        <w:rPr>
          <w:rFonts w:ascii="Arial" w:hAnsi="Arial" w:cs="Arial"/>
          <w:lang w:val="en-GB"/>
        </w:rPr>
        <w:t>. The institutional perspective is addressed to the compilation of th</w:t>
      </w:r>
      <w:r w:rsidR="00F47F53" w:rsidRPr="00A412E9">
        <w:rPr>
          <w:rFonts w:ascii="Arial" w:hAnsi="Arial" w:cs="Arial"/>
          <w:lang w:val="en-GB"/>
        </w:rPr>
        <w:t>e institutional sector accounts up to the construction</w:t>
      </w:r>
      <w:r w:rsidR="00387716" w:rsidRPr="00A412E9">
        <w:rPr>
          <w:rFonts w:ascii="Arial" w:hAnsi="Arial" w:cs="Arial"/>
          <w:lang w:val="en-GB"/>
        </w:rPr>
        <w:t xml:space="preserve"> of QCEI and passing by the cross classification of the transactions by industry and institutional sect</w:t>
      </w:r>
      <w:r w:rsidR="00C25C4F">
        <w:rPr>
          <w:rFonts w:ascii="Arial" w:hAnsi="Arial" w:cs="Arial"/>
          <w:lang w:val="en-GB"/>
        </w:rPr>
        <w:t>or and by the transaction matric</w:t>
      </w:r>
      <w:r w:rsidR="005E5C6B">
        <w:rPr>
          <w:rFonts w:ascii="Arial" w:hAnsi="Arial" w:cs="Arial"/>
          <w:lang w:val="en-GB"/>
        </w:rPr>
        <w:t>es</w:t>
      </w:r>
      <w:r w:rsidR="00387716" w:rsidRPr="00A412E9">
        <w:rPr>
          <w:rFonts w:ascii="Arial" w:hAnsi="Arial" w:cs="Arial"/>
          <w:lang w:val="en-GB"/>
        </w:rPr>
        <w:t xml:space="preserve">. </w:t>
      </w:r>
    </w:p>
    <w:p w:rsidR="003A6DB8" w:rsidRPr="00A412E9" w:rsidRDefault="00F47F53" w:rsidP="002B79CE">
      <w:pPr>
        <w:spacing w:line="360" w:lineRule="auto"/>
        <w:ind w:left="709"/>
        <w:jc w:val="both"/>
        <w:rPr>
          <w:rFonts w:ascii="Arial" w:hAnsi="Arial" w:cs="Arial"/>
          <w:lang w:val="en-GB"/>
        </w:rPr>
      </w:pPr>
      <w:r w:rsidRPr="00A412E9">
        <w:rPr>
          <w:rFonts w:ascii="Arial" w:hAnsi="Arial" w:cs="Arial"/>
          <w:lang w:val="en-GB"/>
        </w:rPr>
        <w:t>This illustration shows a</w:t>
      </w:r>
      <w:r w:rsidR="00345930">
        <w:rPr>
          <w:rFonts w:ascii="Arial" w:hAnsi="Arial" w:cs="Arial"/>
          <w:lang w:val="en-GB"/>
        </w:rPr>
        <w:t>lso</w:t>
      </w:r>
      <w:r w:rsidRPr="00A412E9">
        <w:rPr>
          <w:rFonts w:ascii="Arial" w:hAnsi="Arial" w:cs="Arial"/>
          <w:lang w:val="en-GB"/>
        </w:rPr>
        <w:t xml:space="preserve"> the re</w:t>
      </w:r>
      <w:r w:rsidR="00345930">
        <w:rPr>
          <w:rFonts w:ascii="Arial" w:hAnsi="Arial" w:cs="Arial"/>
          <w:lang w:val="en-GB"/>
        </w:rPr>
        <w:t>lationship between QRE and QCEI</w:t>
      </w:r>
      <w:r w:rsidRPr="00A412E9">
        <w:rPr>
          <w:rFonts w:ascii="Arial" w:hAnsi="Arial" w:cs="Arial"/>
          <w:lang w:val="en-GB"/>
        </w:rPr>
        <w:t xml:space="preserve"> with the aim of obtaining the consistency and the </w:t>
      </w:r>
      <w:r w:rsidR="008637D6" w:rsidRPr="00A412E9">
        <w:rPr>
          <w:rFonts w:ascii="Arial" w:hAnsi="Arial" w:cs="Arial"/>
          <w:lang w:val="en-GB"/>
        </w:rPr>
        <w:t>coherence</w:t>
      </w:r>
      <w:r w:rsidRPr="00A412E9">
        <w:rPr>
          <w:rFonts w:ascii="Arial" w:hAnsi="Arial" w:cs="Arial"/>
          <w:lang w:val="en-GB"/>
        </w:rPr>
        <w:t xml:space="preserve"> of </w:t>
      </w:r>
      <w:r w:rsidR="00F81C78" w:rsidRPr="00A412E9">
        <w:rPr>
          <w:rFonts w:ascii="Arial" w:hAnsi="Arial" w:cs="Arial"/>
          <w:lang w:val="en-GB"/>
        </w:rPr>
        <w:t>both set of data; this</w:t>
      </w:r>
      <w:r w:rsidR="008637D6" w:rsidRPr="00A412E9">
        <w:rPr>
          <w:rFonts w:ascii="Arial" w:hAnsi="Arial" w:cs="Arial"/>
          <w:lang w:val="en-GB"/>
        </w:rPr>
        <w:t xml:space="preserve"> is established under the perspective of </w:t>
      </w:r>
      <w:r w:rsidR="00F81C78" w:rsidRPr="00A412E9">
        <w:rPr>
          <w:rFonts w:ascii="Arial" w:hAnsi="Arial" w:cs="Arial"/>
          <w:lang w:val="en-GB"/>
        </w:rPr>
        <w:t>the industry (a</w:t>
      </w:r>
      <w:r w:rsidR="001B5DFB" w:rsidRPr="00A412E9">
        <w:rPr>
          <w:rFonts w:ascii="Arial" w:hAnsi="Arial" w:cs="Arial"/>
          <w:lang w:val="en-GB"/>
        </w:rPr>
        <w:t>ctivity</w:t>
      </w:r>
      <w:r w:rsidR="00F81C78" w:rsidRPr="00A412E9">
        <w:rPr>
          <w:rFonts w:ascii="Arial" w:hAnsi="Arial" w:cs="Arial"/>
          <w:lang w:val="en-GB"/>
        </w:rPr>
        <w:t>)</w:t>
      </w:r>
      <w:r w:rsidR="001B5DFB" w:rsidRPr="00A412E9">
        <w:rPr>
          <w:rFonts w:ascii="Arial" w:hAnsi="Arial" w:cs="Arial"/>
          <w:lang w:val="en-GB"/>
        </w:rPr>
        <w:t xml:space="preserve"> and is focused</w:t>
      </w:r>
      <w:r w:rsidR="008637D6" w:rsidRPr="00A412E9">
        <w:rPr>
          <w:rFonts w:ascii="Arial" w:hAnsi="Arial" w:cs="Arial"/>
          <w:lang w:val="en-GB"/>
        </w:rPr>
        <w:t xml:space="preserve"> on the generation accounts by industry and its balance (operating surplus / mixed income).</w:t>
      </w:r>
    </w:p>
    <w:p w:rsidR="00673061" w:rsidRPr="00D45CEF" w:rsidRDefault="00B81A1E" w:rsidP="00673061">
      <w:pPr>
        <w:spacing w:line="360" w:lineRule="auto"/>
        <w:rPr>
          <w:rFonts w:ascii="Arial" w:hAnsi="Arial" w:cs="Arial"/>
          <w:b/>
          <w:sz w:val="18"/>
          <w:szCs w:val="18"/>
          <w:lang w:val="en-GB"/>
        </w:rPr>
      </w:pPr>
      <w:r w:rsidRPr="00B81A1E">
        <w:rPr>
          <w:rFonts w:ascii="Arial" w:hAnsi="Arial" w:cs="Arial"/>
          <w:b/>
          <w:sz w:val="18"/>
          <w:szCs w:val="18"/>
          <w:lang w:val="en-GB"/>
        </w:rPr>
        <w:t>Figure 3 - Overall NA compilation (II)</w:t>
      </w:r>
    </w:p>
    <w:p w:rsidR="007653FE" w:rsidRPr="00A412E9" w:rsidRDefault="007653FE" w:rsidP="00673061">
      <w:pPr>
        <w:spacing w:line="360" w:lineRule="auto"/>
        <w:rPr>
          <w:rFonts w:ascii="Arial" w:hAnsi="Arial" w:cs="Arial"/>
          <w:lang w:val="en-GB"/>
        </w:rPr>
      </w:pPr>
      <w:r w:rsidRPr="007653FE">
        <w:rPr>
          <w:noProof/>
          <w:lang w:eastAsia="pt-PT"/>
        </w:rPr>
        <w:drawing>
          <wp:inline distT="0" distB="0" distL="0" distR="0">
            <wp:extent cx="5400040" cy="358667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00040" cy="3586679"/>
                    </a:xfrm>
                    <a:prstGeom prst="rect">
                      <a:avLst/>
                    </a:prstGeom>
                    <a:noFill/>
                    <a:ln w="9525">
                      <a:noFill/>
                      <a:miter lim="800000"/>
                      <a:headEnd/>
                      <a:tailEnd/>
                    </a:ln>
                  </pic:spPr>
                </pic:pic>
              </a:graphicData>
            </a:graphic>
          </wp:inline>
        </w:drawing>
      </w:r>
    </w:p>
    <w:p w:rsidR="00673061" w:rsidRPr="00C8089B" w:rsidRDefault="00673061" w:rsidP="00673061">
      <w:pPr>
        <w:rPr>
          <w:rFonts w:ascii="Arial" w:hAnsi="Arial" w:cs="Arial"/>
          <w:sz w:val="16"/>
          <w:szCs w:val="16"/>
          <w:lang w:val="en-GB"/>
        </w:rPr>
      </w:pPr>
      <w:r w:rsidRPr="00A412E9">
        <w:rPr>
          <w:rFonts w:ascii="Arial" w:hAnsi="Arial" w:cs="Arial"/>
          <w:b/>
          <w:bCs/>
          <w:color w:val="000000"/>
          <w:lang w:val="en-US"/>
        </w:rPr>
        <w:t xml:space="preserve"> </w:t>
      </w:r>
    </w:p>
    <w:p w:rsidR="007245AE" w:rsidRPr="00A412E9" w:rsidRDefault="00C00B81" w:rsidP="0080678F">
      <w:pPr>
        <w:spacing w:line="360" w:lineRule="auto"/>
        <w:ind w:left="709"/>
        <w:jc w:val="both"/>
        <w:rPr>
          <w:rFonts w:ascii="Arial" w:hAnsi="Arial" w:cs="Arial"/>
          <w:lang w:val="en-GB"/>
        </w:rPr>
      </w:pPr>
      <w:r w:rsidRPr="00A412E9">
        <w:rPr>
          <w:rFonts w:ascii="Arial" w:hAnsi="Arial" w:cs="Arial"/>
          <w:lang w:val="en-GB"/>
        </w:rPr>
        <w:t>Plus</w:t>
      </w:r>
      <w:r w:rsidR="0080678F" w:rsidRPr="00A412E9">
        <w:rPr>
          <w:rFonts w:ascii="Arial" w:hAnsi="Arial" w:cs="Arial"/>
          <w:lang w:val="en-GB"/>
        </w:rPr>
        <w:t>, figure 3 represents also other NA sub-systems that are conceptually</w:t>
      </w:r>
      <w:r w:rsidR="00A41CB2" w:rsidRPr="00A412E9">
        <w:rPr>
          <w:rFonts w:ascii="Arial" w:hAnsi="Arial" w:cs="Arial"/>
          <w:lang w:val="en-GB"/>
        </w:rPr>
        <w:t xml:space="preserve"> and actually</w:t>
      </w:r>
      <w:r w:rsidR="0080678F" w:rsidRPr="00A412E9">
        <w:rPr>
          <w:rFonts w:ascii="Arial" w:hAnsi="Arial" w:cs="Arial"/>
          <w:lang w:val="en-GB"/>
        </w:rPr>
        <w:t xml:space="preserve"> related to the same input and</w:t>
      </w:r>
      <w:r w:rsidR="007245AE" w:rsidRPr="00A412E9">
        <w:rPr>
          <w:rFonts w:ascii="Arial" w:hAnsi="Arial" w:cs="Arial"/>
          <w:lang w:val="en-GB"/>
        </w:rPr>
        <w:t xml:space="preserve"> output of</w:t>
      </w:r>
      <w:r w:rsidR="007653FE">
        <w:rPr>
          <w:rFonts w:ascii="Arial" w:hAnsi="Arial" w:cs="Arial"/>
          <w:lang w:val="en-GB"/>
        </w:rPr>
        <w:t xml:space="preserve"> SUT (QRE) and QCEI, namely </w:t>
      </w:r>
      <w:r w:rsidR="007653FE">
        <w:rPr>
          <w:rFonts w:ascii="Arial" w:hAnsi="Arial" w:cs="Arial"/>
          <w:lang w:val="en-GB"/>
        </w:rPr>
        <w:lastRenderedPageBreak/>
        <w:t>quarterly and</w:t>
      </w:r>
      <w:r w:rsidR="0080678F" w:rsidRPr="00A412E9">
        <w:rPr>
          <w:rFonts w:ascii="Arial" w:hAnsi="Arial" w:cs="Arial"/>
          <w:lang w:val="en-GB"/>
        </w:rPr>
        <w:t xml:space="preserve"> regional accounts or several satellite accounts, all </w:t>
      </w:r>
      <w:r w:rsidR="00A41CB2" w:rsidRPr="00A412E9">
        <w:rPr>
          <w:rFonts w:ascii="Arial" w:hAnsi="Arial" w:cs="Arial"/>
          <w:lang w:val="en-GB"/>
        </w:rPr>
        <w:t xml:space="preserve">of them </w:t>
      </w:r>
      <w:r w:rsidR="0080678F" w:rsidRPr="00A412E9">
        <w:rPr>
          <w:rFonts w:ascii="Arial" w:hAnsi="Arial" w:cs="Arial"/>
          <w:lang w:val="en-GB"/>
        </w:rPr>
        <w:t xml:space="preserve">developed by INE. </w:t>
      </w:r>
    </w:p>
    <w:p w:rsidR="0080678F" w:rsidRPr="00A412E9" w:rsidRDefault="0080678F" w:rsidP="0080678F">
      <w:pPr>
        <w:spacing w:line="360" w:lineRule="auto"/>
        <w:ind w:left="709"/>
        <w:jc w:val="both"/>
        <w:rPr>
          <w:rFonts w:ascii="Arial" w:hAnsi="Arial" w:cs="Arial"/>
          <w:lang w:val="en-GB"/>
        </w:rPr>
      </w:pPr>
      <w:r w:rsidRPr="00A412E9">
        <w:rPr>
          <w:rFonts w:ascii="Arial" w:hAnsi="Arial" w:cs="Arial"/>
          <w:lang w:val="en-GB"/>
        </w:rPr>
        <w:t>The symmetrical Input-Output tables</w:t>
      </w:r>
      <w:r w:rsidR="005E5C6B">
        <w:rPr>
          <w:rFonts w:ascii="Arial" w:hAnsi="Arial" w:cs="Arial"/>
          <w:lang w:val="en-GB"/>
        </w:rPr>
        <w:t>,</w:t>
      </w:r>
      <w:r w:rsidRPr="00A412E9">
        <w:rPr>
          <w:rFonts w:ascii="Arial" w:hAnsi="Arial" w:cs="Arial"/>
          <w:lang w:val="en-GB"/>
        </w:rPr>
        <w:t xml:space="preserve"> </w:t>
      </w:r>
      <w:r w:rsidR="00C25C4F">
        <w:rPr>
          <w:rFonts w:ascii="Arial" w:hAnsi="Arial" w:cs="Arial"/>
          <w:lang w:val="en-GB"/>
        </w:rPr>
        <w:t>compiled in the past every five years b</w:t>
      </w:r>
      <w:r w:rsidRPr="00A412E9">
        <w:rPr>
          <w:rFonts w:ascii="Arial" w:hAnsi="Arial" w:cs="Arial"/>
          <w:lang w:val="en-GB"/>
        </w:rPr>
        <w:t xml:space="preserve">y another </w:t>
      </w:r>
      <w:r w:rsidR="00C25C4F">
        <w:rPr>
          <w:rFonts w:ascii="Arial" w:hAnsi="Arial" w:cs="Arial"/>
          <w:lang w:val="en-GB"/>
        </w:rPr>
        <w:t xml:space="preserve">public </w:t>
      </w:r>
      <w:r w:rsidRPr="00A412E9">
        <w:rPr>
          <w:rFonts w:ascii="Arial" w:hAnsi="Arial" w:cs="Arial"/>
          <w:lang w:val="en-GB"/>
        </w:rPr>
        <w:t xml:space="preserve">institution </w:t>
      </w:r>
      <w:r w:rsidR="00C25C4F">
        <w:rPr>
          <w:rFonts w:ascii="Arial" w:hAnsi="Arial" w:cs="Arial"/>
          <w:lang w:val="en-GB"/>
        </w:rPr>
        <w:t>with the support of</w:t>
      </w:r>
      <w:r w:rsidRPr="00A412E9">
        <w:rPr>
          <w:rFonts w:ascii="Arial" w:hAnsi="Arial" w:cs="Arial"/>
          <w:lang w:val="en-GB"/>
        </w:rPr>
        <w:t xml:space="preserve"> INE, are also </w:t>
      </w:r>
      <w:r w:rsidR="002B4195" w:rsidRPr="00A412E9">
        <w:rPr>
          <w:rFonts w:ascii="Arial" w:hAnsi="Arial" w:cs="Arial"/>
          <w:lang w:val="en-GB"/>
        </w:rPr>
        <w:t>represented</w:t>
      </w:r>
      <w:r w:rsidR="00C00B81" w:rsidRPr="00A412E9">
        <w:rPr>
          <w:rFonts w:ascii="Arial" w:hAnsi="Arial" w:cs="Arial"/>
          <w:lang w:val="en-GB"/>
        </w:rPr>
        <w:t>,</w:t>
      </w:r>
      <w:r w:rsidR="002B4195" w:rsidRPr="00A412E9">
        <w:rPr>
          <w:rFonts w:ascii="Arial" w:hAnsi="Arial" w:cs="Arial"/>
          <w:lang w:val="en-GB"/>
        </w:rPr>
        <w:t xml:space="preserve"> since they have been built in full connection with NA data, namely the SUT (QRE).</w:t>
      </w:r>
    </w:p>
    <w:p w:rsidR="002B4195" w:rsidRPr="00A412E9" w:rsidRDefault="002B4195" w:rsidP="00673061">
      <w:pPr>
        <w:pStyle w:val="ListParagraph"/>
        <w:spacing w:line="360" w:lineRule="auto"/>
        <w:jc w:val="both"/>
        <w:rPr>
          <w:rFonts w:ascii="Arial" w:hAnsi="Arial" w:cs="Arial"/>
          <w:lang w:val="en-GB"/>
        </w:rPr>
      </w:pPr>
    </w:p>
    <w:p w:rsidR="005F5B61" w:rsidRPr="00A412E9" w:rsidRDefault="005F5B61" w:rsidP="002C5DA7">
      <w:pPr>
        <w:pStyle w:val="ListParagraph"/>
        <w:numPr>
          <w:ilvl w:val="0"/>
          <w:numId w:val="2"/>
        </w:numPr>
        <w:spacing w:line="360" w:lineRule="auto"/>
        <w:rPr>
          <w:rFonts w:ascii="Arial" w:hAnsi="Arial" w:cs="Arial"/>
          <w:lang w:val="en-GB"/>
        </w:rPr>
      </w:pPr>
      <w:r w:rsidRPr="00A412E9">
        <w:rPr>
          <w:rFonts w:ascii="Arial" w:hAnsi="Arial" w:cs="Arial"/>
          <w:lang w:val="en-GB"/>
        </w:rPr>
        <w:t>Backwards to SUT (QRE) - ERE (s)</w:t>
      </w:r>
    </w:p>
    <w:p w:rsidR="00623E05" w:rsidRPr="00A412E9" w:rsidRDefault="00623E05" w:rsidP="002C5DA7">
      <w:pPr>
        <w:pStyle w:val="ListParagraph"/>
        <w:spacing w:line="360" w:lineRule="auto"/>
        <w:jc w:val="both"/>
        <w:rPr>
          <w:rFonts w:ascii="Arial" w:hAnsi="Arial" w:cs="Arial"/>
          <w:lang w:val="en-GB"/>
        </w:rPr>
      </w:pPr>
      <w:r w:rsidRPr="00A412E9">
        <w:rPr>
          <w:rFonts w:ascii="Arial" w:hAnsi="Arial" w:cs="Arial"/>
          <w:lang w:val="en-GB"/>
        </w:rPr>
        <w:t xml:space="preserve">As </w:t>
      </w:r>
      <w:r w:rsidR="008B6E3C" w:rsidRPr="00A412E9">
        <w:rPr>
          <w:rFonts w:ascii="Arial" w:hAnsi="Arial" w:cs="Arial"/>
          <w:lang w:val="en-GB"/>
        </w:rPr>
        <w:t xml:space="preserve">above referred, SUT (QRE) </w:t>
      </w:r>
      <w:r w:rsidR="00A15808">
        <w:rPr>
          <w:rFonts w:ascii="Arial" w:hAnsi="Arial" w:cs="Arial"/>
          <w:lang w:val="en-GB"/>
        </w:rPr>
        <w:t>is based on</w:t>
      </w:r>
      <w:r w:rsidR="00C171EA">
        <w:rPr>
          <w:rFonts w:ascii="Arial" w:hAnsi="Arial" w:cs="Arial"/>
          <w:lang w:val="en-GB"/>
        </w:rPr>
        <w:t xml:space="preserve"> the previous</w:t>
      </w:r>
      <w:r w:rsidR="0056536C">
        <w:rPr>
          <w:rFonts w:ascii="Arial" w:hAnsi="Arial" w:cs="Arial"/>
          <w:lang w:val="en-GB"/>
        </w:rPr>
        <w:t>ly mentioned</w:t>
      </w:r>
      <w:r w:rsidR="00C171EA">
        <w:rPr>
          <w:rFonts w:ascii="Arial" w:hAnsi="Arial" w:cs="Arial"/>
          <w:lang w:val="en-GB"/>
        </w:rPr>
        <w:t xml:space="preserve"> </w:t>
      </w:r>
      <w:r w:rsidR="008B6E3C" w:rsidRPr="00A412E9">
        <w:rPr>
          <w:rFonts w:ascii="Arial" w:hAnsi="Arial" w:cs="Arial"/>
          <w:lang w:val="en-GB"/>
        </w:rPr>
        <w:t>EREs, i.e. Supply and use balance tables by product</w:t>
      </w:r>
      <w:r w:rsidR="00FC0BD2">
        <w:rPr>
          <w:rFonts w:ascii="Arial" w:hAnsi="Arial" w:cs="Arial"/>
          <w:lang w:val="en-GB"/>
        </w:rPr>
        <w:t>.</w:t>
      </w:r>
      <w:r w:rsidR="0056536C">
        <w:rPr>
          <w:rFonts w:ascii="Arial" w:hAnsi="Arial" w:cs="Arial"/>
          <w:lang w:val="en-GB"/>
        </w:rPr>
        <w:t xml:space="preserve"> </w:t>
      </w:r>
      <w:r w:rsidR="008E706C" w:rsidRPr="00A412E9">
        <w:rPr>
          <w:rFonts w:ascii="Arial" w:hAnsi="Arial" w:cs="Arial"/>
          <w:lang w:val="en-GB"/>
        </w:rPr>
        <w:t>EREs, amon</w:t>
      </w:r>
      <w:r w:rsidR="00A412E9" w:rsidRPr="00A412E9">
        <w:rPr>
          <w:rFonts w:ascii="Arial" w:hAnsi="Arial" w:cs="Arial"/>
          <w:lang w:val="en-GB"/>
        </w:rPr>
        <w:t>g other information, include</w:t>
      </w:r>
      <w:r w:rsidR="008E706C" w:rsidRPr="00A412E9">
        <w:rPr>
          <w:rFonts w:ascii="Arial" w:hAnsi="Arial" w:cs="Arial"/>
          <w:lang w:val="en-GB"/>
        </w:rPr>
        <w:t xml:space="preserve"> data </w:t>
      </w:r>
      <w:r w:rsidR="0056536C">
        <w:rPr>
          <w:rFonts w:ascii="Arial" w:hAnsi="Arial" w:cs="Arial"/>
          <w:lang w:val="en-GB"/>
        </w:rPr>
        <w:t>from</w:t>
      </w:r>
      <w:r w:rsidR="008E706C" w:rsidRPr="00A412E9">
        <w:rPr>
          <w:rFonts w:ascii="Arial" w:hAnsi="Arial" w:cs="Arial"/>
          <w:lang w:val="en-GB"/>
        </w:rPr>
        <w:t xml:space="preserve"> the output matrix and the intermediate consumption matrix, </w:t>
      </w:r>
      <w:r w:rsidR="002C5DA7" w:rsidRPr="00A412E9">
        <w:rPr>
          <w:rFonts w:ascii="Arial" w:hAnsi="Arial" w:cs="Arial"/>
          <w:lang w:val="en-GB"/>
        </w:rPr>
        <w:t>also by product.</w:t>
      </w:r>
    </w:p>
    <w:p w:rsidR="002C5DA7" w:rsidRPr="00A412E9" w:rsidRDefault="002C5DA7" w:rsidP="002C5DA7">
      <w:pPr>
        <w:pStyle w:val="ListParagraph"/>
        <w:spacing w:line="360" w:lineRule="auto"/>
        <w:jc w:val="both"/>
        <w:rPr>
          <w:rFonts w:ascii="Arial" w:hAnsi="Arial" w:cs="Arial"/>
          <w:lang w:val="en-GB"/>
        </w:rPr>
      </w:pPr>
      <w:r w:rsidRPr="00A412E9">
        <w:rPr>
          <w:rFonts w:ascii="Arial" w:hAnsi="Arial" w:cs="Arial"/>
          <w:lang w:val="en-GB"/>
        </w:rPr>
        <w:t xml:space="preserve">In these circumstances, before developing the features of the EREs in order to the compilation of the SUT (QRE), it </w:t>
      </w:r>
      <w:r w:rsidR="0056536C">
        <w:rPr>
          <w:rFonts w:ascii="Arial" w:hAnsi="Arial" w:cs="Arial"/>
          <w:lang w:val="en-GB"/>
        </w:rPr>
        <w:t>is necessary</w:t>
      </w:r>
      <w:r w:rsidRPr="00A412E9">
        <w:rPr>
          <w:rFonts w:ascii="Arial" w:hAnsi="Arial" w:cs="Arial"/>
          <w:lang w:val="en-GB"/>
        </w:rPr>
        <w:t xml:space="preserve"> t</w:t>
      </w:r>
      <w:r w:rsidR="003D0275" w:rsidRPr="00A412E9">
        <w:rPr>
          <w:rFonts w:ascii="Arial" w:hAnsi="Arial" w:cs="Arial"/>
          <w:lang w:val="en-GB"/>
        </w:rPr>
        <w:t xml:space="preserve">o take a glance </w:t>
      </w:r>
      <w:r w:rsidR="0056536C">
        <w:rPr>
          <w:rFonts w:ascii="Arial" w:hAnsi="Arial" w:cs="Arial"/>
          <w:lang w:val="en-GB"/>
        </w:rPr>
        <w:t>at those matric</w:t>
      </w:r>
      <w:r w:rsidR="003D0275" w:rsidRPr="00A412E9">
        <w:rPr>
          <w:rFonts w:ascii="Arial" w:hAnsi="Arial" w:cs="Arial"/>
          <w:lang w:val="en-GB"/>
        </w:rPr>
        <w:t>es</w:t>
      </w:r>
      <w:r w:rsidRPr="00A412E9">
        <w:rPr>
          <w:rFonts w:ascii="Arial" w:hAnsi="Arial" w:cs="Arial"/>
          <w:lang w:val="en-GB"/>
        </w:rPr>
        <w:t xml:space="preserve"> </w:t>
      </w:r>
      <w:r w:rsidR="0010773B" w:rsidRPr="00A412E9">
        <w:rPr>
          <w:rFonts w:ascii="Arial" w:hAnsi="Arial" w:cs="Arial"/>
          <w:lang w:val="en-GB"/>
        </w:rPr>
        <w:t>using that the following</w:t>
      </w:r>
      <w:r w:rsidRPr="00A412E9">
        <w:rPr>
          <w:rFonts w:ascii="Arial" w:hAnsi="Arial" w:cs="Arial"/>
          <w:lang w:val="en-GB"/>
        </w:rPr>
        <w:t xml:space="preserve"> figures</w:t>
      </w:r>
      <w:r w:rsidR="003D0275" w:rsidRPr="00A412E9">
        <w:rPr>
          <w:rFonts w:ascii="Arial" w:hAnsi="Arial" w:cs="Arial"/>
          <w:lang w:val="en-GB"/>
        </w:rPr>
        <w:t>:</w:t>
      </w:r>
    </w:p>
    <w:p w:rsidR="00623E05" w:rsidRPr="00A412E9" w:rsidRDefault="00623E05" w:rsidP="005F5B61">
      <w:pPr>
        <w:pStyle w:val="ListParagraph"/>
        <w:rPr>
          <w:rFonts w:ascii="Arial" w:hAnsi="Arial" w:cs="Arial"/>
          <w:lang w:val="en-GB"/>
        </w:rPr>
      </w:pPr>
    </w:p>
    <w:p w:rsidR="008A6673" w:rsidRPr="00D45CEF" w:rsidRDefault="00B81A1E" w:rsidP="008A6673">
      <w:pPr>
        <w:pStyle w:val="ListParagraph"/>
        <w:rPr>
          <w:rFonts w:ascii="Arial" w:hAnsi="Arial" w:cs="Arial"/>
          <w:b/>
          <w:sz w:val="18"/>
          <w:szCs w:val="18"/>
          <w:lang w:val="en-GB"/>
        </w:rPr>
      </w:pPr>
      <w:r w:rsidRPr="00B81A1E">
        <w:rPr>
          <w:rFonts w:ascii="Arial" w:hAnsi="Arial" w:cs="Arial"/>
          <w:b/>
          <w:sz w:val="18"/>
          <w:szCs w:val="18"/>
          <w:lang w:val="en-GB"/>
        </w:rPr>
        <w:t xml:space="preserve">Figure 4   </w:t>
      </w:r>
      <w:r w:rsidR="008A6673" w:rsidRPr="00D45CEF">
        <w:rPr>
          <w:rFonts w:ascii="Arial" w:hAnsi="Arial" w:cs="Arial"/>
          <w:b/>
          <w:sz w:val="18"/>
          <w:szCs w:val="18"/>
          <w:lang w:val="en-GB"/>
        </w:rPr>
        <w:t>Output Table, by product/industry/sector</w:t>
      </w:r>
    </w:p>
    <w:p w:rsidR="008A6673" w:rsidRPr="00A412E9" w:rsidRDefault="008A6673" w:rsidP="008A6673">
      <w:pPr>
        <w:pStyle w:val="ListParagraph"/>
        <w:rPr>
          <w:rFonts w:ascii="Arial" w:hAnsi="Arial" w:cs="Arial"/>
          <w:lang w:val="en-GB"/>
        </w:rPr>
      </w:pPr>
    </w:p>
    <w:tbl>
      <w:tblPr>
        <w:tblStyle w:val="TableGrid"/>
        <w:tblW w:w="0" w:type="auto"/>
        <w:tblInd w:w="817" w:type="dxa"/>
        <w:shd w:val="clear" w:color="auto" w:fill="95B3D7" w:themeFill="accent1" w:themeFillTint="99"/>
        <w:tblLook w:val="04A0"/>
      </w:tblPr>
      <w:tblGrid>
        <w:gridCol w:w="1230"/>
        <w:gridCol w:w="1230"/>
        <w:gridCol w:w="1123"/>
        <w:gridCol w:w="992"/>
        <w:gridCol w:w="993"/>
        <w:gridCol w:w="1134"/>
        <w:gridCol w:w="992"/>
      </w:tblGrid>
      <w:tr w:rsidR="00623E05" w:rsidRPr="00A412E9" w:rsidTr="008A6673">
        <w:tc>
          <w:tcPr>
            <w:tcW w:w="1104" w:type="dxa"/>
            <w:shd w:val="clear" w:color="auto" w:fill="DAEEF3" w:themeFill="accent5" w:themeFillTint="33"/>
          </w:tcPr>
          <w:p w:rsidR="00623E05" w:rsidRPr="00C8089B" w:rsidRDefault="00623E05" w:rsidP="0010773B">
            <w:pPr>
              <w:spacing w:line="360" w:lineRule="auto"/>
              <w:jc w:val="center"/>
              <w:rPr>
                <w:rFonts w:ascii="Arial" w:hAnsi="Arial" w:cs="Arial"/>
                <w:sz w:val="16"/>
                <w:szCs w:val="16"/>
                <w:lang w:val="en-GB"/>
              </w:rPr>
            </w:pPr>
          </w:p>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lang w:val="en-GB"/>
              </w:rPr>
              <w:t>Products</w:t>
            </w:r>
          </w:p>
          <w:p w:rsidR="00623E05" w:rsidRPr="00C8089B" w:rsidRDefault="00C00B81" w:rsidP="0010773B">
            <w:pPr>
              <w:spacing w:line="360" w:lineRule="auto"/>
              <w:jc w:val="center"/>
              <w:rPr>
                <w:rFonts w:ascii="Arial" w:hAnsi="Arial" w:cs="Arial"/>
                <w:b/>
                <w:sz w:val="16"/>
                <w:szCs w:val="16"/>
              </w:rPr>
            </w:pPr>
            <w:proofErr w:type="spellStart"/>
            <w:proofErr w:type="gramStart"/>
            <w:r w:rsidRPr="00C8089B">
              <w:rPr>
                <w:rFonts w:ascii="Arial" w:hAnsi="Arial" w:cs="Arial"/>
                <w:b/>
                <w:sz w:val="16"/>
                <w:szCs w:val="16"/>
              </w:rPr>
              <w:t>c</w:t>
            </w:r>
            <w:r w:rsidR="008A62BE" w:rsidRPr="00C8089B">
              <w:rPr>
                <w:rFonts w:ascii="Arial" w:hAnsi="Arial" w:cs="Arial"/>
                <w:b/>
                <w:sz w:val="16"/>
                <w:szCs w:val="16"/>
              </w:rPr>
              <w:t>lassificat</w:t>
            </w:r>
            <w:r w:rsidRPr="00C8089B">
              <w:rPr>
                <w:rFonts w:ascii="Arial" w:hAnsi="Arial" w:cs="Arial"/>
                <w:b/>
                <w:sz w:val="16"/>
                <w:szCs w:val="16"/>
              </w:rPr>
              <w:t>ion</w:t>
            </w:r>
            <w:proofErr w:type="spellEnd"/>
            <w:proofErr w:type="gramEnd"/>
          </w:p>
          <w:p w:rsidR="00C60795" w:rsidRPr="00C8089B" w:rsidRDefault="00C60795" w:rsidP="0010773B">
            <w:pPr>
              <w:spacing w:line="360" w:lineRule="auto"/>
              <w:jc w:val="center"/>
              <w:rPr>
                <w:rFonts w:ascii="Arial" w:hAnsi="Arial" w:cs="Arial"/>
                <w:b/>
                <w:sz w:val="16"/>
                <w:szCs w:val="16"/>
              </w:rPr>
            </w:pPr>
          </w:p>
        </w:tc>
        <w:tc>
          <w:tcPr>
            <w:tcW w:w="1104"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lang w:val="en-GB"/>
              </w:rPr>
            </w:pPr>
          </w:p>
          <w:p w:rsidR="00623E05" w:rsidRPr="00C8089B" w:rsidRDefault="00C60795" w:rsidP="00C00B81">
            <w:pPr>
              <w:spacing w:line="360" w:lineRule="auto"/>
              <w:jc w:val="center"/>
              <w:rPr>
                <w:rFonts w:ascii="Arial" w:hAnsi="Arial" w:cs="Arial"/>
                <w:sz w:val="16"/>
                <w:szCs w:val="16"/>
              </w:rPr>
            </w:pPr>
            <w:r w:rsidRPr="00C8089B">
              <w:rPr>
                <w:rFonts w:ascii="Arial" w:hAnsi="Arial" w:cs="Arial"/>
                <w:b/>
                <w:sz w:val="16"/>
                <w:szCs w:val="16"/>
                <w:lang w:val="en-GB"/>
              </w:rPr>
              <w:t>Industry</w:t>
            </w:r>
            <w:r w:rsidRPr="00C8089B">
              <w:rPr>
                <w:rFonts w:ascii="Arial" w:hAnsi="Arial" w:cs="Arial"/>
                <w:b/>
                <w:sz w:val="16"/>
                <w:szCs w:val="16"/>
              </w:rPr>
              <w:t xml:space="preserve"> </w:t>
            </w:r>
            <w:proofErr w:type="spellStart"/>
            <w:r w:rsidR="00C00B81" w:rsidRPr="00C8089B">
              <w:rPr>
                <w:rFonts w:ascii="Arial" w:hAnsi="Arial" w:cs="Arial"/>
                <w:b/>
                <w:sz w:val="16"/>
                <w:szCs w:val="16"/>
              </w:rPr>
              <w:t>c</w:t>
            </w:r>
            <w:r w:rsidR="008A62BE" w:rsidRPr="00C8089B">
              <w:rPr>
                <w:rFonts w:ascii="Arial" w:hAnsi="Arial" w:cs="Arial"/>
                <w:b/>
                <w:sz w:val="16"/>
                <w:szCs w:val="16"/>
              </w:rPr>
              <w:t>lassificati</w:t>
            </w:r>
            <w:r w:rsidR="00C00B81" w:rsidRPr="00C8089B">
              <w:rPr>
                <w:rFonts w:ascii="Arial" w:hAnsi="Arial" w:cs="Arial"/>
                <w:b/>
                <w:sz w:val="16"/>
                <w:szCs w:val="16"/>
              </w:rPr>
              <w:t>on</w:t>
            </w:r>
            <w:proofErr w:type="spellEnd"/>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lang w:val="en-GB"/>
              </w:rPr>
            </w:pPr>
          </w:p>
          <w:p w:rsidR="00623E05" w:rsidRPr="00C8089B" w:rsidRDefault="0010773B" w:rsidP="0010773B">
            <w:pPr>
              <w:spacing w:line="360" w:lineRule="auto"/>
              <w:jc w:val="center"/>
              <w:rPr>
                <w:rFonts w:ascii="Arial" w:hAnsi="Arial" w:cs="Arial"/>
                <w:b/>
                <w:sz w:val="16"/>
                <w:szCs w:val="16"/>
              </w:rPr>
            </w:pPr>
            <w:r w:rsidRPr="00C8089B">
              <w:rPr>
                <w:rFonts w:ascii="Arial" w:hAnsi="Arial" w:cs="Arial"/>
                <w:b/>
                <w:sz w:val="16"/>
                <w:szCs w:val="16"/>
                <w:lang w:val="en-GB"/>
              </w:rPr>
              <w:t>Institutional</w:t>
            </w:r>
            <w:r w:rsidRPr="00C8089B">
              <w:rPr>
                <w:rFonts w:ascii="Arial" w:hAnsi="Arial" w:cs="Arial"/>
                <w:b/>
                <w:sz w:val="16"/>
                <w:szCs w:val="16"/>
              </w:rPr>
              <w:t xml:space="preserve"> </w:t>
            </w:r>
            <w:r w:rsidR="00623E05" w:rsidRPr="00C8089B">
              <w:rPr>
                <w:rFonts w:ascii="Arial" w:hAnsi="Arial" w:cs="Arial"/>
                <w:b/>
                <w:sz w:val="16"/>
                <w:szCs w:val="16"/>
              </w:rPr>
              <w:t>Sector</w:t>
            </w:r>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p>
          <w:p w:rsidR="00623E05" w:rsidRPr="00C8089B" w:rsidRDefault="008A62BE" w:rsidP="0010773B">
            <w:pPr>
              <w:spacing w:line="360" w:lineRule="auto"/>
              <w:jc w:val="center"/>
              <w:rPr>
                <w:rFonts w:ascii="Arial" w:hAnsi="Arial" w:cs="Arial"/>
                <w:b/>
                <w:sz w:val="16"/>
                <w:szCs w:val="16"/>
              </w:rPr>
            </w:pPr>
            <w:proofErr w:type="spellStart"/>
            <w:r w:rsidRPr="00C8089B">
              <w:rPr>
                <w:rFonts w:ascii="Arial" w:hAnsi="Arial" w:cs="Arial"/>
                <w:b/>
                <w:sz w:val="16"/>
                <w:szCs w:val="16"/>
              </w:rPr>
              <w:t>Nature</w:t>
            </w:r>
            <w:proofErr w:type="spellEnd"/>
          </w:p>
        </w:tc>
        <w:tc>
          <w:tcPr>
            <w:tcW w:w="993"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lang w:val="en-GB"/>
              </w:rPr>
            </w:pPr>
          </w:p>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lang w:val="en-GB"/>
              </w:rPr>
              <w:t>Value</w:t>
            </w:r>
            <w:r w:rsidRPr="00C8089B">
              <w:rPr>
                <w:rFonts w:ascii="Arial" w:hAnsi="Arial" w:cs="Arial"/>
                <w:b/>
                <w:sz w:val="16"/>
                <w:szCs w:val="16"/>
              </w:rPr>
              <w:t xml:space="preserve"> </w:t>
            </w:r>
            <w:proofErr w:type="spellStart"/>
            <w:r w:rsidR="00A15808">
              <w:rPr>
                <w:rFonts w:ascii="Arial" w:hAnsi="Arial" w:cs="Arial"/>
                <w:b/>
                <w:sz w:val="16"/>
                <w:szCs w:val="16"/>
              </w:rPr>
              <w:t>y</w:t>
            </w:r>
            <w:r w:rsidR="008A62BE" w:rsidRPr="00C8089B">
              <w:rPr>
                <w:rFonts w:ascii="Arial" w:hAnsi="Arial" w:cs="Arial"/>
                <w:b/>
                <w:sz w:val="16"/>
                <w:szCs w:val="16"/>
              </w:rPr>
              <w:t>ear</w:t>
            </w:r>
            <w:proofErr w:type="spellEnd"/>
          </w:p>
          <w:p w:rsidR="00623E05" w:rsidRPr="00C8089B" w:rsidRDefault="00623E05" w:rsidP="0010773B">
            <w:pPr>
              <w:spacing w:line="360" w:lineRule="auto"/>
              <w:jc w:val="center"/>
              <w:rPr>
                <w:rFonts w:ascii="Arial" w:hAnsi="Arial" w:cs="Arial"/>
                <w:sz w:val="16"/>
                <w:szCs w:val="16"/>
              </w:rPr>
            </w:pPr>
            <w:r w:rsidRPr="00C8089B">
              <w:rPr>
                <w:rFonts w:ascii="Arial" w:hAnsi="Arial" w:cs="Arial"/>
                <w:b/>
                <w:sz w:val="16"/>
                <w:szCs w:val="16"/>
              </w:rPr>
              <w:t>N-1</w:t>
            </w:r>
          </w:p>
        </w:tc>
        <w:tc>
          <w:tcPr>
            <w:tcW w:w="1134"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lang w:val="en-GB"/>
              </w:rPr>
            </w:pPr>
          </w:p>
          <w:p w:rsidR="00A15808" w:rsidRDefault="00623E05" w:rsidP="0010773B">
            <w:pPr>
              <w:spacing w:line="360" w:lineRule="auto"/>
              <w:jc w:val="center"/>
              <w:rPr>
                <w:rFonts w:ascii="Arial" w:hAnsi="Arial" w:cs="Arial"/>
                <w:b/>
                <w:sz w:val="16"/>
                <w:szCs w:val="16"/>
                <w:lang w:val="en-GB"/>
              </w:rPr>
            </w:pPr>
            <w:r w:rsidRPr="00C8089B">
              <w:rPr>
                <w:rFonts w:ascii="Arial" w:hAnsi="Arial" w:cs="Arial"/>
                <w:b/>
                <w:sz w:val="16"/>
                <w:szCs w:val="16"/>
                <w:lang w:val="en-GB"/>
              </w:rPr>
              <w:t xml:space="preserve">Value year N, prices </w:t>
            </w:r>
          </w:p>
          <w:p w:rsidR="00623E05" w:rsidRPr="00C8089B" w:rsidRDefault="00623E05" w:rsidP="0010773B">
            <w:pPr>
              <w:spacing w:line="360" w:lineRule="auto"/>
              <w:jc w:val="center"/>
              <w:rPr>
                <w:rFonts w:ascii="Arial" w:hAnsi="Arial" w:cs="Arial"/>
                <w:sz w:val="16"/>
                <w:szCs w:val="16"/>
                <w:lang w:val="en-GB"/>
              </w:rPr>
            </w:pPr>
            <w:r w:rsidRPr="00C8089B">
              <w:rPr>
                <w:rFonts w:ascii="Arial" w:hAnsi="Arial" w:cs="Arial"/>
                <w:b/>
                <w:sz w:val="16"/>
                <w:szCs w:val="16"/>
                <w:lang w:val="en-GB"/>
              </w:rPr>
              <w:t>N-1</w:t>
            </w:r>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lang w:val="en-GB"/>
              </w:rPr>
            </w:pPr>
          </w:p>
          <w:p w:rsidR="00623E05" w:rsidRPr="00C8089B" w:rsidRDefault="00623E05" w:rsidP="0010773B">
            <w:pPr>
              <w:spacing w:line="360" w:lineRule="auto"/>
              <w:jc w:val="center"/>
              <w:rPr>
                <w:rFonts w:ascii="Arial" w:hAnsi="Arial" w:cs="Arial"/>
                <w:sz w:val="16"/>
                <w:szCs w:val="16"/>
              </w:rPr>
            </w:pPr>
            <w:r w:rsidRPr="00C8089B">
              <w:rPr>
                <w:rFonts w:ascii="Arial" w:hAnsi="Arial" w:cs="Arial"/>
                <w:b/>
                <w:sz w:val="16"/>
                <w:szCs w:val="16"/>
                <w:lang w:val="en-GB"/>
              </w:rPr>
              <w:t>Value</w:t>
            </w:r>
            <w:r w:rsidRPr="00C8089B">
              <w:rPr>
                <w:rFonts w:ascii="Arial" w:hAnsi="Arial" w:cs="Arial"/>
                <w:b/>
                <w:sz w:val="16"/>
                <w:szCs w:val="16"/>
              </w:rPr>
              <w:t xml:space="preserve"> </w:t>
            </w:r>
            <w:proofErr w:type="spellStart"/>
            <w:r w:rsidR="00C8089B">
              <w:rPr>
                <w:rFonts w:ascii="Arial" w:hAnsi="Arial" w:cs="Arial"/>
                <w:b/>
                <w:sz w:val="16"/>
                <w:szCs w:val="16"/>
              </w:rPr>
              <w:t>y</w:t>
            </w:r>
            <w:r w:rsidR="008A62BE" w:rsidRPr="00C8089B">
              <w:rPr>
                <w:rFonts w:ascii="Arial" w:hAnsi="Arial" w:cs="Arial"/>
                <w:b/>
                <w:sz w:val="16"/>
                <w:szCs w:val="16"/>
              </w:rPr>
              <w:t>ear</w:t>
            </w:r>
            <w:proofErr w:type="spellEnd"/>
            <w:r w:rsidRPr="00C8089B">
              <w:rPr>
                <w:rFonts w:ascii="Arial" w:hAnsi="Arial" w:cs="Arial"/>
                <w:b/>
                <w:sz w:val="16"/>
                <w:szCs w:val="16"/>
              </w:rPr>
              <w:t xml:space="preserve"> N</w:t>
            </w:r>
          </w:p>
        </w:tc>
      </w:tr>
      <w:tr w:rsidR="00623E05" w:rsidRPr="00A412E9" w:rsidTr="008A6673">
        <w:tc>
          <w:tcPr>
            <w:tcW w:w="1104"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1</w:t>
            </w:r>
          </w:p>
        </w:tc>
        <w:tc>
          <w:tcPr>
            <w:tcW w:w="1104"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2</w:t>
            </w:r>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3</w:t>
            </w:r>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4</w:t>
            </w:r>
          </w:p>
        </w:tc>
        <w:tc>
          <w:tcPr>
            <w:tcW w:w="993"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5</w:t>
            </w:r>
          </w:p>
        </w:tc>
        <w:tc>
          <w:tcPr>
            <w:tcW w:w="1134"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6</w:t>
            </w:r>
          </w:p>
        </w:tc>
        <w:tc>
          <w:tcPr>
            <w:tcW w:w="992" w:type="dxa"/>
            <w:shd w:val="clear" w:color="auto" w:fill="DAEEF3" w:themeFill="accent5" w:themeFillTint="33"/>
          </w:tcPr>
          <w:p w:rsidR="00623E05" w:rsidRPr="00C8089B" w:rsidRDefault="00623E05" w:rsidP="0010773B">
            <w:pPr>
              <w:spacing w:line="360" w:lineRule="auto"/>
              <w:jc w:val="center"/>
              <w:rPr>
                <w:rFonts w:ascii="Arial" w:hAnsi="Arial" w:cs="Arial"/>
                <w:b/>
                <w:sz w:val="16"/>
                <w:szCs w:val="16"/>
              </w:rPr>
            </w:pPr>
            <w:r w:rsidRPr="00C8089B">
              <w:rPr>
                <w:rFonts w:ascii="Arial" w:hAnsi="Arial" w:cs="Arial"/>
                <w:b/>
                <w:sz w:val="16"/>
                <w:szCs w:val="16"/>
              </w:rPr>
              <w:t>7</w:t>
            </w:r>
          </w:p>
        </w:tc>
      </w:tr>
      <w:tr w:rsidR="00A15808" w:rsidRPr="00A412E9" w:rsidTr="008A6673">
        <w:tc>
          <w:tcPr>
            <w:tcW w:w="1104" w:type="dxa"/>
            <w:shd w:val="clear" w:color="auto" w:fill="DAEEF3" w:themeFill="accent5" w:themeFillTint="33"/>
          </w:tcPr>
          <w:p w:rsidR="00A15808" w:rsidRDefault="00A15808" w:rsidP="0010773B">
            <w:pPr>
              <w:spacing w:line="360" w:lineRule="auto"/>
              <w:jc w:val="center"/>
              <w:rPr>
                <w:rFonts w:ascii="Arial" w:hAnsi="Arial" w:cs="Arial"/>
                <w:b/>
                <w:sz w:val="16"/>
                <w:szCs w:val="16"/>
              </w:rPr>
            </w:pPr>
            <w:proofErr w:type="gramStart"/>
            <w:r>
              <w:rPr>
                <w:rFonts w:ascii="Arial" w:hAnsi="Arial" w:cs="Arial"/>
                <w:b/>
                <w:sz w:val="16"/>
                <w:szCs w:val="16"/>
              </w:rPr>
              <w:t>p</w:t>
            </w:r>
            <w:r w:rsidR="00B81A1E" w:rsidRPr="00B81A1E">
              <w:rPr>
                <w:rFonts w:ascii="Arial" w:hAnsi="Arial" w:cs="Arial"/>
                <w:b/>
                <w:sz w:val="16"/>
                <w:szCs w:val="16"/>
                <w:vertAlign w:val="subscript"/>
              </w:rPr>
              <w:t>1</w:t>
            </w:r>
            <w:proofErr w:type="gramEnd"/>
          </w:p>
          <w:p w:rsidR="00A15808" w:rsidRDefault="00A15808" w:rsidP="0010773B">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10773B">
            <w:pPr>
              <w:spacing w:line="360" w:lineRule="auto"/>
              <w:jc w:val="center"/>
              <w:rPr>
                <w:rFonts w:ascii="Arial" w:hAnsi="Arial" w:cs="Arial"/>
                <w:b/>
                <w:sz w:val="16"/>
                <w:szCs w:val="16"/>
              </w:rPr>
            </w:pPr>
            <w:proofErr w:type="gramStart"/>
            <w:r>
              <w:rPr>
                <w:rFonts w:ascii="Arial" w:hAnsi="Arial" w:cs="Arial"/>
                <w:b/>
                <w:sz w:val="16"/>
                <w:szCs w:val="16"/>
              </w:rPr>
              <w:t>p</w:t>
            </w:r>
            <w:r w:rsidR="00B81A1E" w:rsidRPr="00B81A1E">
              <w:rPr>
                <w:rFonts w:ascii="Arial" w:hAnsi="Arial" w:cs="Arial"/>
                <w:b/>
                <w:sz w:val="16"/>
                <w:szCs w:val="16"/>
                <w:vertAlign w:val="subscript"/>
              </w:rPr>
              <w:t>433</w:t>
            </w:r>
            <w:proofErr w:type="gramEnd"/>
          </w:p>
        </w:tc>
        <w:tc>
          <w:tcPr>
            <w:tcW w:w="1104"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i</w:t>
            </w:r>
            <w:r w:rsidRPr="00A15808">
              <w:rPr>
                <w:rFonts w:ascii="Arial" w:hAnsi="Arial" w:cs="Arial"/>
                <w:b/>
                <w:sz w:val="16"/>
                <w:szCs w:val="16"/>
                <w:vertAlign w:val="subscript"/>
              </w:rPr>
              <w:t>1</w:t>
            </w:r>
            <w:proofErr w:type="gramEnd"/>
          </w:p>
          <w:p w:rsidR="00A15808" w:rsidRDefault="00A15808" w:rsidP="00A15808">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A15808">
            <w:pPr>
              <w:spacing w:line="360" w:lineRule="auto"/>
              <w:jc w:val="center"/>
              <w:rPr>
                <w:rFonts w:ascii="Arial" w:hAnsi="Arial" w:cs="Arial"/>
                <w:b/>
                <w:sz w:val="16"/>
                <w:szCs w:val="16"/>
              </w:rPr>
            </w:pPr>
            <w:r>
              <w:rPr>
                <w:rFonts w:ascii="Arial" w:hAnsi="Arial" w:cs="Arial"/>
                <w:b/>
                <w:sz w:val="16"/>
                <w:szCs w:val="16"/>
              </w:rPr>
              <w:t>I</w:t>
            </w:r>
            <w:r>
              <w:rPr>
                <w:rFonts w:ascii="Arial" w:hAnsi="Arial" w:cs="Arial"/>
                <w:b/>
                <w:sz w:val="16"/>
                <w:szCs w:val="16"/>
                <w:vertAlign w:val="subscript"/>
              </w:rPr>
              <w:t>1</w:t>
            </w:r>
            <w:r w:rsidR="008757A4">
              <w:rPr>
                <w:rFonts w:ascii="Arial" w:hAnsi="Arial" w:cs="Arial"/>
                <w:b/>
                <w:sz w:val="16"/>
                <w:szCs w:val="16"/>
                <w:vertAlign w:val="subscript"/>
              </w:rPr>
              <w:t>27</w:t>
            </w:r>
          </w:p>
        </w:tc>
        <w:tc>
          <w:tcPr>
            <w:tcW w:w="992"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s</w:t>
            </w:r>
            <w:r w:rsidRPr="00A15808">
              <w:rPr>
                <w:rFonts w:ascii="Arial" w:hAnsi="Arial" w:cs="Arial"/>
                <w:b/>
                <w:sz w:val="16"/>
                <w:szCs w:val="16"/>
                <w:vertAlign w:val="subscript"/>
              </w:rPr>
              <w:t>1</w:t>
            </w:r>
            <w:r>
              <w:rPr>
                <w:rFonts w:ascii="Arial" w:hAnsi="Arial" w:cs="Arial"/>
                <w:b/>
                <w:sz w:val="16"/>
                <w:szCs w:val="16"/>
                <w:vertAlign w:val="subscript"/>
              </w:rPr>
              <w:t>1</w:t>
            </w:r>
            <w:proofErr w:type="gramEnd"/>
          </w:p>
          <w:p w:rsidR="00A15808" w:rsidRDefault="00A15808" w:rsidP="00A15808">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A15808">
            <w:pPr>
              <w:spacing w:line="360" w:lineRule="auto"/>
              <w:jc w:val="center"/>
              <w:rPr>
                <w:rFonts w:ascii="Arial" w:hAnsi="Arial" w:cs="Arial"/>
                <w:b/>
                <w:sz w:val="16"/>
                <w:szCs w:val="16"/>
              </w:rPr>
            </w:pPr>
            <w:r>
              <w:rPr>
                <w:rFonts w:ascii="Arial" w:hAnsi="Arial" w:cs="Arial"/>
                <w:b/>
                <w:sz w:val="16"/>
                <w:szCs w:val="16"/>
              </w:rPr>
              <w:t>S</w:t>
            </w:r>
            <w:r>
              <w:rPr>
                <w:rFonts w:ascii="Arial" w:hAnsi="Arial" w:cs="Arial"/>
                <w:b/>
                <w:sz w:val="16"/>
                <w:szCs w:val="16"/>
                <w:vertAlign w:val="subscript"/>
              </w:rPr>
              <w:t>15</w:t>
            </w:r>
          </w:p>
        </w:tc>
        <w:tc>
          <w:tcPr>
            <w:tcW w:w="992" w:type="dxa"/>
            <w:shd w:val="clear" w:color="auto" w:fill="DAEEF3" w:themeFill="accent5" w:themeFillTint="33"/>
          </w:tcPr>
          <w:p w:rsidR="00A15808" w:rsidRDefault="00A15808" w:rsidP="0010773B">
            <w:pPr>
              <w:spacing w:line="360" w:lineRule="auto"/>
              <w:jc w:val="center"/>
              <w:rPr>
                <w:rFonts w:ascii="Arial" w:hAnsi="Arial" w:cs="Arial"/>
                <w:b/>
                <w:sz w:val="16"/>
                <w:szCs w:val="16"/>
              </w:rPr>
            </w:pPr>
            <w:r>
              <w:rPr>
                <w:rFonts w:ascii="Arial" w:hAnsi="Arial" w:cs="Arial"/>
                <w:b/>
                <w:sz w:val="16"/>
                <w:szCs w:val="16"/>
              </w:rPr>
              <w:t>PM</w:t>
            </w:r>
          </w:p>
          <w:p w:rsidR="00A15808" w:rsidRDefault="00A15808" w:rsidP="0010773B">
            <w:pPr>
              <w:spacing w:line="360" w:lineRule="auto"/>
              <w:jc w:val="center"/>
              <w:rPr>
                <w:rFonts w:ascii="Arial" w:hAnsi="Arial" w:cs="Arial"/>
                <w:b/>
                <w:sz w:val="16"/>
                <w:szCs w:val="16"/>
              </w:rPr>
            </w:pPr>
            <w:r>
              <w:rPr>
                <w:rFonts w:ascii="Arial" w:hAnsi="Arial" w:cs="Arial"/>
                <w:b/>
                <w:sz w:val="16"/>
                <w:szCs w:val="16"/>
              </w:rPr>
              <w:t>OOFU</w:t>
            </w:r>
          </w:p>
          <w:p w:rsidR="00A15808" w:rsidRPr="00C8089B" w:rsidRDefault="00A15808" w:rsidP="0010773B">
            <w:pPr>
              <w:spacing w:line="360" w:lineRule="auto"/>
              <w:jc w:val="center"/>
              <w:rPr>
                <w:rFonts w:ascii="Arial" w:hAnsi="Arial" w:cs="Arial"/>
                <w:b/>
                <w:sz w:val="16"/>
                <w:szCs w:val="16"/>
              </w:rPr>
            </w:pPr>
            <w:r>
              <w:rPr>
                <w:rFonts w:ascii="Arial" w:hAnsi="Arial" w:cs="Arial"/>
                <w:b/>
                <w:sz w:val="16"/>
                <w:szCs w:val="16"/>
              </w:rPr>
              <w:t>ONMO</w:t>
            </w:r>
          </w:p>
        </w:tc>
        <w:tc>
          <w:tcPr>
            <w:tcW w:w="993" w:type="dxa"/>
            <w:shd w:val="clear" w:color="auto" w:fill="DAEEF3" w:themeFill="accent5" w:themeFillTint="33"/>
          </w:tcPr>
          <w:p w:rsidR="00A15808" w:rsidRPr="00C8089B" w:rsidRDefault="00A15808" w:rsidP="0010773B">
            <w:pPr>
              <w:spacing w:line="360" w:lineRule="auto"/>
              <w:jc w:val="center"/>
              <w:rPr>
                <w:rFonts w:ascii="Arial" w:hAnsi="Arial" w:cs="Arial"/>
                <w:b/>
                <w:sz w:val="16"/>
                <w:szCs w:val="16"/>
              </w:rPr>
            </w:pPr>
          </w:p>
        </w:tc>
        <w:tc>
          <w:tcPr>
            <w:tcW w:w="1134" w:type="dxa"/>
            <w:shd w:val="clear" w:color="auto" w:fill="DAEEF3" w:themeFill="accent5" w:themeFillTint="33"/>
          </w:tcPr>
          <w:p w:rsidR="00A15808" w:rsidRPr="00C8089B" w:rsidRDefault="00A15808" w:rsidP="0010773B">
            <w:pPr>
              <w:spacing w:line="360" w:lineRule="auto"/>
              <w:jc w:val="center"/>
              <w:rPr>
                <w:rFonts w:ascii="Arial" w:hAnsi="Arial" w:cs="Arial"/>
                <w:b/>
                <w:sz w:val="16"/>
                <w:szCs w:val="16"/>
              </w:rPr>
            </w:pPr>
          </w:p>
        </w:tc>
        <w:tc>
          <w:tcPr>
            <w:tcW w:w="992" w:type="dxa"/>
            <w:shd w:val="clear" w:color="auto" w:fill="DAEEF3" w:themeFill="accent5" w:themeFillTint="33"/>
          </w:tcPr>
          <w:p w:rsidR="00A15808" w:rsidRPr="00C8089B" w:rsidRDefault="00A15808" w:rsidP="0010773B">
            <w:pPr>
              <w:spacing w:line="360" w:lineRule="auto"/>
              <w:jc w:val="center"/>
              <w:rPr>
                <w:rFonts w:ascii="Arial" w:hAnsi="Arial" w:cs="Arial"/>
                <w:b/>
                <w:sz w:val="16"/>
                <w:szCs w:val="16"/>
              </w:rPr>
            </w:pPr>
          </w:p>
        </w:tc>
      </w:tr>
    </w:tbl>
    <w:p w:rsidR="008A6673" w:rsidRPr="00A412E9" w:rsidRDefault="00D53CA3" w:rsidP="008A62BE">
      <w:pPr>
        <w:spacing w:before="240" w:line="360" w:lineRule="auto"/>
        <w:ind w:left="709"/>
        <w:jc w:val="both"/>
        <w:rPr>
          <w:rFonts w:ascii="Arial" w:hAnsi="Arial" w:cs="Arial"/>
          <w:lang w:val="en-GB"/>
        </w:rPr>
      </w:pPr>
      <w:r w:rsidRPr="00A412E9">
        <w:rPr>
          <w:rFonts w:ascii="Arial" w:hAnsi="Arial" w:cs="Arial"/>
          <w:lang w:val="en-GB"/>
        </w:rPr>
        <w:t xml:space="preserve">Figure 4 shows the design of the </w:t>
      </w:r>
      <w:r w:rsidR="008A62BE" w:rsidRPr="00A412E9">
        <w:rPr>
          <w:rFonts w:ascii="Arial" w:hAnsi="Arial" w:cs="Arial"/>
          <w:lang w:val="en-GB"/>
        </w:rPr>
        <w:t>Output table</w:t>
      </w:r>
      <w:r w:rsidR="00C00B81" w:rsidRPr="00A412E9">
        <w:rPr>
          <w:rFonts w:ascii="Arial" w:hAnsi="Arial" w:cs="Arial"/>
          <w:lang w:val="en-GB"/>
        </w:rPr>
        <w:t>: it</w:t>
      </w:r>
      <w:r w:rsidR="008A62BE" w:rsidRPr="00A412E9">
        <w:rPr>
          <w:rFonts w:ascii="Arial" w:hAnsi="Arial" w:cs="Arial"/>
          <w:lang w:val="en-GB"/>
        </w:rPr>
        <w:t xml:space="preserve"> includes standard products classification</w:t>
      </w:r>
      <w:r w:rsidRPr="00A412E9">
        <w:rPr>
          <w:rFonts w:ascii="Arial" w:hAnsi="Arial" w:cs="Arial"/>
          <w:lang w:val="en-GB"/>
        </w:rPr>
        <w:t xml:space="preserve"> of the concerned product</w:t>
      </w:r>
      <w:r w:rsidR="008A62BE" w:rsidRPr="00A412E9">
        <w:rPr>
          <w:rFonts w:ascii="Arial" w:hAnsi="Arial" w:cs="Arial"/>
          <w:lang w:val="en-GB"/>
        </w:rPr>
        <w:t>, the industry classification (</w:t>
      </w:r>
      <w:r w:rsidR="00C00B81" w:rsidRPr="00A412E9">
        <w:rPr>
          <w:rFonts w:ascii="Arial" w:hAnsi="Arial" w:cs="Arial"/>
          <w:lang w:val="en-GB"/>
        </w:rPr>
        <w:t xml:space="preserve">or </w:t>
      </w:r>
      <w:r w:rsidR="008A62BE" w:rsidRPr="00A412E9">
        <w:rPr>
          <w:rFonts w:ascii="Arial" w:hAnsi="Arial" w:cs="Arial"/>
          <w:lang w:val="en-GB"/>
        </w:rPr>
        <w:t>branch), the institutional sector, the nature of the transaction (market output, output for own final use or other non-market output) and the correspondent values, at basic prices</w:t>
      </w:r>
      <w:r w:rsidR="00C00B81" w:rsidRPr="00A412E9">
        <w:rPr>
          <w:rFonts w:ascii="Arial" w:hAnsi="Arial" w:cs="Arial"/>
          <w:lang w:val="en-GB"/>
        </w:rPr>
        <w:t xml:space="preserve"> -</w:t>
      </w:r>
      <w:r w:rsidR="008A62BE" w:rsidRPr="00A412E9">
        <w:rPr>
          <w:rFonts w:ascii="Arial" w:hAnsi="Arial" w:cs="Arial"/>
          <w:lang w:val="en-GB"/>
        </w:rPr>
        <w:t xml:space="preserve"> value of the year N-1, value of the year N at prices N-1, value of the year N.</w:t>
      </w:r>
    </w:p>
    <w:p w:rsidR="008A6673" w:rsidRPr="00A412E9" w:rsidRDefault="00C00B81" w:rsidP="004900B0">
      <w:pPr>
        <w:spacing w:line="360" w:lineRule="auto"/>
        <w:ind w:left="709"/>
        <w:jc w:val="both"/>
        <w:rPr>
          <w:rFonts w:ascii="Arial" w:hAnsi="Arial" w:cs="Arial"/>
          <w:lang w:val="en-GB"/>
        </w:rPr>
      </w:pPr>
      <w:r w:rsidRPr="00A412E9">
        <w:rPr>
          <w:rFonts w:ascii="Arial" w:hAnsi="Arial" w:cs="Arial"/>
          <w:lang w:val="en-GB"/>
        </w:rPr>
        <w:t>F</w:t>
      </w:r>
      <w:r w:rsidR="00D53CA3" w:rsidRPr="00A412E9">
        <w:rPr>
          <w:rFonts w:ascii="Arial" w:hAnsi="Arial" w:cs="Arial"/>
          <w:lang w:val="en-GB"/>
        </w:rPr>
        <w:t xml:space="preserve">igure 5 </w:t>
      </w:r>
      <w:r w:rsidRPr="00A412E9">
        <w:rPr>
          <w:rFonts w:ascii="Arial" w:hAnsi="Arial" w:cs="Arial"/>
          <w:lang w:val="en-GB"/>
        </w:rPr>
        <w:t>re</w:t>
      </w:r>
      <w:r w:rsidR="00D53CA3" w:rsidRPr="00A412E9">
        <w:rPr>
          <w:rFonts w:ascii="Arial" w:hAnsi="Arial" w:cs="Arial"/>
          <w:lang w:val="en-GB"/>
        </w:rPr>
        <w:t xml:space="preserve">presents </w:t>
      </w:r>
      <w:r w:rsidRPr="00A412E9">
        <w:rPr>
          <w:rFonts w:ascii="Arial" w:hAnsi="Arial" w:cs="Arial"/>
          <w:lang w:val="en-GB"/>
        </w:rPr>
        <w:t xml:space="preserve">the </w:t>
      </w:r>
      <w:r w:rsidR="00D53CA3" w:rsidRPr="00A412E9">
        <w:rPr>
          <w:rFonts w:ascii="Arial" w:hAnsi="Arial" w:cs="Arial"/>
          <w:lang w:val="en-GB"/>
        </w:rPr>
        <w:t xml:space="preserve">main components of the intermediate matrix which include, in short: characterisation of the </w:t>
      </w:r>
      <w:r w:rsidR="00CE5C44" w:rsidRPr="00A412E9">
        <w:rPr>
          <w:rFonts w:ascii="Arial" w:hAnsi="Arial" w:cs="Arial"/>
          <w:lang w:val="en-GB"/>
        </w:rPr>
        <w:t>intermediate consumption (</w:t>
      </w:r>
      <w:r w:rsidR="00D53CA3" w:rsidRPr="00A412E9">
        <w:rPr>
          <w:rFonts w:ascii="Arial" w:hAnsi="Arial" w:cs="Arial"/>
          <w:lang w:val="en-GB"/>
        </w:rPr>
        <w:t>IC</w:t>
      </w:r>
      <w:r w:rsidR="00CE5C44" w:rsidRPr="00A412E9">
        <w:rPr>
          <w:rFonts w:ascii="Arial" w:hAnsi="Arial" w:cs="Arial"/>
          <w:lang w:val="en-GB"/>
        </w:rPr>
        <w:t>)</w:t>
      </w:r>
      <w:r w:rsidR="00D53CA3" w:rsidRPr="00A412E9">
        <w:rPr>
          <w:rFonts w:ascii="Arial" w:hAnsi="Arial" w:cs="Arial"/>
          <w:lang w:val="en-GB"/>
        </w:rPr>
        <w:t xml:space="preserve"> element</w:t>
      </w:r>
      <w:r w:rsidR="00215603" w:rsidRPr="00A412E9">
        <w:rPr>
          <w:rFonts w:ascii="Arial" w:hAnsi="Arial" w:cs="Arial"/>
          <w:lang w:val="en-GB"/>
        </w:rPr>
        <w:t xml:space="preserve"> (columns 1 - 4)</w:t>
      </w:r>
      <w:r w:rsidR="00D53CA3" w:rsidRPr="00A412E9">
        <w:rPr>
          <w:rFonts w:ascii="Arial" w:hAnsi="Arial" w:cs="Arial"/>
          <w:lang w:val="en-GB"/>
        </w:rPr>
        <w:t>; valuation rates item</w:t>
      </w:r>
      <w:r w:rsidR="00215603" w:rsidRPr="00A412E9">
        <w:rPr>
          <w:rFonts w:ascii="Arial" w:hAnsi="Arial" w:cs="Arial"/>
          <w:lang w:val="en-GB"/>
        </w:rPr>
        <w:t>s (columns 5 - 8)</w:t>
      </w:r>
      <w:r w:rsidR="00CE5C44" w:rsidRPr="00A412E9">
        <w:rPr>
          <w:rFonts w:ascii="Arial" w:hAnsi="Arial" w:cs="Arial"/>
          <w:lang w:val="en-GB"/>
        </w:rPr>
        <w:t>; values</w:t>
      </w:r>
      <w:r w:rsidR="00215603" w:rsidRPr="00A412E9">
        <w:rPr>
          <w:rFonts w:ascii="Arial" w:hAnsi="Arial" w:cs="Arial"/>
          <w:lang w:val="en-GB"/>
        </w:rPr>
        <w:t xml:space="preserve"> / components (</w:t>
      </w:r>
      <w:r w:rsidR="00DB63A4" w:rsidRPr="00A412E9">
        <w:rPr>
          <w:rFonts w:ascii="Arial" w:hAnsi="Arial" w:cs="Arial"/>
          <w:lang w:val="en-GB"/>
        </w:rPr>
        <w:t>columns 9 - 14)</w:t>
      </w:r>
      <w:r w:rsidR="00CE5C44" w:rsidRPr="00A412E9">
        <w:rPr>
          <w:rFonts w:ascii="Arial" w:hAnsi="Arial" w:cs="Arial"/>
          <w:lang w:val="en-GB"/>
        </w:rPr>
        <w:t>.</w:t>
      </w:r>
    </w:p>
    <w:p w:rsidR="00EE5AD1" w:rsidRDefault="00EE5AD1" w:rsidP="008A6673">
      <w:pPr>
        <w:spacing w:line="360" w:lineRule="auto"/>
        <w:ind w:left="709"/>
        <w:rPr>
          <w:rFonts w:ascii="Arial" w:hAnsi="Arial" w:cs="Arial"/>
          <w:sz w:val="18"/>
          <w:szCs w:val="18"/>
          <w:lang w:val="en-GB"/>
        </w:rPr>
      </w:pPr>
    </w:p>
    <w:p w:rsidR="008A6673" w:rsidRPr="00D45CEF" w:rsidRDefault="00B81A1E" w:rsidP="008A6673">
      <w:pPr>
        <w:spacing w:line="360" w:lineRule="auto"/>
        <w:ind w:left="709"/>
        <w:rPr>
          <w:rFonts w:ascii="Arial" w:hAnsi="Arial" w:cs="Arial"/>
          <w:sz w:val="18"/>
          <w:szCs w:val="18"/>
          <w:lang w:val="en-GB"/>
        </w:rPr>
      </w:pPr>
      <w:r w:rsidRPr="00B81A1E">
        <w:rPr>
          <w:rFonts w:ascii="Arial" w:hAnsi="Arial" w:cs="Arial"/>
          <w:sz w:val="18"/>
          <w:szCs w:val="18"/>
          <w:lang w:val="en-GB"/>
        </w:rPr>
        <w:lastRenderedPageBreak/>
        <w:t xml:space="preserve">Figure 5 </w:t>
      </w:r>
      <w:r w:rsidR="00D45CEF">
        <w:rPr>
          <w:rFonts w:ascii="Arial" w:hAnsi="Arial" w:cs="Arial"/>
          <w:sz w:val="18"/>
          <w:szCs w:val="18"/>
          <w:lang w:val="en-GB"/>
        </w:rPr>
        <w:t xml:space="preserve">  </w:t>
      </w:r>
      <w:r w:rsidR="008A6673" w:rsidRPr="00D45CEF">
        <w:rPr>
          <w:rFonts w:ascii="Arial" w:hAnsi="Arial" w:cs="Arial"/>
          <w:b/>
          <w:sz w:val="18"/>
          <w:szCs w:val="18"/>
          <w:lang w:val="en-GB"/>
        </w:rPr>
        <w:t>Intermediate Consumption table, by product/industry/sector</w:t>
      </w:r>
    </w:p>
    <w:tbl>
      <w:tblPr>
        <w:tblStyle w:val="TableGrid"/>
        <w:tblW w:w="0" w:type="auto"/>
        <w:tblInd w:w="817" w:type="dxa"/>
        <w:shd w:val="clear" w:color="auto" w:fill="95B3D7" w:themeFill="accent1" w:themeFillTint="99"/>
        <w:tblLook w:val="04A0"/>
      </w:tblPr>
      <w:tblGrid>
        <w:gridCol w:w="1230"/>
        <w:gridCol w:w="1123"/>
        <w:gridCol w:w="1230"/>
        <w:gridCol w:w="992"/>
        <w:gridCol w:w="993"/>
        <w:gridCol w:w="1134"/>
        <w:gridCol w:w="992"/>
      </w:tblGrid>
      <w:tr w:rsidR="00623E05" w:rsidRPr="00A412E9" w:rsidTr="008A6673">
        <w:tc>
          <w:tcPr>
            <w:tcW w:w="287" w:type="dxa"/>
            <w:shd w:val="clear" w:color="auto" w:fill="DAEEF3" w:themeFill="accent5" w:themeFillTint="33"/>
          </w:tcPr>
          <w:p w:rsidR="00623E05" w:rsidRPr="00C8089B" w:rsidRDefault="00623E05" w:rsidP="008A62BE">
            <w:pPr>
              <w:spacing w:line="360" w:lineRule="auto"/>
              <w:jc w:val="center"/>
              <w:rPr>
                <w:rFonts w:ascii="Arial" w:hAnsi="Arial" w:cs="Arial"/>
                <w:sz w:val="16"/>
                <w:szCs w:val="16"/>
                <w:lang w:val="en-GB"/>
              </w:rPr>
            </w:pPr>
          </w:p>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Products</w:t>
            </w:r>
            <w:r w:rsidRPr="00C8089B">
              <w:rPr>
                <w:rFonts w:ascii="Arial" w:hAnsi="Arial" w:cs="Arial"/>
                <w:b/>
                <w:sz w:val="16"/>
                <w:szCs w:val="16"/>
              </w:rPr>
              <w:t xml:space="preserve"> </w:t>
            </w:r>
          </w:p>
          <w:p w:rsidR="00623E05" w:rsidRPr="00C8089B" w:rsidRDefault="00215603" w:rsidP="008A62BE">
            <w:pPr>
              <w:spacing w:line="360" w:lineRule="auto"/>
              <w:jc w:val="center"/>
              <w:rPr>
                <w:rFonts w:ascii="Arial" w:hAnsi="Arial" w:cs="Arial"/>
                <w:b/>
                <w:sz w:val="16"/>
                <w:szCs w:val="16"/>
              </w:rPr>
            </w:pPr>
            <w:r w:rsidRPr="00C8089B">
              <w:rPr>
                <w:rFonts w:ascii="Arial" w:hAnsi="Arial" w:cs="Arial"/>
                <w:b/>
                <w:sz w:val="16"/>
                <w:szCs w:val="16"/>
                <w:lang w:val="en-GB"/>
              </w:rPr>
              <w:t>classification</w:t>
            </w:r>
          </w:p>
          <w:p w:rsidR="00C60795" w:rsidRPr="00C8089B" w:rsidRDefault="00C60795" w:rsidP="008A62BE">
            <w:pPr>
              <w:spacing w:line="360" w:lineRule="auto"/>
              <w:jc w:val="center"/>
              <w:rPr>
                <w:rFonts w:ascii="Arial" w:hAnsi="Arial" w:cs="Arial"/>
                <w:b/>
                <w:sz w:val="16"/>
                <w:szCs w:val="16"/>
              </w:rPr>
            </w:pPr>
          </w:p>
        </w:tc>
        <w:tc>
          <w:tcPr>
            <w:tcW w:w="992"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10773B" w:rsidRPr="00C8089B" w:rsidRDefault="0010773B" w:rsidP="008A62BE">
            <w:pPr>
              <w:spacing w:line="360" w:lineRule="auto"/>
              <w:jc w:val="center"/>
              <w:rPr>
                <w:rFonts w:ascii="Arial" w:hAnsi="Arial" w:cs="Arial"/>
                <w:b/>
                <w:sz w:val="16"/>
                <w:szCs w:val="16"/>
              </w:rPr>
            </w:pPr>
            <w:r w:rsidRPr="00C8089B">
              <w:rPr>
                <w:rFonts w:ascii="Arial" w:hAnsi="Arial" w:cs="Arial"/>
                <w:b/>
                <w:sz w:val="16"/>
                <w:szCs w:val="16"/>
                <w:lang w:val="en-GB"/>
              </w:rPr>
              <w:t>Institutional</w:t>
            </w:r>
          </w:p>
          <w:p w:rsidR="00623E05" w:rsidRPr="00C8089B" w:rsidRDefault="00623E05" w:rsidP="008A62BE">
            <w:pPr>
              <w:spacing w:line="360" w:lineRule="auto"/>
              <w:jc w:val="center"/>
              <w:rPr>
                <w:rFonts w:ascii="Arial" w:hAnsi="Arial" w:cs="Arial"/>
                <w:sz w:val="16"/>
                <w:szCs w:val="16"/>
              </w:rPr>
            </w:pPr>
            <w:r w:rsidRPr="00C8089B">
              <w:rPr>
                <w:rFonts w:ascii="Arial" w:hAnsi="Arial" w:cs="Arial"/>
                <w:b/>
                <w:sz w:val="16"/>
                <w:szCs w:val="16"/>
              </w:rPr>
              <w:t>Sector</w:t>
            </w:r>
          </w:p>
        </w:tc>
        <w:tc>
          <w:tcPr>
            <w:tcW w:w="1104"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AB0059" w:rsidP="008A62BE">
            <w:pPr>
              <w:spacing w:line="360" w:lineRule="auto"/>
              <w:jc w:val="center"/>
              <w:rPr>
                <w:rFonts w:ascii="Arial" w:hAnsi="Arial" w:cs="Arial"/>
                <w:b/>
                <w:sz w:val="16"/>
                <w:szCs w:val="16"/>
              </w:rPr>
            </w:pPr>
            <w:r w:rsidRPr="00C8089B">
              <w:rPr>
                <w:rFonts w:ascii="Arial" w:hAnsi="Arial" w:cs="Arial"/>
                <w:b/>
                <w:sz w:val="16"/>
                <w:szCs w:val="16"/>
                <w:lang w:val="en-GB"/>
              </w:rPr>
              <w:t>Industry</w:t>
            </w:r>
            <w:r w:rsidR="00623E05" w:rsidRPr="00C8089B">
              <w:rPr>
                <w:rFonts w:ascii="Arial" w:hAnsi="Arial" w:cs="Arial"/>
                <w:b/>
                <w:sz w:val="16"/>
                <w:szCs w:val="16"/>
                <w:lang w:val="en-GB"/>
              </w:rPr>
              <w:t xml:space="preserve"> classification</w:t>
            </w:r>
          </w:p>
        </w:tc>
        <w:tc>
          <w:tcPr>
            <w:tcW w:w="992"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D53CA3" w:rsidP="008A62BE">
            <w:pPr>
              <w:spacing w:line="360" w:lineRule="auto"/>
              <w:jc w:val="center"/>
              <w:rPr>
                <w:rFonts w:ascii="Arial" w:hAnsi="Arial" w:cs="Arial"/>
                <w:b/>
                <w:sz w:val="16"/>
                <w:szCs w:val="16"/>
              </w:rPr>
            </w:pPr>
            <w:r w:rsidRPr="00C8089B">
              <w:rPr>
                <w:rFonts w:ascii="Arial" w:hAnsi="Arial" w:cs="Arial"/>
                <w:b/>
                <w:sz w:val="16"/>
                <w:szCs w:val="16"/>
                <w:lang w:val="en-GB"/>
              </w:rPr>
              <w:t>N</w:t>
            </w:r>
            <w:r w:rsidR="008A62BE" w:rsidRPr="00C8089B">
              <w:rPr>
                <w:rFonts w:ascii="Arial" w:hAnsi="Arial" w:cs="Arial"/>
                <w:b/>
                <w:sz w:val="16"/>
                <w:szCs w:val="16"/>
                <w:lang w:val="en-GB"/>
              </w:rPr>
              <w:t>ature</w:t>
            </w:r>
          </w:p>
        </w:tc>
        <w:tc>
          <w:tcPr>
            <w:tcW w:w="993" w:type="dxa"/>
            <w:shd w:val="clear" w:color="auto" w:fill="DAEEF3" w:themeFill="accent5" w:themeFillTint="33"/>
          </w:tcPr>
          <w:p w:rsidR="00623E05" w:rsidRPr="00C8089B" w:rsidRDefault="00623E05" w:rsidP="008A62BE">
            <w:pPr>
              <w:spacing w:line="360" w:lineRule="auto"/>
              <w:rPr>
                <w:rFonts w:ascii="Arial" w:hAnsi="Arial" w:cs="Arial"/>
                <w:b/>
                <w:sz w:val="16"/>
                <w:szCs w:val="16"/>
              </w:rPr>
            </w:pPr>
          </w:p>
          <w:p w:rsidR="00623E05" w:rsidRPr="00C8089B" w:rsidRDefault="0010773B" w:rsidP="008A62BE">
            <w:pPr>
              <w:spacing w:line="360" w:lineRule="auto"/>
              <w:jc w:val="center"/>
              <w:rPr>
                <w:rFonts w:ascii="Arial" w:hAnsi="Arial" w:cs="Arial"/>
                <w:b/>
                <w:sz w:val="16"/>
                <w:szCs w:val="16"/>
              </w:rPr>
            </w:pPr>
            <w:r w:rsidRPr="00C8089B">
              <w:rPr>
                <w:rFonts w:ascii="Arial" w:hAnsi="Arial" w:cs="Arial"/>
                <w:b/>
                <w:sz w:val="16"/>
                <w:szCs w:val="16"/>
                <w:lang w:val="en-GB"/>
              </w:rPr>
              <w:t>Prorat</w:t>
            </w:r>
            <w:r w:rsidR="00224753">
              <w:rPr>
                <w:rFonts w:ascii="Arial" w:hAnsi="Arial" w:cs="Arial"/>
                <w:b/>
                <w:sz w:val="16"/>
                <w:szCs w:val="16"/>
                <w:lang w:val="en-GB"/>
              </w:rPr>
              <w:t>e</w:t>
            </w:r>
            <w:r w:rsidRPr="00C8089B">
              <w:rPr>
                <w:rFonts w:ascii="Arial" w:hAnsi="Arial" w:cs="Arial"/>
                <w:b/>
                <w:sz w:val="16"/>
                <w:szCs w:val="16"/>
                <w:lang w:val="en-GB"/>
              </w:rPr>
              <w:t xml:space="preserve"> (VAT)</w:t>
            </w:r>
          </w:p>
        </w:tc>
        <w:tc>
          <w:tcPr>
            <w:tcW w:w="1134"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10773B" w:rsidP="008A62BE">
            <w:pPr>
              <w:spacing w:line="360" w:lineRule="auto"/>
              <w:jc w:val="center"/>
              <w:rPr>
                <w:rFonts w:ascii="Arial" w:hAnsi="Arial" w:cs="Arial"/>
                <w:sz w:val="16"/>
                <w:szCs w:val="16"/>
                <w:lang w:val="en-GB"/>
              </w:rPr>
            </w:pPr>
            <w:r w:rsidRPr="00C8089B">
              <w:rPr>
                <w:rFonts w:ascii="Arial" w:hAnsi="Arial" w:cs="Arial"/>
                <w:b/>
                <w:sz w:val="16"/>
                <w:szCs w:val="16"/>
              </w:rPr>
              <w:t>VAT rate</w:t>
            </w:r>
          </w:p>
        </w:tc>
        <w:tc>
          <w:tcPr>
            <w:tcW w:w="992"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10773B" w:rsidP="008A62BE">
            <w:pPr>
              <w:spacing w:line="360" w:lineRule="auto"/>
              <w:jc w:val="center"/>
              <w:rPr>
                <w:rFonts w:ascii="Arial" w:hAnsi="Arial" w:cs="Arial"/>
                <w:sz w:val="16"/>
                <w:szCs w:val="16"/>
              </w:rPr>
            </w:pPr>
            <w:r w:rsidRPr="00C8089B">
              <w:rPr>
                <w:rFonts w:ascii="Arial" w:hAnsi="Arial" w:cs="Arial"/>
                <w:b/>
                <w:sz w:val="16"/>
                <w:szCs w:val="16"/>
                <w:lang w:val="en-GB"/>
              </w:rPr>
              <w:t>Transport</w:t>
            </w:r>
            <w:r w:rsidR="004900B0" w:rsidRPr="00C8089B">
              <w:rPr>
                <w:rFonts w:ascii="Arial" w:hAnsi="Arial" w:cs="Arial"/>
                <w:b/>
                <w:sz w:val="16"/>
                <w:szCs w:val="16"/>
                <w:lang w:val="en-GB"/>
              </w:rPr>
              <w:t xml:space="preserve"> margin</w:t>
            </w:r>
            <w:r w:rsidRPr="00C8089B">
              <w:rPr>
                <w:rFonts w:ascii="Arial" w:hAnsi="Arial" w:cs="Arial"/>
                <w:b/>
                <w:sz w:val="16"/>
                <w:szCs w:val="16"/>
              </w:rPr>
              <w:t xml:space="preserve"> rate</w:t>
            </w:r>
          </w:p>
        </w:tc>
      </w:tr>
      <w:tr w:rsidR="00623E05" w:rsidRPr="00A412E9" w:rsidTr="008A6673">
        <w:tc>
          <w:tcPr>
            <w:tcW w:w="287"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1</w:t>
            </w:r>
          </w:p>
        </w:tc>
        <w:tc>
          <w:tcPr>
            <w:tcW w:w="992"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2</w:t>
            </w:r>
          </w:p>
        </w:tc>
        <w:tc>
          <w:tcPr>
            <w:tcW w:w="1104"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3</w:t>
            </w:r>
          </w:p>
        </w:tc>
        <w:tc>
          <w:tcPr>
            <w:tcW w:w="992"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4</w:t>
            </w:r>
          </w:p>
        </w:tc>
        <w:tc>
          <w:tcPr>
            <w:tcW w:w="993"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5</w:t>
            </w:r>
          </w:p>
        </w:tc>
        <w:tc>
          <w:tcPr>
            <w:tcW w:w="1134"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6</w:t>
            </w:r>
          </w:p>
        </w:tc>
        <w:tc>
          <w:tcPr>
            <w:tcW w:w="992"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7</w:t>
            </w:r>
          </w:p>
        </w:tc>
      </w:tr>
      <w:tr w:rsidR="00A15808" w:rsidRPr="00A412E9" w:rsidTr="008A6673">
        <w:tc>
          <w:tcPr>
            <w:tcW w:w="287"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p</w:t>
            </w:r>
            <w:r w:rsidRPr="00A15808">
              <w:rPr>
                <w:rFonts w:ascii="Arial" w:hAnsi="Arial" w:cs="Arial"/>
                <w:b/>
                <w:sz w:val="16"/>
                <w:szCs w:val="16"/>
                <w:vertAlign w:val="subscript"/>
              </w:rPr>
              <w:t>1</w:t>
            </w:r>
            <w:proofErr w:type="gramEnd"/>
          </w:p>
          <w:p w:rsidR="00A15808" w:rsidRDefault="00A15808" w:rsidP="00A15808">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p</w:t>
            </w:r>
            <w:r w:rsidRPr="00A15808">
              <w:rPr>
                <w:rFonts w:ascii="Arial" w:hAnsi="Arial" w:cs="Arial"/>
                <w:b/>
                <w:sz w:val="16"/>
                <w:szCs w:val="16"/>
                <w:vertAlign w:val="subscript"/>
              </w:rPr>
              <w:t>433</w:t>
            </w:r>
            <w:proofErr w:type="gramEnd"/>
          </w:p>
        </w:tc>
        <w:tc>
          <w:tcPr>
            <w:tcW w:w="992"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s</w:t>
            </w:r>
            <w:r w:rsidRPr="00A15808">
              <w:rPr>
                <w:rFonts w:ascii="Arial" w:hAnsi="Arial" w:cs="Arial"/>
                <w:b/>
                <w:sz w:val="16"/>
                <w:szCs w:val="16"/>
                <w:vertAlign w:val="subscript"/>
              </w:rPr>
              <w:t>1</w:t>
            </w:r>
            <w:r>
              <w:rPr>
                <w:rFonts w:ascii="Arial" w:hAnsi="Arial" w:cs="Arial"/>
                <w:b/>
                <w:sz w:val="16"/>
                <w:szCs w:val="16"/>
                <w:vertAlign w:val="subscript"/>
              </w:rPr>
              <w:t>1</w:t>
            </w:r>
            <w:proofErr w:type="gramEnd"/>
          </w:p>
          <w:p w:rsidR="00A15808" w:rsidRDefault="00A15808" w:rsidP="00A15808">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A15808">
            <w:pPr>
              <w:spacing w:line="360" w:lineRule="auto"/>
              <w:jc w:val="center"/>
              <w:rPr>
                <w:rFonts w:ascii="Arial" w:hAnsi="Arial" w:cs="Arial"/>
                <w:b/>
                <w:sz w:val="16"/>
                <w:szCs w:val="16"/>
              </w:rPr>
            </w:pPr>
            <w:r>
              <w:rPr>
                <w:rFonts w:ascii="Arial" w:hAnsi="Arial" w:cs="Arial"/>
                <w:b/>
                <w:sz w:val="16"/>
                <w:szCs w:val="16"/>
              </w:rPr>
              <w:t>S</w:t>
            </w:r>
            <w:r>
              <w:rPr>
                <w:rFonts w:ascii="Arial" w:hAnsi="Arial" w:cs="Arial"/>
                <w:b/>
                <w:sz w:val="16"/>
                <w:szCs w:val="16"/>
                <w:vertAlign w:val="subscript"/>
              </w:rPr>
              <w:t>15</w:t>
            </w:r>
          </w:p>
        </w:tc>
        <w:tc>
          <w:tcPr>
            <w:tcW w:w="1104"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proofErr w:type="gramStart"/>
            <w:r>
              <w:rPr>
                <w:rFonts w:ascii="Arial" w:hAnsi="Arial" w:cs="Arial"/>
                <w:b/>
                <w:sz w:val="16"/>
                <w:szCs w:val="16"/>
              </w:rPr>
              <w:t>i</w:t>
            </w:r>
            <w:r w:rsidRPr="00A15808">
              <w:rPr>
                <w:rFonts w:ascii="Arial" w:hAnsi="Arial" w:cs="Arial"/>
                <w:b/>
                <w:sz w:val="16"/>
                <w:szCs w:val="16"/>
                <w:vertAlign w:val="subscript"/>
              </w:rPr>
              <w:t>1</w:t>
            </w:r>
            <w:proofErr w:type="gramEnd"/>
          </w:p>
          <w:p w:rsidR="00A15808" w:rsidRDefault="00A15808" w:rsidP="00A15808">
            <w:pPr>
              <w:spacing w:line="360" w:lineRule="auto"/>
              <w:jc w:val="center"/>
              <w:rPr>
                <w:rFonts w:ascii="Arial" w:hAnsi="Arial" w:cs="Arial"/>
                <w:b/>
                <w:sz w:val="16"/>
                <w:szCs w:val="16"/>
              </w:rPr>
            </w:pPr>
            <w:r>
              <w:rPr>
                <w:rFonts w:ascii="Arial" w:hAnsi="Arial" w:cs="Arial"/>
                <w:b/>
                <w:sz w:val="16"/>
                <w:szCs w:val="16"/>
              </w:rPr>
              <w:t>…</w:t>
            </w:r>
          </w:p>
          <w:p w:rsidR="00A15808" w:rsidRPr="00C8089B" w:rsidRDefault="00A15808" w:rsidP="00A15808">
            <w:pPr>
              <w:spacing w:line="360" w:lineRule="auto"/>
              <w:jc w:val="center"/>
              <w:rPr>
                <w:rFonts w:ascii="Arial" w:hAnsi="Arial" w:cs="Arial"/>
                <w:b/>
                <w:sz w:val="16"/>
                <w:szCs w:val="16"/>
              </w:rPr>
            </w:pPr>
            <w:r>
              <w:rPr>
                <w:rFonts w:ascii="Arial" w:hAnsi="Arial" w:cs="Arial"/>
                <w:b/>
                <w:sz w:val="16"/>
                <w:szCs w:val="16"/>
              </w:rPr>
              <w:t>I</w:t>
            </w:r>
            <w:r>
              <w:rPr>
                <w:rFonts w:ascii="Arial" w:hAnsi="Arial" w:cs="Arial"/>
                <w:b/>
                <w:sz w:val="16"/>
                <w:szCs w:val="16"/>
                <w:vertAlign w:val="subscript"/>
              </w:rPr>
              <w:t>1</w:t>
            </w:r>
            <w:r w:rsidR="008757A4">
              <w:rPr>
                <w:rFonts w:ascii="Arial" w:hAnsi="Arial" w:cs="Arial"/>
                <w:b/>
                <w:sz w:val="16"/>
                <w:szCs w:val="16"/>
                <w:vertAlign w:val="subscript"/>
              </w:rPr>
              <w:t>27</w:t>
            </w:r>
          </w:p>
        </w:tc>
        <w:tc>
          <w:tcPr>
            <w:tcW w:w="992" w:type="dxa"/>
            <w:shd w:val="clear" w:color="auto" w:fill="DAEEF3" w:themeFill="accent5" w:themeFillTint="33"/>
          </w:tcPr>
          <w:p w:rsidR="00A15808" w:rsidRDefault="00A15808" w:rsidP="00A15808">
            <w:pPr>
              <w:spacing w:line="360" w:lineRule="auto"/>
              <w:jc w:val="center"/>
              <w:rPr>
                <w:rFonts w:ascii="Arial" w:hAnsi="Arial" w:cs="Arial"/>
                <w:b/>
                <w:sz w:val="16"/>
                <w:szCs w:val="16"/>
              </w:rPr>
            </w:pPr>
            <w:r>
              <w:rPr>
                <w:rFonts w:ascii="Arial" w:hAnsi="Arial" w:cs="Arial"/>
                <w:b/>
                <w:sz w:val="16"/>
                <w:szCs w:val="16"/>
              </w:rPr>
              <w:t>M IC</w:t>
            </w:r>
          </w:p>
          <w:p w:rsidR="00A15808" w:rsidRDefault="00A15808" w:rsidP="00A15808">
            <w:pPr>
              <w:spacing w:line="360" w:lineRule="auto"/>
              <w:jc w:val="center"/>
              <w:rPr>
                <w:rFonts w:ascii="Arial" w:hAnsi="Arial" w:cs="Arial"/>
                <w:b/>
                <w:sz w:val="16"/>
                <w:szCs w:val="16"/>
              </w:rPr>
            </w:pPr>
            <w:r>
              <w:rPr>
                <w:rFonts w:ascii="Arial" w:hAnsi="Arial" w:cs="Arial"/>
                <w:b/>
                <w:sz w:val="16"/>
                <w:szCs w:val="16"/>
              </w:rPr>
              <w:t>NM IC</w:t>
            </w:r>
          </w:p>
          <w:p w:rsidR="00A15808" w:rsidRPr="00C8089B" w:rsidRDefault="00A15808" w:rsidP="008A62BE">
            <w:pPr>
              <w:spacing w:line="360" w:lineRule="auto"/>
              <w:jc w:val="center"/>
              <w:rPr>
                <w:rFonts w:ascii="Arial" w:hAnsi="Arial" w:cs="Arial"/>
                <w:b/>
                <w:sz w:val="16"/>
                <w:szCs w:val="16"/>
              </w:rPr>
            </w:pPr>
          </w:p>
        </w:tc>
        <w:tc>
          <w:tcPr>
            <w:tcW w:w="993" w:type="dxa"/>
            <w:shd w:val="clear" w:color="auto" w:fill="DAEEF3" w:themeFill="accent5" w:themeFillTint="33"/>
          </w:tcPr>
          <w:p w:rsidR="00A15808" w:rsidRPr="00C8089B" w:rsidRDefault="00A15808" w:rsidP="008A62BE">
            <w:pPr>
              <w:spacing w:line="360" w:lineRule="auto"/>
              <w:jc w:val="center"/>
              <w:rPr>
                <w:rFonts w:ascii="Arial" w:hAnsi="Arial" w:cs="Arial"/>
                <w:b/>
                <w:sz w:val="16"/>
                <w:szCs w:val="16"/>
              </w:rPr>
            </w:pPr>
          </w:p>
        </w:tc>
        <w:tc>
          <w:tcPr>
            <w:tcW w:w="1134" w:type="dxa"/>
            <w:shd w:val="clear" w:color="auto" w:fill="DAEEF3" w:themeFill="accent5" w:themeFillTint="33"/>
          </w:tcPr>
          <w:p w:rsidR="00A15808" w:rsidRPr="00C8089B" w:rsidRDefault="00A15808" w:rsidP="008A62BE">
            <w:pPr>
              <w:spacing w:line="360" w:lineRule="auto"/>
              <w:jc w:val="center"/>
              <w:rPr>
                <w:rFonts w:ascii="Arial" w:hAnsi="Arial" w:cs="Arial"/>
                <w:b/>
                <w:sz w:val="16"/>
                <w:szCs w:val="16"/>
              </w:rPr>
            </w:pPr>
          </w:p>
        </w:tc>
        <w:tc>
          <w:tcPr>
            <w:tcW w:w="992" w:type="dxa"/>
            <w:shd w:val="clear" w:color="auto" w:fill="DAEEF3" w:themeFill="accent5" w:themeFillTint="33"/>
          </w:tcPr>
          <w:p w:rsidR="00A15808" w:rsidRPr="00C8089B" w:rsidRDefault="00A15808" w:rsidP="008A62BE">
            <w:pPr>
              <w:spacing w:line="360" w:lineRule="auto"/>
              <w:jc w:val="center"/>
              <w:rPr>
                <w:rFonts w:ascii="Arial" w:hAnsi="Arial" w:cs="Arial"/>
                <w:b/>
                <w:sz w:val="16"/>
                <w:szCs w:val="16"/>
              </w:rPr>
            </w:pPr>
          </w:p>
        </w:tc>
      </w:tr>
    </w:tbl>
    <w:p w:rsidR="00C8089B" w:rsidRDefault="00C8089B" w:rsidP="008A6673">
      <w:pPr>
        <w:spacing w:line="360" w:lineRule="auto"/>
        <w:ind w:left="709"/>
        <w:rPr>
          <w:rFonts w:ascii="Arial" w:hAnsi="Arial" w:cs="Arial"/>
          <w:sz w:val="18"/>
          <w:szCs w:val="18"/>
        </w:rPr>
      </w:pPr>
    </w:p>
    <w:p w:rsidR="00623E05" w:rsidRPr="00C8089B" w:rsidRDefault="00623E05" w:rsidP="008A6673">
      <w:pPr>
        <w:spacing w:line="360" w:lineRule="auto"/>
        <w:ind w:left="709"/>
        <w:rPr>
          <w:rFonts w:ascii="Arial" w:hAnsi="Arial" w:cs="Arial"/>
          <w:b/>
          <w:sz w:val="18"/>
          <w:szCs w:val="18"/>
          <w:lang w:val="en-GB"/>
        </w:rPr>
      </w:pPr>
      <w:r w:rsidRPr="00C8089B">
        <w:rPr>
          <w:rFonts w:ascii="Arial" w:hAnsi="Arial" w:cs="Arial"/>
          <w:sz w:val="18"/>
          <w:szCs w:val="18"/>
        </w:rPr>
        <w:t xml:space="preserve"> </w:t>
      </w:r>
      <w:proofErr w:type="gramStart"/>
      <w:r w:rsidRPr="00C8089B">
        <w:rPr>
          <w:rFonts w:ascii="Arial" w:hAnsi="Arial" w:cs="Arial"/>
          <w:b/>
          <w:sz w:val="18"/>
          <w:szCs w:val="18"/>
          <w:lang w:val="en-GB"/>
        </w:rPr>
        <w:t>(cont.)</w:t>
      </w:r>
      <w:proofErr w:type="gramEnd"/>
    </w:p>
    <w:tbl>
      <w:tblPr>
        <w:tblStyle w:val="TableGrid"/>
        <w:tblW w:w="0" w:type="auto"/>
        <w:tblInd w:w="817" w:type="dxa"/>
        <w:shd w:val="clear" w:color="auto" w:fill="95B3D7" w:themeFill="accent1" w:themeFillTint="99"/>
        <w:tblLook w:val="04A0"/>
      </w:tblPr>
      <w:tblGrid>
        <w:gridCol w:w="1134"/>
        <w:gridCol w:w="992"/>
        <w:gridCol w:w="993"/>
        <w:gridCol w:w="1134"/>
        <w:gridCol w:w="992"/>
        <w:gridCol w:w="1116"/>
        <w:gridCol w:w="1124"/>
      </w:tblGrid>
      <w:tr w:rsidR="00623E05" w:rsidRPr="00A412E9" w:rsidTr="00C60795">
        <w:tc>
          <w:tcPr>
            <w:tcW w:w="1134" w:type="dxa"/>
            <w:shd w:val="clear" w:color="auto" w:fill="DAEEF3" w:themeFill="accent5" w:themeFillTint="33"/>
          </w:tcPr>
          <w:p w:rsidR="00623E05" w:rsidRPr="00C8089B" w:rsidRDefault="00623E05" w:rsidP="008A62BE">
            <w:pPr>
              <w:spacing w:line="360" w:lineRule="auto"/>
              <w:jc w:val="center"/>
              <w:rPr>
                <w:rFonts w:ascii="Arial" w:hAnsi="Arial" w:cs="Arial"/>
                <w:sz w:val="16"/>
                <w:szCs w:val="16"/>
                <w:lang w:val="en-GB"/>
              </w:rPr>
            </w:pPr>
          </w:p>
          <w:p w:rsidR="00623E05" w:rsidRPr="00C8089B" w:rsidRDefault="004900B0" w:rsidP="004900B0">
            <w:pPr>
              <w:spacing w:line="360" w:lineRule="auto"/>
              <w:jc w:val="center"/>
              <w:rPr>
                <w:rFonts w:ascii="Arial" w:hAnsi="Arial" w:cs="Arial"/>
                <w:b/>
                <w:sz w:val="16"/>
                <w:szCs w:val="16"/>
              </w:rPr>
            </w:pPr>
            <w:r w:rsidRPr="00C8089B">
              <w:rPr>
                <w:rFonts w:ascii="Arial" w:hAnsi="Arial" w:cs="Arial"/>
                <w:b/>
                <w:sz w:val="16"/>
                <w:szCs w:val="16"/>
                <w:lang w:val="en-GB"/>
              </w:rPr>
              <w:t>Trade m</w:t>
            </w:r>
            <w:r w:rsidR="00623E05" w:rsidRPr="00C8089B">
              <w:rPr>
                <w:rFonts w:ascii="Arial" w:hAnsi="Arial" w:cs="Arial"/>
                <w:b/>
                <w:sz w:val="16"/>
                <w:szCs w:val="16"/>
                <w:lang w:val="en-GB"/>
              </w:rPr>
              <w:t>argin</w:t>
            </w:r>
            <w:r w:rsidR="00623E05" w:rsidRPr="00C8089B">
              <w:rPr>
                <w:rFonts w:ascii="Arial" w:hAnsi="Arial" w:cs="Arial"/>
                <w:b/>
                <w:sz w:val="16"/>
                <w:szCs w:val="16"/>
              </w:rPr>
              <w:t xml:space="preserve"> rate</w:t>
            </w:r>
          </w:p>
        </w:tc>
        <w:tc>
          <w:tcPr>
            <w:tcW w:w="992" w:type="dxa"/>
            <w:shd w:val="clear" w:color="auto" w:fill="DAEEF3" w:themeFill="accent5" w:themeFillTint="33"/>
          </w:tcPr>
          <w:p w:rsidR="00623E05" w:rsidRPr="00C8089B" w:rsidRDefault="00623E05" w:rsidP="008A62BE">
            <w:pPr>
              <w:spacing w:line="360" w:lineRule="auto"/>
              <w:rPr>
                <w:rFonts w:ascii="Arial" w:hAnsi="Arial" w:cs="Arial"/>
                <w:b/>
                <w:sz w:val="16"/>
                <w:szCs w:val="16"/>
              </w:rPr>
            </w:pPr>
          </w:p>
          <w:p w:rsidR="00623E05" w:rsidRPr="00C8089B" w:rsidRDefault="00623E05" w:rsidP="008A62BE">
            <w:pPr>
              <w:spacing w:line="360" w:lineRule="auto"/>
              <w:jc w:val="center"/>
              <w:rPr>
                <w:rFonts w:ascii="Arial" w:hAnsi="Arial" w:cs="Arial"/>
                <w:sz w:val="16"/>
                <w:szCs w:val="16"/>
              </w:rPr>
            </w:pPr>
            <w:r w:rsidRPr="00C8089B">
              <w:rPr>
                <w:rFonts w:ascii="Arial" w:hAnsi="Arial" w:cs="Arial"/>
                <w:b/>
                <w:sz w:val="16"/>
                <w:szCs w:val="16"/>
                <w:lang w:val="en-GB"/>
              </w:rPr>
              <w:t>Value at basic prices</w:t>
            </w:r>
          </w:p>
        </w:tc>
        <w:tc>
          <w:tcPr>
            <w:tcW w:w="993"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4900B0" w:rsidP="008A62BE">
            <w:pPr>
              <w:spacing w:line="360" w:lineRule="auto"/>
              <w:jc w:val="center"/>
              <w:rPr>
                <w:rFonts w:ascii="Arial" w:hAnsi="Arial" w:cs="Arial"/>
                <w:b/>
                <w:sz w:val="16"/>
                <w:szCs w:val="16"/>
              </w:rPr>
            </w:pPr>
            <w:r w:rsidRPr="00C8089B">
              <w:rPr>
                <w:rFonts w:ascii="Arial" w:hAnsi="Arial" w:cs="Arial"/>
                <w:b/>
                <w:sz w:val="16"/>
                <w:szCs w:val="16"/>
                <w:lang w:val="en-GB"/>
              </w:rPr>
              <w:t>Margi</w:t>
            </w:r>
            <w:r w:rsidR="00FF0778" w:rsidRPr="00C8089B">
              <w:rPr>
                <w:rFonts w:ascii="Arial" w:hAnsi="Arial" w:cs="Arial"/>
                <w:b/>
                <w:sz w:val="16"/>
                <w:szCs w:val="16"/>
                <w:lang w:val="en-GB"/>
              </w:rPr>
              <w:t>ns</w:t>
            </w:r>
          </w:p>
        </w:tc>
        <w:tc>
          <w:tcPr>
            <w:tcW w:w="1134" w:type="dxa"/>
            <w:shd w:val="clear" w:color="auto" w:fill="DAEEF3" w:themeFill="accent5" w:themeFillTint="33"/>
          </w:tcPr>
          <w:p w:rsidR="00623E05" w:rsidRPr="00C8089B" w:rsidRDefault="00623E05" w:rsidP="008A62BE">
            <w:pPr>
              <w:spacing w:line="360" w:lineRule="auto"/>
              <w:rPr>
                <w:rFonts w:ascii="Arial" w:hAnsi="Arial" w:cs="Arial"/>
                <w:b/>
                <w:sz w:val="16"/>
                <w:szCs w:val="16"/>
              </w:rPr>
            </w:pPr>
          </w:p>
          <w:p w:rsidR="00623E05" w:rsidRPr="00C8089B" w:rsidRDefault="00623E05" w:rsidP="008A62BE">
            <w:pPr>
              <w:spacing w:line="360" w:lineRule="auto"/>
              <w:jc w:val="center"/>
              <w:rPr>
                <w:rFonts w:ascii="Arial" w:hAnsi="Arial" w:cs="Arial"/>
                <w:b/>
                <w:sz w:val="16"/>
                <w:szCs w:val="16"/>
              </w:rPr>
            </w:pPr>
            <w:r w:rsidRPr="00C8089B">
              <w:rPr>
                <w:rFonts w:ascii="Arial" w:hAnsi="Arial" w:cs="Arial"/>
                <w:b/>
                <w:sz w:val="16"/>
                <w:szCs w:val="16"/>
              </w:rPr>
              <w:t>Non</w:t>
            </w:r>
            <w:r w:rsidRPr="00C8089B">
              <w:rPr>
                <w:rFonts w:ascii="Arial" w:hAnsi="Arial" w:cs="Arial"/>
                <w:b/>
                <w:sz w:val="16"/>
                <w:szCs w:val="16"/>
                <w:lang w:val="en-GB"/>
              </w:rPr>
              <w:t>-deductible</w:t>
            </w:r>
            <w:r w:rsidRPr="00C8089B">
              <w:rPr>
                <w:rFonts w:ascii="Arial" w:hAnsi="Arial" w:cs="Arial"/>
                <w:b/>
                <w:sz w:val="16"/>
                <w:szCs w:val="16"/>
              </w:rPr>
              <w:t xml:space="preserve"> VAT</w:t>
            </w:r>
          </w:p>
        </w:tc>
        <w:tc>
          <w:tcPr>
            <w:tcW w:w="992"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O. taxes on products</w:t>
            </w:r>
          </w:p>
        </w:tc>
        <w:tc>
          <w:tcPr>
            <w:tcW w:w="1116"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623E05" w:rsidP="008A62BE">
            <w:pPr>
              <w:spacing w:line="360" w:lineRule="auto"/>
              <w:jc w:val="center"/>
              <w:rPr>
                <w:rFonts w:ascii="Arial" w:hAnsi="Arial" w:cs="Arial"/>
                <w:sz w:val="16"/>
                <w:szCs w:val="16"/>
                <w:lang w:val="en-GB"/>
              </w:rPr>
            </w:pPr>
            <w:r w:rsidRPr="00C8089B">
              <w:rPr>
                <w:rFonts w:ascii="Arial" w:hAnsi="Arial" w:cs="Arial"/>
                <w:b/>
                <w:sz w:val="16"/>
                <w:szCs w:val="16"/>
                <w:lang w:val="en-GB"/>
              </w:rPr>
              <w:t>Subsidies on products</w:t>
            </w:r>
          </w:p>
        </w:tc>
        <w:tc>
          <w:tcPr>
            <w:tcW w:w="1010" w:type="dxa"/>
            <w:shd w:val="clear" w:color="auto" w:fill="DAEEF3" w:themeFill="accent5" w:themeFillTint="33"/>
          </w:tcPr>
          <w:p w:rsidR="00623E05" w:rsidRPr="00C8089B" w:rsidRDefault="00623E05" w:rsidP="008A62BE">
            <w:pPr>
              <w:spacing w:line="360" w:lineRule="auto"/>
              <w:rPr>
                <w:rFonts w:ascii="Arial" w:hAnsi="Arial" w:cs="Arial"/>
                <w:b/>
                <w:sz w:val="16"/>
                <w:szCs w:val="16"/>
                <w:lang w:val="en-GB"/>
              </w:rPr>
            </w:pPr>
          </w:p>
          <w:p w:rsidR="00623E05" w:rsidRPr="00C8089B" w:rsidRDefault="00623E05" w:rsidP="008A62BE">
            <w:pPr>
              <w:spacing w:line="360" w:lineRule="auto"/>
              <w:jc w:val="center"/>
              <w:rPr>
                <w:rFonts w:ascii="Arial" w:hAnsi="Arial" w:cs="Arial"/>
                <w:sz w:val="16"/>
                <w:szCs w:val="16"/>
                <w:lang w:val="en-GB"/>
              </w:rPr>
            </w:pPr>
            <w:r w:rsidRPr="00C8089B">
              <w:rPr>
                <w:rFonts w:ascii="Arial" w:hAnsi="Arial" w:cs="Arial"/>
                <w:b/>
                <w:sz w:val="16"/>
                <w:szCs w:val="16"/>
                <w:lang w:val="en-GB"/>
              </w:rPr>
              <w:t>Value at purchasers’ prices</w:t>
            </w:r>
          </w:p>
        </w:tc>
      </w:tr>
      <w:tr w:rsidR="00623E05" w:rsidRPr="00A412E9" w:rsidTr="00C60795">
        <w:tc>
          <w:tcPr>
            <w:tcW w:w="1134"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8</w:t>
            </w:r>
          </w:p>
        </w:tc>
        <w:tc>
          <w:tcPr>
            <w:tcW w:w="992"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9</w:t>
            </w:r>
          </w:p>
        </w:tc>
        <w:tc>
          <w:tcPr>
            <w:tcW w:w="993"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10</w:t>
            </w:r>
          </w:p>
        </w:tc>
        <w:tc>
          <w:tcPr>
            <w:tcW w:w="1134"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11</w:t>
            </w:r>
          </w:p>
        </w:tc>
        <w:tc>
          <w:tcPr>
            <w:tcW w:w="992"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12</w:t>
            </w:r>
          </w:p>
        </w:tc>
        <w:tc>
          <w:tcPr>
            <w:tcW w:w="1116"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13</w:t>
            </w:r>
          </w:p>
        </w:tc>
        <w:tc>
          <w:tcPr>
            <w:tcW w:w="1010" w:type="dxa"/>
            <w:shd w:val="clear" w:color="auto" w:fill="DAEEF3" w:themeFill="accent5" w:themeFillTint="33"/>
          </w:tcPr>
          <w:p w:rsidR="00623E05" w:rsidRPr="00C8089B" w:rsidRDefault="00623E05" w:rsidP="008A62BE">
            <w:pPr>
              <w:spacing w:line="360" w:lineRule="auto"/>
              <w:jc w:val="center"/>
              <w:rPr>
                <w:rFonts w:ascii="Arial" w:hAnsi="Arial" w:cs="Arial"/>
                <w:b/>
                <w:sz w:val="16"/>
                <w:szCs w:val="16"/>
                <w:lang w:val="en-GB"/>
              </w:rPr>
            </w:pPr>
            <w:r w:rsidRPr="00C8089B">
              <w:rPr>
                <w:rFonts w:ascii="Arial" w:hAnsi="Arial" w:cs="Arial"/>
                <w:b/>
                <w:sz w:val="16"/>
                <w:szCs w:val="16"/>
                <w:lang w:val="en-GB"/>
              </w:rPr>
              <w:t>14</w:t>
            </w:r>
          </w:p>
        </w:tc>
      </w:tr>
      <w:tr w:rsidR="00746371" w:rsidRPr="00A412E9" w:rsidTr="00C60795">
        <w:tc>
          <w:tcPr>
            <w:tcW w:w="1134" w:type="dxa"/>
            <w:shd w:val="clear" w:color="auto" w:fill="DAEEF3" w:themeFill="accent5" w:themeFillTint="33"/>
          </w:tcPr>
          <w:p w:rsidR="00746371" w:rsidRDefault="00746371" w:rsidP="008A62BE">
            <w:pPr>
              <w:spacing w:line="360" w:lineRule="auto"/>
              <w:jc w:val="center"/>
              <w:rPr>
                <w:rFonts w:ascii="Arial" w:hAnsi="Arial" w:cs="Arial"/>
                <w:b/>
                <w:sz w:val="16"/>
                <w:szCs w:val="16"/>
                <w:lang w:val="en-GB"/>
              </w:rPr>
            </w:pPr>
          </w:p>
          <w:p w:rsidR="00746371" w:rsidRDefault="00746371" w:rsidP="008A62BE">
            <w:pPr>
              <w:spacing w:line="360" w:lineRule="auto"/>
              <w:jc w:val="center"/>
              <w:rPr>
                <w:rFonts w:ascii="Arial" w:hAnsi="Arial" w:cs="Arial"/>
                <w:b/>
                <w:sz w:val="16"/>
                <w:szCs w:val="16"/>
                <w:lang w:val="en-GB"/>
              </w:rPr>
            </w:pPr>
          </w:p>
          <w:p w:rsidR="00746371" w:rsidRPr="00C8089B" w:rsidRDefault="00746371" w:rsidP="008A62BE">
            <w:pPr>
              <w:spacing w:line="360" w:lineRule="auto"/>
              <w:jc w:val="center"/>
              <w:rPr>
                <w:rFonts w:ascii="Arial" w:hAnsi="Arial" w:cs="Arial"/>
                <w:b/>
                <w:sz w:val="16"/>
                <w:szCs w:val="16"/>
                <w:lang w:val="en-GB"/>
              </w:rPr>
            </w:pPr>
          </w:p>
        </w:tc>
        <w:tc>
          <w:tcPr>
            <w:tcW w:w="992"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c>
          <w:tcPr>
            <w:tcW w:w="993"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c>
          <w:tcPr>
            <w:tcW w:w="1134"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c>
          <w:tcPr>
            <w:tcW w:w="992"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c>
          <w:tcPr>
            <w:tcW w:w="1116"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c>
          <w:tcPr>
            <w:tcW w:w="1010" w:type="dxa"/>
            <w:shd w:val="clear" w:color="auto" w:fill="DAEEF3" w:themeFill="accent5" w:themeFillTint="33"/>
          </w:tcPr>
          <w:p w:rsidR="00746371" w:rsidRPr="00C8089B" w:rsidRDefault="00746371" w:rsidP="008A62BE">
            <w:pPr>
              <w:spacing w:line="360" w:lineRule="auto"/>
              <w:jc w:val="center"/>
              <w:rPr>
                <w:rFonts w:ascii="Arial" w:hAnsi="Arial" w:cs="Arial"/>
                <w:b/>
                <w:sz w:val="16"/>
                <w:szCs w:val="16"/>
                <w:lang w:val="en-GB"/>
              </w:rPr>
            </w:pPr>
          </w:p>
        </w:tc>
      </w:tr>
    </w:tbl>
    <w:p w:rsidR="00623E05" w:rsidRPr="00A412E9" w:rsidRDefault="00623E05" w:rsidP="005F5B61">
      <w:pPr>
        <w:pStyle w:val="ListParagraph"/>
        <w:rPr>
          <w:rFonts w:ascii="Arial" w:hAnsi="Arial" w:cs="Arial"/>
          <w:lang w:val="en-GB"/>
        </w:rPr>
      </w:pPr>
    </w:p>
    <w:p w:rsidR="00D30492" w:rsidRPr="00A412E9" w:rsidRDefault="00AB0059" w:rsidP="00AB0059">
      <w:pPr>
        <w:spacing w:line="360" w:lineRule="auto"/>
        <w:ind w:left="709"/>
        <w:jc w:val="both"/>
        <w:rPr>
          <w:rFonts w:ascii="Arial" w:hAnsi="Arial" w:cs="Arial"/>
          <w:lang w:val="en-GB"/>
        </w:rPr>
      </w:pPr>
      <w:r w:rsidRPr="00A412E9">
        <w:rPr>
          <w:rFonts w:ascii="Arial" w:hAnsi="Arial" w:cs="Arial"/>
          <w:lang w:val="en-GB"/>
        </w:rPr>
        <w:t xml:space="preserve">The first kind of elements of the table </w:t>
      </w:r>
      <w:r w:rsidR="00D30492" w:rsidRPr="00A412E9">
        <w:rPr>
          <w:rFonts w:ascii="Arial" w:hAnsi="Arial" w:cs="Arial"/>
          <w:lang w:val="en-GB"/>
        </w:rPr>
        <w:t xml:space="preserve">(IC characterisation) </w:t>
      </w:r>
      <w:r w:rsidRPr="00A412E9">
        <w:rPr>
          <w:rFonts w:ascii="Arial" w:hAnsi="Arial" w:cs="Arial"/>
          <w:lang w:val="en-GB"/>
        </w:rPr>
        <w:t xml:space="preserve">is composed by: products classification; institutional sector; industry classification </w:t>
      </w:r>
      <w:r w:rsidR="00C00B81" w:rsidRPr="00A412E9">
        <w:rPr>
          <w:rFonts w:ascii="Arial" w:hAnsi="Arial" w:cs="Arial"/>
          <w:lang w:val="en-GB"/>
        </w:rPr>
        <w:t xml:space="preserve">and </w:t>
      </w:r>
      <w:r w:rsidRPr="00A412E9">
        <w:rPr>
          <w:rFonts w:ascii="Arial" w:hAnsi="Arial" w:cs="Arial"/>
          <w:lang w:val="en-GB"/>
        </w:rPr>
        <w:t xml:space="preserve">the nature of the transaction (usually market IC). </w:t>
      </w:r>
    </w:p>
    <w:p w:rsidR="0010773B" w:rsidRPr="00A412E9" w:rsidRDefault="00AB0059" w:rsidP="00AB0059">
      <w:pPr>
        <w:spacing w:line="360" w:lineRule="auto"/>
        <w:ind w:left="709"/>
        <w:jc w:val="both"/>
        <w:rPr>
          <w:rFonts w:ascii="Arial" w:hAnsi="Arial" w:cs="Arial"/>
          <w:lang w:val="en-GB"/>
        </w:rPr>
      </w:pPr>
      <w:r w:rsidRPr="00A412E9">
        <w:rPr>
          <w:rFonts w:ascii="Arial" w:hAnsi="Arial" w:cs="Arial"/>
          <w:lang w:val="en-GB"/>
        </w:rPr>
        <w:t>The valuation rates include: VAT prorat</w:t>
      </w:r>
      <w:r w:rsidR="00746371">
        <w:rPr>
          <w:rFonts w:ascii="Arial" w:hAnsi="Arial" w:cs="Arial"/>
          <w:lang w:val="en-GB"/>
        </w:rPr>
        <w:t>e</w:t>
      </w:r>
      <w:r w:rsidRPr="00A412E9">
        <w:rPr>
          <w:rFonts w:ascii="Arial" w:hAnsi="Arial" w:cs="Arial"/>
          <w:lang w:val="en-GB"/>
        </w:rPr>
        <w:t xml:space="preserve"> (deductibility ratio) and </w:t>
      </w:r>
      <w:r w:rsidR="00C00B81" w:rsidRPr="00A412E9">
        <w:rPr>
          <w:rFonts w:ascii="Arial" w:hAnsi="Arial" w:cs="Arial"/>
          <w:lang w:val="en-GB"/>
        </w:rPr>
        <w:t xml:space="preserve">VAT </w:t>
      </w:r>
      <w:r w:rsidRPr="00A412E9">
        <w:rPr>
          <w:rFonts w:ascii="Arial" w:hAnsi="Arial" w:cs="Arial"/>
          <w:lang w:val="en-GB"/>
        </w:rPr>
        <w:t>rate, transport</w:t>
      </w:r>
      <w:r w:rsidR="00D30492" w:rsidRPr="00A412E9">
        <w:rPr>
          <w:rFonts w:ascii="Arial" w:hAnsi="Arial" w:cs="Arial"/>
          <w:lang w:val="en-GB"/>
        </w:rPr>
        <w:t xml:space="preserve"> margin rate and trade margin rate. Usually, this group is duplicated in the table - for year N-1 and N.</w:t>
      </w:r>
    </w:p>
    <w:p w:rsidR="00D30492" w:rsidRPr="00A412E9" w:rsidRDefault="00D30492" w:rsidP="00AB0059">
      <w:pPr>
        <w:spacing w:line="360" w:lineRule="auto"/>
        <w:ind w:left="709"/>
        <w:jc w:val="both"/>
        <w:rPr>
          <w:rFonts w:ascii="Arial" w:hAnsi="Arial" w:cs="Arial"/>
          <w:lang w:val="en-GB"/>
        </w:rPr>
      </w:pPr>
      <w:r w:rsidRPr="00A412E9">
        <w:rPr>
          <w:rFonts w:ascii="Arial" w:hAnsi="Arial" w:cs="Arial"/>
          <w:lang w:val="en-GB"/>
        </w:rPr>
        <w:t>The values and components of IC matrix are the following: Value at basic prices; margins (trade and transport</w:t>
      </w:r>
      <w:r w:rsidR="00C00B81" w:rsidRPr="00A412E9">
        <w:rPr>
          <w:rFonts w:ascii="Arial" w:hAnsi="Arial" w:cs="Arial"/>
          <w:lang w:val="en-GB"/>
        </w:rPr>
        <w:t xml:space="preserve"> margins</w:t>
      </w:r>
      <w:r w:rsidRPr="00A412E9">
        <w:rPr>
          <w:rFonts w:ascii="Arial" w:hAnsi="Arial" w:cs="Arial"/>
          <w:lang w:val="en-GB"/>
        </w:rPr>
        <w:t xml:space="preserve">); non-deductible VAT; other taxes on products; subsidies on products; value at purchasers’ prices (calculated from the precedent values / components). </w:t>
      </w:r>
      <w:r w:rsidR="00C00B81" w:rsidRPr="00A412E9">
        <w:rPr>
          <w:rFonts w:ascii="Arial" w:hAnsi="Arial" w:cs="Arial"/>
          <w:lang w:val="en-GB"/>
        </w:rPr>
        <w:t>Normally, this group figures i</w:t>
      </w:r>
      <w:r w:rsidRPr="00A412E9">
        <w:rPr>
          <w:rFonts w:ascii="Arial" w:hAnsi="Arial" w:cs="Arial"/>
          <w:lang w:val="en-GB"/>
        </w:rPr>
        <w:t>n the table</w:t>
      </w:r>
      <w:r w:rsidR="00B50E99" w:rsidRPr="00A412E9">
        <w:rPr>
          <w:rFonts w:ascii="Arial" w:hAnsi="Arial" w:cs="Arial"/>
          <w:lang w:val="en-GB"/>
        </w:rPr>
        <w:t xml:space="preserve"> in triplicate, correspondent to: values / components of the year N-1; </w:t>
      </w:r>
      <w:r w:rsidR="00C23F1E">
        <w:rPr>
          <w:rFonts w:ascii="Arial" w:hAnsi="Arial" w:cs="Arial"/>
          <w:lang w:val="en-GB"/>
        </w:rPr>
        <w:t xml:space="preserve">values </w:t>
      </w:r>
      <w:r w:rsidR="00C00B81" w:rsidRPr="00A412E9">
        <w:rPr>
          <w:rFonts w:ascii="Arial" w:hAnsi="Arial" w:cs="Arial"/>
          <w:lang w:val="en-GB"/>
        </w:rPr>
        <w:t xml:space="preserve">of </w:t>
      </w:r>
      <w:r w:rsidR="00B50E99" w:rsidRPr="00A412E9">
        <w:rPr>
          <w:rFonts w:ascii="Arial" w:hAnsi="Arial" w:cs="Arial"/>
          <w:lang w:val="en-GB"/>
        </w:rPr>
        <w:t>the year N and prices (</w:t>
      </w:r>
      <w:r w:rsidR="00C00B81" w:rsidRPr="00A412E9">
        <w:rPr>
          <w:rFonts w:ascii="Arial" w:hAnsi="Arial" w:cs="Arial"/>
          <w:lang w:val="en-GB"/>
        </w:rPr>
        <w:t xml:space="preserve">or </w:t>
      </w:r>
      <w:r w:rsidR="00B50E99" w:rsidRPr="00A412E9">
        <w:rPr>
          <w:rFonts w:ascii="Arial" w:hAnsi="Arial" w:cs="Arial"/>
          <w:lang w:val="en-GB"/>
        </w:rPr>
        <w:t xml:space="preserve">rates) </w:t>
      </w:r>
      <w:r w:rsidR="00C00B81" w:rsidRPr="00A412E9">
        <w:rPr>
          <w:rFonts w:ascii="Arial" w:hAnsi="Arial" w:cs="Arial"/>
          <w:lang w:val="en-GB"/>
        </w:rPr>
        <w:t xml:space="preserve">of </w:t>
      </w:r>
      <w:r w:rsidR="00B50E99" w:rsidRPr="00A412E9">
        <w:rPr>
          <w:rFonts w:ascii="Arial" w:hAnsi="Arial" w:cs="Arial"/>
          <w:lang w:val="en-GB"/>
        </w:rPr>
        <w:t xml:space="preserve">N-1; </w:t>
      </w:r>
      <w:r w:rsidR="00C23F1E">
        <w:rPr>
          <w:rFonts w:ascii="Arial" w:hAnsi="Arial" w:cs="Arial"/>
          <w:lang w:val="en-GB"/>
        </w:rPr>
        <w:t xml:space="preserve">values </w:t>
      </w:r>
      <w:r w:rsidR="00C00B81" w:rsidRPr="00A412E9">
        <w:rPr>
          <w:rFonts w:ascii="Arial" w:hAnsi="Arial" w:cs="Arial"/>
          <w:lang w:val="en-GB"/>
        </w:rPr>
        <w:t xml:space="preserve">of </w:t>
      </w:r>
      <w:r w:rsidR="00B50E99" w:rsidRPr="00A412E9">
        <w:rPr>
          <w:rFonts w:ascii="Arial" w:hAnsi="Arial" w:cs="Arial"/>
          <w:lang w:val="en-GB"/>
        </w:rPr>
        <w:t>the year N.</w:t>
      </w:r>
    </w:p>
    <w:p w:rsidR="00224753" w:rsidRDefault="00224753" w:rsidP="00A65E11">
      <w:pPr>
        <w:spacing w:line="360" w:lineRule="auto"/>
        <w:ind w:left="709"/>
        <w:jc w:val="both"/>
        <w:rPr>
          <w:rFonts w:ascii="Arial" w:hAnsi="Arial" w:cs="Arial"/>
          <w:lang w:val="en-GB"/>
        </w:rPr>
      </w:pPr>
      <w:r>
        <w:rPr>
          <w:rFonts w:ascii="Arial" w:hAnsi="Arial" w:cs="Arial"/>
          <w:lang w:val="en-GB"/>
        </w:rPr>
        <w:t>All this information</w:t>
      </w:r>
      <w:r w:rsidR="00436219">
        <w:rPr>
          <w:rFonts w:ascii="Arial" w:hAnsi="Arial" w:cs="Arial"/>
          <w:lang w:val="en-GB"/>
        </w:rPr>
        <w:t>,</w:t>
      </w:r>
      <w:r>
        <w:rPr>
          <w:rFonts w:ascii="Arial" w:hAnsi="Arial" w:cs="Arial"/>
          <w:lang w:val="en-GB"/>
        </w:rPr>
        <w:t xml:space="preserve"> at an enormous degree of detail</w:t>
      </w:r>
      <w:r w:rsidR="00436219">
        <w:rPr>
          <w:rFonts w:ascii="Arial" w:hAnsi="Arial" w:cs="Arial"/>
          <w:lang w:val="en-GB"/>
        </w:rPr>
        <w:t>,</w:t>
      </w:r>
      <w:r>
        <w:rPr>
          <w:rFonts w:ascii="Arial" w:hAnsi="Arial" w:cs="Arial"/>
          <w:lang w:val="en-GB"/>
        </w:rPr>
        <w:t xml:space="preserve"> contributes to </w:t>
      </w:r>
      <w:r w:rsidR="00436219">
        <w:rPr>
          <w:rFonts w:ascii="Arial" w:hAnsi="Arial" w:cs="Arial"/>
          <w:lang w:val="en-GB"/>
        </w:rPr>
        <w:t>enhancing the</w:t>
      </w:r>
      <w:r>
        <w:rPr>
          <w:rFonts w:ascii="Arial" w:hAnsi="Arial" w:cs="Arial"/>
          <w:lang w:val="en-GB"/>
        </w:rPr>
        <w:t xml:space="preserve"> excellent support of all intermediate</w:t>
      </w:r>
      <w:r w:rsidR="00C23F1E">
        <w:rPr>
          <w:rFonts w:ascii="Arial" w:hAnsi="Arial" w:cs="Arial"/>
          <w:lang w:val="en-GB"/>
        </w:rPr>
        <w:t xml:space="preserve"> outcomes</w:t>
      </w:r>
      <w:r>
        <w:rPr>
          <w:rFonts w:ascii="Arial" w:hAnsi="Arial" w:cs="Arial"/>
          <w:lang w:val="en-GB"/>
        </w:rPr>
        <w:t xml:space="preserve"> </w:t>
      </w:r>
      <w:r w:rsidR="006A0578">
        <w:rPr>
          <w:rFonts w:ascii="Arial" w:hAnsi="Arial" w:cs="Arial"/>
          <w:lang w:val="en-GB"/>
        </w:rPr>
        <w:t>and, indirectly, the</w:t>
      </w:r>
      <w:r>
        <w:rPr>
          <w:rFonts w:ascii="Arial" w:hAnsi="Arial" w:cs="Arial"/>
          <w:lang w:val="en-GB"/>
        </w:rPr>
        <w:t xml:space="preserve"> </w:t>
      </w:r>
      <w:r w:rsidR="0082320E">
        <w:rPr>
          <w:rFonts w:ascii="Arial" w:hAnsi="Arial" w:cs="Arial"/>
          <w:lang w:val="en-GB"/>
        </w:rPr>
        <w:t xml:space="preserve">final </w:t>
      </w:r>
      <w:r>
        <w:rPr>
          <w:rFonts w:ascii="Arial" w:hAnsi="Arial" w:cs="Arial"/>
          <w:lang w:val="en-GB"/>
        </w:rPr>
        <w:t>balanced results</w:t>
      </w:r>
      <w:r w:rsidR="006A0578">
        <w:rPr>
          <w:rFonts w:ascii="Arial" w:hAnsi="Arial" w:cs="Arial"/>
          <w:lang w:val="en-GB"/>
        </w:rPr>
        <w:t xml:space="preserve">, </w:t>
      </w:r>
      <w:r w:rsidR="00436219">
        <w:rPr>
          <w:rFonts w:ascii="Arial" w:hAnsi="Arial" w:cs="Arial"/>
          <w:lang w:val="en-GB"/>
        </w:rPr>
        <w:t>at current and at previous year prices.</w:t>
      </w:r>
    </w:p>
    <w:p w:rsidR="00C60795" w:rsidRDefault="00C22502" w:rsidP="00A65E11">
      <w:pPr>
        <w:spacing w:line="360" w:lineRule="auto"/>
        <w:ind w:left="709"/>
        <w:jc w:val="both"/>
        <w:rPr>
          <w:rFonts w:ascii="Arial" w:hAnsi="Arial" w:cs="Arial"/>
          <w:lang w:val="en-GB"/>
        </w:rPr>
      </w:pPr>
      <w:r w:rsidRPr="00A412E9">
        <w:rPr>
          <w:rFonts w:ascii="Arial" w:hAnsi="Arial" w:cs="Arial"/>
          <w:lang w:val="en-GB"/>
        </w:rPr>
        <w:lastRenderedPageBreak/>
        <w:t>As upper referred, the</w:t>
      </w:r>
      <w:r w:rsidR="00224753">
        <w:rPr>
          <w:rFonts w:ascii="Arial" w:hAnsi="Arial" w:cs="Arial"/>
          <w:lang w:val="en-GB"/>
        </w:rPr>
        <w:t xml:space="preserve"> above</w:t>
      </w:r>
      <w:r w:rsidR="00F83DCC" w:rsidRPr="00A412E9">
        <w:rPr>
          <w:rFonts w:ascii="Arial" w:hAnsi="Arial" w:cs="Arial"/>
          <w:lang w:val="en-GB"/>
        </w:rPr>
        <w:t xml:space="preserve"> tables make part of matrices of output and of IC covering each one the overall</w:t>
      </w:r>
      <w:r w:rsidR="00A65E11" w:rsidRPr="00A412E9">
        <w:rPr>
          <w:rFonts w:ascii="Arial" w:hAnsi="Arial" w:cs="Arial"/>
          <w:lang w:val="en-GB"/>
        </w:rPr>
        <w:t xml:space="preserve"> products and all possible </w:t>
      </w:r>
      <w:r w:rsidR="00224753">
        <w:rPr>
          <w:rFonts w:ascii="Arial" w:hAnsi="Arial" w:cs="Arial"/>
          <w:lang w:val="en-GB"/>
        </w:rPr>
        <w:t xml:space="preserve">and </w:t>
      </w:r>
      <w:r w:rsidR="00224753" w:rsidRPr="00A412E9">
        <w:rPr>
          <w:rFonts w:ascii="Arial" w:hAnsi="Arial" w:cs="Arial"/>
          <w:lang w:val="en-GB"/>
        </w:rPr>
        <w:t xml:space="preserve">existent </w:t>
      </w:r>
      <w:r w:rsidR="00A65E11" w:rsidRPr="00A412E9">
        <w:rPr>
          <w:rFonts w:ascii="Arial" w:hAnsi="Arial" w:cs="Arial"/>
          <w:lang w:val="en-GB"/>
        </w:rPr>
        <w:t>cross-classifications in reality.</w:t>
      </w:r>
    </w:p>
    <w:p w:rsidR="00505A2E" w:rsidRDefault="00505A2E" w:rsidP="00A65E11">
      <w:pPr>
        <w:spacing w:line="360" w:lineRule="auto"/>
        <w:ind w:left="709"/>
        <w:jc w:val="both"/>
        <w:rPr>
          <w:rFonts w:ascii="Arial" w:hAnsi="Arial" w:cs="Arial"/>
          <w:lang w:val="en-GB"/>
        </w:rPr>
      </w:pPr>
      <w:r>
        <w:rPr>
          <w:rFonts w:ascii="Arial" w:hAnsi="Arial" w:cs="Arial"/>
          <w:lang w:val="en-GB"/>
        </w:rPr>
        <w:t>Next figures represent Output and IC matrices:</w:t>
      </w:r>
    </w:p>
    <w:p w:rsidR="00505A2E" w:rsidRPr="00D45CEF" w:rsidRDefault="008757A4" w:rsidP="00A65E11">
      <w:pPr>
        <w:spacing w:line="360" w:lineRule="auto"/>
        <w:ind w:left="709"/>
        <w:jc w:val="both"/>
        <w:rPr>
          <w:rFonts w:ascii="Arial" w:hAnsi="Arial" w:cs="Arial"/>
          <w:b/>
          <w:sz w:val="18"/>
          <w:szCs w:val="18"/>
          <w:lang w:val="en-GB"/>
        </w:rPr>
      </w:pPr>
      <w:r>
        <w:rPr>
          <w:rFonts w:ascii="Arial" w:hAnsi="Arial" w:cs="Arial"/>
          <w:b/>
          <w:sz w:val="18"/>
          <w:szCs w:val="18"/>
          <w:lang w:val="en-GB"/>
        </w:rPr>
        <w:t xml:space="preserve">                            </w:t>
      </w:r>
      <w:r w:rsidR="00B81A1E" w:rsidRPr="00B81A1E">
        <w:rPr>
          <w:rFonts w:ascii="Arial" w:hAnsi="Arial" w:cs="Arial"/>
          <w:b/>
          <w:sz w:val="18"/>
          <w:szCs w:val="18"/>
          <w:lang w:val="en-GB"/>
        </w:rPr>
        <w:t xml:space="preserve">Figure 6   </w:t>
      </w:r>
      <w:r w:rsidR="00505A2E" w:rsidRPr="00D45CEF">
        <w:rPr>
          <w:rFonts w:ascii="Arial" w:hAnsi="Arial" w:cs="Arial"/>
          <w:b/>
          <w:sz w:val="18"/>
          <w:szCs w:val="18"/>
          <w:lang w:val="en-GB"/>
        </w:rPr>
        <w:t>OUTPUT MATRIX, non-symmetrical (industry x products)</w:t>
      </w:r>
    </w:p>
    <w:p w:rsidR="00505A2E" w:rsidRPr="00A412E9" w:rsidRDefault="00FF2E19" w:rsidP="008757A4">
      <w:pPr>
        <w:spacing w:line="360" w:lineRule="auto"/>
        <w:ind w:left="709"/>
        <w:jc w:val="center"/>
        <w:rPr>
          <w:rFonts w:ascii="Arial" w:hAnsi="Arial" w:cs="Arial"/>
          <w:lang w:val="en-GB"/>
        </w:rPr>
      </w:pPr>
      <w:r>
        <w:rPr>
          <w:rFonts w:ascii="Arial" w:hAnsi="Arial" w:cs="Arial"/>
          <w:noProof/>
          <w:lang w:eastAsia="pt-PT"/>
        </w:rPr>
        <w:drawing>
          <wp:inline distT="0" distB="0" distL="0" distR="0">
            <wp:extent cx="3276600" cy="24574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75984" cy="2456988"/>
                    </a:xfrm>
                    <a:prstGeom prst="rect">
                      <a:avLst/>
                    </a:prstGeom>
                    <a:noFill/>
                    <a:ln w="9525">
                      <a:noFill/>
                      <a:miter lim="800000"/>
                      <a:headEnd/>
                      <a:tailEnd/>
                    </a:ln>
                  </pic:spPr>
                </pic:pic>
              </a:graphicData>
            </a:graphic>
          </wp:inline>
        </w:drawing>
      </w:r>
    </w:p>
    <w:p w:rsidR="001C6FE9" w:rsidRDefault="001C6FE9" w:rsidP="001C6FE9">
      <w:pPr>
        <w:spacing w:line="360" w:lineRule="auto"/>
        <w:ind w:left="709"/>
        <w:jc w:val="both"/>
        <w:rPr>
          <w:rFonts w:ascii="Arial" w:hAnsi="Arial" w:cs="Arial"/>
          <w:lang w:val="en-GB"/>
        </w:rPr>
      </w:pPr>
      <w:r>
        <w:rPr>
          <w:rFonts w:ascii="Arial" w:hAnsi="Arial" w:cs="Arial"/>
          <w:lang w:val="en-GB"/>
        </w:rPr>
        <w:t xml:space="preserve">Figure 6 shows Output matrix, only for the dimensions Industry and Product, illustrating the feature of being a non-symmetrical matrix, as each industry may produce secondary products. </w:t>
      </w:r>
    </w:p>
    <w:p w:rsidR="00B06B0E" w:rsidRPr="001C6FE9" w:rsidRDefault="00436219" w:rsidP="00B06B0E">
      <w:pPr>
        <w:spacing w:line="360" w:lineRule="auto"/>
        <w:ind w:left="709"/>
        <w:jc w:val="both"/>
        <w:rPr>
          <w:rFonts w:ascii="Arial" w:hAnsi="Arial" w:cs="Arial"/>
          <w:b/>
          <w:sz w:val="18"/>
          <w:szCs w:val="18"/>
          <w:lang w:val="en-GB"/>
        </w:rPr>
      </w:pPr>
      <w:r>
        <w:rPr>
          <w:rFonts w:ascii="Arial" w:hAnsi="Arial" w:cs="Arial"/>
          <w:lang w:val="en-GB"/>
        </w:rPr>
        <w:t xml:space="preserve"> </w:t>
      </w:r>
      <w:r w:rsidR="008757A4">
        <w:rPr>
          <w:rFonts w:ascii="Arial" w:hAnsi="Arial" w:cs="Arial"/>
          <w:lang w:val="en-GB"/>
        </w:rPr>
        <w:t xml:space="preserve">                        </w:t>
      </w:r>
      <w:r w:rsidR="00B81A1E" w:rsidRPr="00B81A1E">
        <w:rPr>
          <w:rFonts w:ascii="Arial" w:hAnsi="Arial" w:cs="Arial"/>
          <w:b/>
          <w:sz w:val="18"/>
          <w:szCs w:val="18"/>
          <w:lang w:val="en-GB"/>
        </w:rPr>
        <w:t xml:space="preserve">Figure 7 </w:t>
      </w:r>
      <w:r w:rsidR="00B06B0E" w:rsidRPr="001C6FE9">
        <w:rPr>
          <w:rFonts w:ascii="Arial" w:hAnsi="Arial" w:cs="Arial"/>
          <w:b/>
          <w:sz w:val="18"/>
          <w:szCs w:val="18"/>
          <w:lang w:val="en-GB"/>
        </w:rPr>
        <w:t>INTERMEDIATE CONSUMPTION MATRIX</w:t>
      </w:r>
    </w:p>
    <w:p w:rsidR="00B06B0E" w:rsidRDefault="00FF2E19" w:rsidP="008757A4">
      <w:pPr>
        <w:spacing w:line="360" w:lineRule="auto"/>
        <w:ind w:left="709"/>
        <w:jc w:val="center"/>
        <w:rPr>
          <w:rFonts w:ascii="Arial" w:hAnsi="Arial" w:cs="Arial"/>
          <w:lang w:val="en-GB"/>
        </w:rPr>
      </w:pPr>
      <w:r>
        <w:rPr>
          <w:noProof/>
          <w:lang w:eastAsia="pt-PT"/>
        </w:rPr>
        <w:drawing>
          <wp:inline distT="0" distB="0" distL="0" distR="0">
            <wp:extent cx="3276600" cy="245745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76600" cy="2457450"/>
                    </a:xfrm>
                    <a:prstGeom prst="rect">
                      <a:avLst/>
                    </a:prstGeom>
                    <a:noFill/>
                    <a:ln w="9525">
                      <a:noFill/>
                      <a:miter lim="800000"/>
                      <a:headEnd/>
                      <a:tailEnd/>
                    </a:ln>
                  </pic:spPr>
                </pic:pic>
              </a:graphicData>
            </a:graphic>
          </wp:inline>
        </w:drawing>
      </w:r>
    </w:p>
    <w:p w:rsidR="00AA66FD" w:rsidRDefault="00AA66FD" w:rsidP="00AA66FD">
      <w:pPr>
        <w:spacing w:line="360" w:lineRule="auto"/>
        <w:ind w:left="709"/>
        <w:jc w:val="both"/>
        <w:rPr>
          <w:rFonts w:ascii="Arial" w:hAnsi="Arial" w:cs="Arial"/>
          <w:lang w:val="en-GB"/>
        </w:rPr>
      </w:pPr>
      <w:r>
        <w:rPr>
          <w:rFonts w:ascii="Arial" w:hAnsi="Arial" w:cs="Arial"/>
          <w:lang w:val="en-GB"/>
        </w:rPr>
        <w:t xml:space="preserve">Figure 7 illustrates the multi-dimensions involved in the characterization and evaluation of the intermediate consumption: the industry by product crossings may be “linked” to different evaluation categories: basic prices or purchasers’ </w:t>
      </w:r>
      <w:r>
        <w:rPr>
          <w:rFonts w:ascii="Arial" w:hAnsi="Arial" w:cs="Arial"/>
          <w:lang w:val="en-GB"/>
        </w:rPr>
        <w:lastRenderedPageBreak/>
        <w:t>prices or the valuation components between - margins, VAT on products or other ta</w:t>
      </w:r>
      <w:r w:rsidR="00407B42">
        <w:rPr>
          <w:rFonts w:ascii="Arial" w:hAnsi="Arial" w:cs="Arial"/>
          <w:lang w:val="en-GB"/>
        </w:rPr>
        <w:t>xes less subsidies on products.</w:t>
      </w:r>
    </w:p>
    <w:p w:rsidR="00A65E11" w:rsidRPr="00A412E9" w:rsidRDefault="001B6ACE" w:rsidP="00A65E11">
      <w:pPr>
        <w:spacing w:line="360" w:lineRule="auto"/>
        <w:ind w:left="709"/>
        <w:jc w:val="both"/>
        <w:rPr>
          <w:rFonts w:ascii="Arial" w:hAnsi="Arial" w:cs="Arial"/>
          <w:lang w:val="en-GB"/>
        </w:rPr>
      </w:pPr>
      <w:r w:rsidRPr="00A412E9">
        <w:rPr>
          <w:rFonts w:ascii="Arial" w:hAnsi="Arial" w:cs="Arial"/>
          <w:lang w:val="en-GB"/>
        </w:rPr>
        <w:t>T</w:t>
      </w:r>
      <w:r w:rsidR="00A65E11" w:rsidRPr="00A412E9">
        <w:rPr>
          <w:rFonts w:ascii="Arial" w:hAnsi="Arial" w:cs="Arial"/>
          <w:lang w:val="en-GB"/>
        </w:rPr>
        <w:t>he information of those mat</w:t>
      </w:r>
      <w:r w:rsidR="007C5A4B" w:rsidRPr="00A412E9">
        <w:rPr>
          <w:rFonts w:ascii="Arial" w:hAnsi="Arial" w:cs="Arial"/>
          <w:lang w:val="en-GB"/>
        </w:rPr>
        <w:t xml:space="preserve">rices </w:t>
      </w:r>
      <w:r w:rsidR="0033530F" w:rsidRPr="00A412E9">
        <w:rPr>
          <w:rFonts w:ascii="Arial" w:hAnsi="Arial" w:cs="Arial"/>
          <w:lang w:val="en-GB"/>
        </w:rPr>
        <w:t xml:space="preserve">(or its resume, indeed) </w:t>
      </w:r>
      <w:r w:rsidR="007C5A4B" w:rsidRPr="00A412E9">
        <w:rPr>
          <w:rFonts w:ascii="Arial" w:hAnsi="Arial" w:cs="Arial"/>
          <w:lang w:val="en-GB"/>
        </w:rPr>
        <w:t>are included in the EREs (</w:t>
      </w:r>
      <w:r w:rsidR="00A65E11" w:rsidRPr="00A412E9">
        <w:rPr>
          <w:rFonts w:ascii="Arial" w:hAnsi="Arial" w:cs="Arial"/>
          <w:lang w:val="en-GB"/>
        </w:rPr>
        <w:t>supply and use balances</w:t>
      </w:r>
      <w:r w:rsidR="007C5A4B" w:rsidRPr="00A412E9">
        <w:rPr>
          <w:rFonts w:ascii="Arial" w:hAnsi="Arial" w:cs="Arial"/>
          <w:lang w:val="en-GB"/>
        </w:rPr>
        <w:t>)</w:t>
      </w:r>
      <w:r w:rsidR="00A65E11" w:rsidRPr="00A412E9">
        <w:rPr>
          <w:rFonts w:ascii="Arial" w:hAnsi="Arial" w:cs="Arial"/>
          <w:lang w:val="en-GB"/>
        </w:rPr>
        <w:t xml:space="preserve"> </w:t>
      </w:r>
      <w:r w:rsidR="007C5A4B" w:rsidRPr="00A412E9">
        <w:rPr>
          <w:rFonts w:ascii="Arial" w:hAnsi="Arial" w:cs="Arial"/>
          <w:lang w:val="en-GB"/>
        </w:rPr>
        <w:t xml:space="preserve">prepared </w:t>
      </w:r>
      <w:r w:rsidR="00A65E11" w:rsidRPr="00A412E9">
        <w:rPr>
          <w:rFonts w:ascii="Arial" w:hAnsi="Arial" w:cs="Arial"/>
          <w:lang w:val="en-GB"/>
        </w:rPr>
        <w:t>for each product</w:t>
      </w:r>
      <w:r w:rsidR="0033530F" w:rsidRPr="00A412E9">
        <w:rPr>
          <w:rFonts w:ascii="Arial" w:hAnsi="Arial" w:cs="Arial"/>
          <w:lang w:val="en-GB"/>
        </w:rPr>
        <w:t>,</w:t>
      </w:r>
      <w:r w:rsidR="00E12FC2" w:rsidRPr="00A412E9">
        <w:rPr>
          <w:rFonts w:ascii="Arial" w:hAnsi="Arial" w:cs="Arial"/>
          <w:lang w:val="en-GB"/>
        </w:rPr>
        <w:t xml:space="preserve"> year</w:t>
      </w:r>
      <w:r w:rsidR="00A34FB8" w:rsidRPr="00A412E9">
        <w:rPr>
          <w:rFonts w:ascii="Arial" w:hAnsi="Arial" w:cs="Arial"/>
          <w:lang w:val="en-GB"/>
        </w:rPr>
        <w:t>ly</w:t>
      </w:r>
      <w:r w:rsidR="00A65E11" w:rsidRPr="00A412E9">
        <w:rPr>
          <w:rFonts w:ascii="Arial" w:hAnsi="Arial" w:cs="Arial"/>
          <w:lang w:val="en-GB"/>
        </w:rPr>
        <w:t>.</w:t>
      </w:r>
    </w:p>
    <w:p w:rsidR="00C8089B" w:rsidRDefault="0033530F" w:rsidP="00A65E11">
      <w:pPr>
        <w:spacing w:line="360" w:lineRule="auto"/>
        <w:ind w:left="709"/>
        <w:jc w:val="both"/>
        <w:rPr>
          <w:rFonts w:ascii="Arial" w:hAnsi="Arial" w:cs="Arial"/>
          <w:lang w:val="en-GB"/>
        </w:rPr>
      </w:pPr>
      <w:r w:rsidRPr="00A412E9">
        <w:rPr>
          <w:rFonts w:ascii="Arial" w:hAnsi="Arial" w:cs="Arial"/>
          <w:lang w:val="en-GB"/>
        </w:rPr>
        <w:t>However, EREs include</w:t>
      </w:r>
      <w:r w:rsidR="007C5A4B" w:rsidRPr="00A412E9">
        <w:rPr>
          <w:rFonts w:ascii="Arial" w:hAnsi="Arial" w:cs="Arial"/>
          <w:lang w:val="en-GB"/>
        </w:rPr>
        <w:t xml:space="preserve"> </w:t>
      </w:r>
      <w:r w:rsidR="003A5095" w:rsidRPr="00A412E9">
        <w:rPr>
          <w:rFonts w:ascii="Arial" w:hAnsi="Arial" w:cs="Arial"/>
          <w:lang w:val="en-GB"/>
        </w:rPr>
        <w:t xml:space="preserve">other </w:t>
      </w:r>
      <w:r w:rsidR="007C5A4B" w:rsidRPr="00A412E9">
        <w:rPr>
          <w:rFonts w:ascii="Arial" w:hAnsi="Arial" w:cs="Arial"/>
          <w:lang w:val="en-GB"/>
        </w:rPr>
        <w:t xml:space="preserve">kind of information, as may be seen in Figure </w:t>
      </w:r>
      <w:r w:rsidR="009A4B0F">
        <w:rPr>
          <w:rFonts w:ascii="Arial" w:hAnsi="Arial" w:cs="Arial"/>
          <w:lang w:val="en-GB"/>
        </w:rPr>
        <w:t>8</w:t>
      </w:r>
      <w:r w:rsidR="007C5A4B" w:rsidRPr="00A412E9">
        <w:rPr>
          <w:rFonts w:ascii="Arial" w:hAnsi="Arial" w:cs="Arial"/>
          <w:lang w:val="en-GB"/>
        </w:rPr>
        <w:t xml:space="preserve">.  </w:t>
      </w:r>
    </w:p>
    <w:p w:rsidR="003A5095" w:rsidRPr="00A412E9" w:rsidRDefault="0033530F" w:rsidP="00A65E11">
      <w:pPr>
        <w:spacing w:line="360" w:lineRule="auto"/>
        <w:ind w:left="709"/>
        <w:jc w:val="both"/>
        <w:rPr>
          <w:rFonts w:ascii="Arial" w:hAnsi="Arial" w:cs="Arial"/>
          <w:lang w:val="en-GB"/>
        </w:rPr>
      </w:pPr>
      <w:r w:rsidRPr="00A412E9">
        <w:rPr>
          <w:rFonts w:ascii="Arial" w:hAnsi="Arial" w:cs="Arial"/>
          <w:lang w:val="en-GB"/>
        </w:rPr>
        <w:t>The m</w:t>
      </w:r>
      <w:r w:rsidR="00EF0B2E" w:rsidRPr="00A412E9">
        <w:rPr>
          <w:rFonts w:ascii="Arial" w:hAnsi="Arial" w:cs="Arial"/>
          <w:lang w:val="en-GB"/>
        </w:rPr>
        <w:t>ain features of EREs are the following:</w:t>
      </w:r>
    </w:p>
    <w:p w:rsidR="00EF0B2E" w:rsidRPr="00A412E9" w:rsidRDefault="00EF0B2E" w:rsidP="00A65E11">
      <w:pPr>
        <w:spacing w:line="360" w:lineRule="auto"/>
        <w:ind w:left="709"/>
        <w:jc w:val="both"/>
        <w:rPr>
          <w:rFonts w:ascii="Arial" w:hAnsi="Arial" w:cs="Arial"/>
          <w:lang w:val="en-GB"/>
        </w:rPr>
      </w:pPr>
      <w:r w:rsidRPr="00A412E9">
        <w:rPr>
          <w:rFonts w:ascii="Arial" w:hAnsi="Arial" w:cs="Arial"/>
          <w:lang w:val="en-GB"/>
        </w:rPr>
        <w:t>EREs combine all information on supply and uses for a certain product and p</w:t>
      </w:r>
      <w:r w:rsidR="0033530F" w:rsidRPr="00A412E9">
        <w:rPr>
          <w:rFonts w:ascii="Arial" w:hAnsi="Arial" w:cs="Arial"/>
          <w:lang w:val="en-GB"/>
        </w:rPr>
        <w:t>eriod of time (year N</w:t>
      </w:r>
      <w:r w:rsidRPr="00A412E9">
        <w:rPr>
          <w:rFonts w:ascii="Arial" w:hAnsi="Arial" w:cs="Arial"/>
          <w:lang w:val="en-GB"/>
        </w:rPr>
        <w:t>, by hypothesis)</w:t>
      </w:r>
      <w:r w:rsidR="00C23F1E">
        <w:rPr>
          <w:rFonts w:ascii="Arial" w:hAnsi="Arial" w:cs="Arial"/>
          <w:lang w:val="en-GB"/>
        </w:rPr>
        <w:t xml:space="preserve"> and the previous one</w:t>
      </w:r>
      <w:r w:rsidR="008757A4">
        <w:rPr>
          <w:rFonts w:ascii="Arial" w:hAnsi="Arial" w:cs="Arial"/>
          <w:lang w:val="en-GB"/>
        </w:rPr>
        <w:t xml:space="preserve"> (N-1)</w:t>
      </w:r>
      <w:r w:rsidR="00C23F1E">
        <w:rPr>
          <w:rFonts w:ascii="Arial" w:hAnsi="Arial" w:cs="Arial"/>
          <w:lang w:val="en-GB"/>
        </w:rPr>
        <w:t>:</w:t>
      </w:r>
      <w:r w:rsidRPr="00A412E9">
        <w:rPr>
          <w:rFonts w:ascii="Arial" w:hAnsi="Arial" w:cs="Arial"/>
          <w:lang w:val="en-GB"/>
        </w:rPr>
        <w:t xml:space="preserve"> </w:t>
      </w:r>
      <w:r w:rsidR="009A4B0F">
        <w:rPr>
          <w:rFonts w:ascii="Arial" w:hAnsi="Arial" w:cs="Arial"/>
          <w:lang w:val="en-GB"/>
        </w:rPr>
        <w:t>takes in consideration</w:t>
      </w:r>
      <w:r w:rsidRPr="00A412E9">
        <w:rPr>
          <w:rFonts w:ascii="Arial" w:hAnsi="Arial" w:cs="Arial"/>
          <w:lang w:val="en-GB"/>
        </w:rPr>
        <w:t xml:space="preserve"> the correspondent information </w:t>
      </w:r>
      <w:r w:rsidR="009A4B0F">
        <w:rPr>
          <w:rFonts w:ascii="Arial" w:hAnsi="Arial" w:cs="Arial"/>
          <w:lang w:val="en-GB"/>
        </w:rPr>
        <w:t>of</w:t>
      </w:r>
      <w:r w:rsidRPr="00A412E9">
        <w:rPr>
          <w:rFonts w:ascii="Arial" w:hAnsi="Arial" w:cs="Arial"/>
          <w:lang w:val="en-GB"/>
        </w:rPr>
        <w:t xml:space="preserve"> the precedent period (</w:t>
      </w:r>
      <w:r w:rsidR="0033530F" w:rsidRPr="00A412E9">
        <w:rPr>
          <w:rFonts w:ascii="Arial" w:hAnsi="Arial" w:cs="Arial"/>
          <w:lang w:val="en-GB"/>
        </w:rPr>
        <w:t>N</w:t>
      </w:r>
      <w:r w:rsidRPr="00A412E9">
        <w:rPr>
          <w:rFonts w:ascii="Arial" w:hAnsi="Arial" w:cs="Arial"/>
          <w:lang w:val="en-GB"/>
        </w:rPr>
        <w:t>-1)</w:t>
      </w:r>
      <w:r w:rsidR="009A4B0F">
        <w:rPr>
          <w:rFonts w:ascii="Arial" w:hAnsi="Arial" w:cs="Arial"/>
          <w:lang w:val="en-GB"/>
        </w:rPr>
        <w:t>, collects (or estimates) the values for the year N</w:t>
      </w:r>
      <w:r w:rsidRPr="00A412E9">
        <w:rPr>
          <w:rFonts w:ascii="Arial" w:hAnsi="Arial" w:cs="Arial"/>
          <w:lang w:val="en-GB"/>
        </w:rPr>
        <w:t xml:space="preserve"> and estimates </w:t>
      </w:r>
      <w:r w:rsidR="009A4B0F">
        <w:rPr>
          <w:rFonts w:ascii="Arial" w:hAnsi="Arial" w:cs="Arial"/>
          <w:lang w:val="en-GB"/>
        </w:rPr>
        <w:t xml:space="preserve">the correspondent value of </w:t>
      </w:r>
      <w:r w:rsidRPr="00A412E9">
        <w:rPr>
          <w:rFonts w:ascii="Arial" w:hAnsi="Arial" w:cs="Arial"/>
          <w:lang w:val="en-GB"/>
        </w:rPr>
        <w:t>that same</w:t>
      </w:r>
      <w:r w:rsidR="0033530F" w:rsidRPr="00A412E9">
        <w:rPr>
          <w:rFonts w:ascii="Arial" w:hAnsi="Arial" w:cs="Arial"/>
          <w:lang w:val="en-GB"/>
        </w:rPr>
        <w:t xml:space="preserve"> item at prices of the year N</w:t>
      </w:r>
      <w:r w:rsidR="00E12FC2" w:rsidRPr="00A412E9">
        <w:rPr>
          <w:rFonts w:ascii="Arial" w:hAnsi="Arial" w:cs="Arial"/>
          <w:lang w:val="en-GB"/>
        </w:rPr>
        <w:t xml:space="preserve">-1; therefore, the related indexes (value or nominal index, price index and volume or real index) may be always </w:t>
      </w:r>
      <w:r w:rsidR="009A4B0F">
        <w:rPr>
          <w:rFonts w:ascii="Arial" w:hAnsi="Arial" w:cs="Arial"/>
          <w:lang w:val="en-GB"/>
        </w:rPr>
        <w:t>determined</w:t>
      </w:r>
      <w:r w:rsidR="00A90090">
        <w:rPr>
          <w:rFonts w:ascii="Arial" w:hAnsi="Arial" w:cs="Arial"/>
          <w:lang w:val="en-GB"/>
        </w:rPr>
        <w:t>, one of them becoming implicit.</w:t>
      </w:r>
      <w:r w:rsidR="009A4B0F">
        <w:rPr>
          <w:rFonts w:ascii="Arial" w:hAnsi="Arial" w:cs="Arial"/>
          <w:lang w:val="en-GB"/>
        </w:rPr>
        <w:t xml:space="preserve"> I</w:t>
      </w:r>
      <w:r w:rsidR="0047041E">
        <w:rPr>
          <w:rFonts w:ascii="Arial" w:hAnsi="Arial" w:cs="Arial"/>
          <w:lang w:val="en-GB"/>
        </w:rPr>
        <w:t>n fact</w:t>
      </w:r>
      <w:r w:rsidR="009A4B0F">
        <w:rPr>
          <w:rFonts w:ascii="Arial" w:hAnsi="Arial" w:cs="Arial"/>
          <w:lang w:val="en-GB"/>
        </w:rPr>
        <w:t xml:space="preserve">, </w:t>
      </w:r>
      <w:r w:rsidR="0047041E">
        <w:rPr>
          <w:rFonts w:ascii="Arial" w:hAnsi="Arial" w:cs="Arial"/>
          <w:lang w:val="en-GB"/>
        </w:rPr>
        <w:t xml:space="preserve">the calculation of </w:t>
      </w:r>
      <w:r w:rsidR="00D252B8">
        <w:rPr>
          <w:rFonts w:ascii="Arial" w:hAnsi="Arial" w:cs="Arial"/>
          <w:lang w:val="en-GB"/>
        </w:rPr>
        <w:t xml:space="preserve">the </w:t>
      </w:r>
      <w:r w:rsidR="0047041E">
        <w:rPr>
          <w:rFonts w:ascii="Arial" w:hAnsi="Arial" w:cs="Arial"/>
          <w:lang w:val="en-GB"/>
        </w:rPr>
        <w:t>index</w:t>
      </w:r>
      <w:r w:rsidR="00D252B8">
        <w:rPr>
          <w:rFonts w:ascii="Arial" w:hAnsi="Arial" w:cs="Arial"/>
          <w:lang w:val="en-GB"/>
        </w:rPr>
        <w:t>es</w:t>
      </w:r>
      <w:r w:rsidR="0047041E">
        <w:rPr>
          <w:rFonts w:ascii="Arial" w:hAnsi="Arial" w:cs="Arial"/>
          <w:lang w:val="en-GB"/>
        </w:rPr>
        <w:t xml:space="preserve"> may put in evidence the coherence </w:t>
      </w:r>
      <w:r w:rsidR="00A90090">
        <w:rPr>
          <w:rFonts w:ascii="Arial" w:hAnsi="Arial" w:cs="Arial"/>
          <w:lang w:val="en-GB"/>
        </w:rPr>
        <w:t>(or incoherence) of the results.</w:t>
      </w:r>
    </w:p>
    <w:p w:rsidR="007C5A4B" w:rsidRPr="00A412E9" w:rsidRDefault="00E12FC2" w:rsidP="00A65E11">
      <w:pPr>
        <w:spacing w:line="360" w:lineRule="auto"/>
        <w:ind w:left="709"/>
        <w:jc w:val="both"/>
        <w:rPr>
          <w:rFonts w:ascii="Arial" w:hAnsi="Arial" w:cs="Arial"/>
          <w:lang w:val="en-GB"/>
        </w:rPr>
      </w:pPr>
      <w:r w:rsidRPr="00A412E9">
        <w:rPr>
          <w:rFonts w:ascii="Arial" w:hAnsi="Arial" w:cs="Arial"/>
          <w:lang w:val="en-GB"/>
        </w:rPr>
        <w:t>The information on supply includes output at basic prices, with origin in the output matrix, and i</w:t>
      </w:r>
      <w:r w:rsidR="0033530F" w:rsidRPr="00A412E9">
        <w:rPr>
          <w:rFonts w:ascii="Arial" w:hAnsi="Arial" w:cs="Arial"/>
          <w:lang w:val="en-GB"/>
        </w:rPr>
        <w:t xml:space="preserve">mports. This item </w:t>
      </w:r>
      <w:r w:rsidRPr="00A412E9">
        <w:rPr>
          <w:rFonts w:ascii="Arial" w:hAnsi="Arial" w:cs="Arial"/>
          <w:lang w:val="en-GB"/>
        </w:rPr>
        <w:t>presents a large number of sub-items which</w:t>
      </w:r>
      <w:r w:rsidR="000672E1" w:rsidRPr="00A412E9">
        <w:rPr>
          <w:rFonts w:ascii="Arial" w:hAnsi="Arial" w:cs="Arial"/>
          <w:lang w:val="en-GB"/>
        </w:rPr>
        <w:t xml:space="preserve"> are necessary </w:t>
      </w:r>
      <w:r w:rsidR="009E1316" w:rsidRPr="00A412E9">
        <w:rPr>
          <w:rFonts w:ascii="Arial" w:hAnsi="Arial" w:cs="Arial"/>
          <w:lang w:val="en-GB"/>
        </w:rPr>
        <w:t>in part</w:t>
      </w:r>
      <w:r w:rsidR="000672E1" w:rsidRPr="00A412E9">
        <w:rPr>
          <w:rFonts w:ascii="Arial" w:hAnsi="Arial" w:cs="Arial"/>
          <w:lang w:val="en-GB"/>
        </w:rPr>
        <w:t xml:space="preserve"> due to EU requirements - it is the case of the split of imports of goo</w:t>
      </w:r>
      <w:r w:rsidR="0033530F" w:rsidRPr="00A412E9">
        <w:rPr>
          <w:rFonts w:ascii="Arial" w:hAnsi="Arial" w:cs="Arial"/>
          <w:lang w:val="en-GB"/>
        </w:rPr>
        <w:t>ds and of services</w:t>
      </w:r>
      <w:r w:rsidR="00D252B8">
        <w:rPr>
          <w:rFonts w:ascii="Arial" w:hAnsi="Arial" w:cs="Arial"/>
          <w:lang w:val="en-GB"/>
        </w:rPr>
        <w:t xml:space="preserve"> or</w:t>
      </w:r>
      <w:r w:rsidR="0033530F" w:rsidRPr="00A412E9">
        <w:rPr>
          <w:rFonts w:ascii="Arial" w:hAnsi="Arial" w:cs="Arial"/>
          <w:lang w:val="en-GB"/>
        </w:rPr>
        <w:t xml:space="preserve"> the intra and</w:t>
      </w:r>
      <w:r w:rsidR="000672E1" w:rsidRPr="00A412E9">
        <w:rPr>
          <w:rFonts w:ascii="Arial" w:hAnsi="Arial" w:cs="Arial"/>
          <w:lang w:val="en-GB"/>
        </w:rPr>
        <w:t xml:space="preserve"> extra EU trade. Supply-side of EREs includes also the total of the different valuation items, coherent with use-s</w:t>
      </w:r>
      <w:r w:rsidR="00981DB3" w:rsidRPr="00A412E9">
        <w:rPr>
          <w:rFonts w:ascii="Arial" w:hAnsi="Arial" w:cs="Arial"/>
          <w:lang w:val="en-GB"/>
        </w:rPr>
        <w:t xml:space="preserve">ide and that allow </w:t>
      </w:r>
      <w:r w:rsidR="0033530F" w:rsidRPr="00A412E9">
        <w:rPr>
          <w:rFonts w:ascii="Arial" w:hAnsi="Arial" w:cs="Arial"/>
          <w:lang w:val="en-GB"/>
        </w:rPr>
        <w:t>the evaluation</w:t>
      </w:r>
      <w:r w:rsidR="00981DB3" w:rsidRPr="00A412E9">
        <w:rPr>
          <w:rFonts w:ascii="Arial" w:hAnsi="Arial" w:cs="Arial"/>
          <w:lang w:val="en-GB"/>
        </w:rPr>
        <w:t xml:space="preserve"> </w:t>
      </w:r>
      <w:r w:rsidR="009E1316" w:rsidRPr="00A412E9">
        <w:rPr>
          <w:rFonts w:ascii="Arial" w:hAnsi="Arial" w:cs="Arial"/>
          <w:lang w:val="en-GB"/>
        </w:rPr>
        <w:t xml:space="preserve">of </w:t>
      </w:r>
      <w:r w:rsidR="000672E1" w:rsidRPr="00A412E9">
        <w:rPr>
          <w:rFonts w:ascii="Arial" w:hAnsi="Arial" w:cs="Arial"/>
          <w:lang w:val="en-GB"/>
        </w:rPr>
        <w:t xml:space="preserve">the </w:t>
      </w:r>
      <w:r w:rsidR="00981DB3" w:rsidRPr="00A412E9">
        <w:rPr>
          <w:rFonts w:ascii="Arial" w:hAnsi="Arial" w:cs="Arial"/>
          <w:lang w:val="en-GB"/>
        </w:rPr>
        <w:t>whole</w:t>
      </w:r>
      <w:r w:rsidR="000672E1" w:rsidRPr="00A412E9">
        <w:rPr>
          <w:rFonts w:ascii="Arial" w:hAnsi="Arial" w:cs="Arial"/>
          <w:lang w:val="en-GB"/>
        </w:rPr>
        <w:t xml:space="preserve"> resources at purchasers’ price.</w:t>
      </w:r>
    </w:p>
    <w:p w:rsidR="007C3736" w:rsidRPr="00A412E9" w:rsidRDefault="00AC4C85" w:rsidP="00A65E11">
      <w:pPr>
        <w:spacing w:line="360" w:lineRule="auto"/>
        <w:ind w:left="709"/>
        <w:jc w:val="both"/>
        <w:rPr>
          <w:rFonts w:ascii="Arial" w:hAnsi="Arial" w:cs="Arial"/>
          <w:lang w:val="en-GB"/>
        </w:rPr>
      </w:pPr>
      <w:r w:rsidRPr="00A412E9">
        <w:rPr>
          <w:rFonts w:ascii="Arial" w:hAnsi="Arial" w:cs="Arial"/>
          <w:lang w:val="en-GB"/>
        </w:rPr>
        <w:t>The use-side of the EREs detail</w:t>
      </w:r>
      <w:r w:rsidR="0033530F" w:rsidRPr="00A412E9">
        <w:rPr>
          <w:rFonts w:ascii="Arial" w:hAnsi="Arial" w:cs="Arial"/>
          <w:lang w:val="en-GB"/>
        </w:rPr>
        <w:t>s</w:t>
      </w:r>
      <w:r w:rsidRPr="00A412E9">
        <w:rPr>
          <w:rFonts w:ascii="Arial" w:hAnsi="Arial" w:cs="Arial"/>
          <w:lang w:val="en-GB"/>
        </w:rPr>
        <w:t xml:space="preserve"> all the intermediate and final uses of the same product, including all the valuation items that make possible to pass from basic prices to purchaser’s prices, or </w:t>
      </w:r>
      <w:r w:rsidRPr="00A412E9">
        <w:rPr>
          <w:rFonts w:ascii="Arial" w:hAnsi="Arial" w:cs="Arial"/>
          <w:i/>
          <w:lang w:val="en-GB"/>
        </w:rPr>
        <w:t>vice versa</w:t>
      </w:r>
      <w:r w:rsidRPr="00A412E9">
        <w:rPr>
          <w:rFonts w:ascii="Arial" w:hAnsi="Arial" w:cs="Arial"/>
          <w:lang w:val="en-GB"/>
        </w:rPr>
        <w:t xml:space="preserve">. </w:t>
      </w:r>
    </w:p>
    <w:p w:rsidR="00E16CA1" w:rsidRDefault="00AC4C85" w:rsidP="00E16CA1">
      <w:pPr>
        <w:spacing w:line="360" w:lineRule="auto"/>
        <w:ind w:left="709"/>
        <w:jc w:val="both"/>
        <w:rPr>
          <w:rFonts w:ascii="Arial" w:hAnsi="Arial" w:cs="Arial"/>
          <w:lang w:val="en-GB"/>
        </w:rPr>
      </w:pPr>
      <w:r w:rsidRPr="00A412E9">
        <w:rPr>
          <w:rFonts w:ascii="Arial" w:hAnsi="Arial" w:cs="Arial"/>
          <w:lang w:val="en-GB"/>
        </w:rPr>
        <w:t xml:space="preserve">In the case of IC, that information has normally origin in the IC matrix, as above referred. </w:t>
      </w:r>
      <w:r w:rsidR="00E16CA1">
        <w:rPr>
          <w:rFonts w:ascii="Arial" w:hAnsi="Arial" w:cs="Arial"/>
          <w:lang w:val="en-GB"/>
        </w:rPr>
        <w:t>Th</w:t>
      </w:r>
      <w:r w:rsidR="00FB03FA">
        <w:rPr>
          <w:rFonts w:ascii="Arial" w:hAnsi="Arial" w:cs="Arial"/>
          <w:lang w:val="en-GB"/>
        </w:rPr>
        <w:t>e fact is that, under this item</w:t>
      </w:r>
      <w:r w:rsidR="00E16CA1">
        <w:rPr>
          <w:rFonts w:ascii="Arial" w:hAnsi="Arial" w:cs="Arial"/>
          <w:lang w:val="en-GB"/>
        </w:rPr>
        <w:t xml:space="preserve"> in particular, there is </w:t>
      </w:r>
      <w:r w:rsidR="0042376F">
        <w:rPr>
          <w:rFonts w:ascii="Arial" w:hAnsi="Arial" w:cs="Arial"/>
          <w:lang w:val="en-GB"/>
        </w:rPr>
        <w:t xml:space="preserve">often </w:t>
      </w:r>
      <w:r w:rsidR="003B00B5">
        <w:rPr>
          <w:rFonts w:ascii="Arial" w:hAnsi="Arial" w:cs="Arial"/>
          <w:lang w:val="en-GB"/>
        </w:rPr>
        <w:t>a</w:t>
      </w:r>
      <w:r w:rsidR="00E16CA1">
        <w:rPr>
          <w:rFonts w:ascii="Arial" w:hAnsi="Arial" w:cs="Arial"/>
          <w:lang w:val="en-GB"/>
        </w:rPr>
        <w:t xml:space="preserve"> </w:t>
      </w:r>
      <w:r w:rsidR="0042376F">
        <w:rPr>
          <w:rFonts w:ascii="Arial" w:hAnsi="Arial" w:cs="Arial"/>
          <w:lang w:val="en-GB"/>
        </w:rPr>
        <w:t>huge</w:t>
      </w:r>
      <w:r w:rsidR="00E16CA1">
        <w:rPr>
          <w:rFonts w:ascii="Arial" w:hAnsi="Arial" w:cs="Arial"/>
          <w:lang w:val="en-GB"/>
        </w:rPr>
        <w:t xml:space="preserve"> </w:t>
      </w:r>
      <w:r w:rsidR="00FB03FA">
        <w:rPr>
          <w:rFonts w:ascii="Arial" w:hAnsi="Arial" w:cs="Arial"/>
          <w:lang w:val="en-GB"/>
        </w:rPr>
        <w:t xml:space="preserve">work </w:t>
      </w:r>
      <w:r w:rsidR="0042376F">
        <w:rPr>
          <w:rFonts w:ascii="Arial" w:hAnsi="Arial" w:cs="Arial"/>
          <w:lang w:val="en-GB"/>
        </w:rPr>
        <w:t xml:space="preserve">of analysis, comparison and validation of </w:t>
      </w:r>
      <w:r w:rsidR="002E0DAD">
        <w:rPr>
          <w:rFonts w:ascii="Arial" w:hAnsi="Arial" w:cs="Arial"/>
          <w:lang w:val="en-GB"/>
        </w:rPr>
        <w:t>the collected and</w:t>
      </w:r>
      <w:r w:rsidR="0042376F">
        <w:rPr>
          <w:rFonts w:ascii="Arial" w:hAnsi="Arial" w:cs="Arial"/>
          <w:lang w:val="en-GB"/>
        </w:rPr>
        <w:t xml:space="preserve"> e</w:t>
      </w:r>
      <w:r w:rsidR="00E16CA1">
        <w:rPr>
          <w:rFonts w:ascii="Arial" w:hAnsi="Arial" w:cs="Arial"/>
          <w:lang w:val="en-GB"/>
        </w:rPr>
        <w:t>stimat</w:t>
      </w:r>
      <w:r w:rsidR="0042376F">
        <w:rPr>
          <w:rFonts w:ascii="Arial" w:hAnsi="Arial" w:cs="Arial"/>
          <w:lang w:val="en-GB"/>
        </w:rPr>
        <w:t>ed data</w:t>
      </w:r>
      <w:r w:rsidR="002E0DAD">
        <w:rPr>
          <w:rFonts w:ascii="Arial" w:hAnsi="Arial" w:cs="Arial"/>
          <w:lang w:val="en-GB"/>
        </w:rPr>
        <w:t xml:space="preserve"> for a certain product (or industry, depending on the perspective)</w:t>
      </w:r>
      <w:r w:rsidR="00FB03FA">
        <w:rPr>
          <w:rFonts w:ascii="Arial" w:hAnsi="Arial" w:cs="Arial"/>
          <w:lang w:val="en-GB"/>
        </w:rPr>
        <w:t>. This includes the perception</w:t>
      </w:r>
      <w:r w:rsidR="008F6DA3">
        <w:rPr>
          <w:rFonts w:ascii="Arial" w:hAnsi="Arial" w:cs="Arial"/>
          <w:lang w:val="en-GB"/>
        </w:rPr>
        <w:t>,</w:t>
      </w:r>
      <w:r w:rsidR="002E0DAD">
        <w:rPr>
          <w:rFonts w:ascii="Arial" w:hAnsi="Arial" w:cs="Arial"/>
          <w:lang w:val="en-GB"/>
        </w:rPr>
        <w:t xml:space="preserve"> and its confirmation</w:t>
      </w:r>
      <w:r w:rsidR="008F6DA3">
        <w:rPr>
          <w:rFonts w:ascii="Arial" w:hAnsi="Arial" w:cs="Arial"/>
          <w:lang w:val="en-GB"/>
        </w:rPr>
        <w:t>,</w:t>
      </w:r>
      <w:r w:rsidR="002E0DAD">
        <w:rPr>
          <w:rFonts w:ascii="Arial" w:hAnsi="Arial" w:cs="Arial"/>
          <w:lang w:val="en-GB"/>
        </w:rPr>
        <w:t xml:space="preserve"> </w:t>
      </w:r>
      <w:r w:rsidR="00FB03FA">
        <w:rPr>
          <w:rFonts w:ascii="Arial" w:hAnsi="Arial" w:cs="Arial"/>
          <w:lang w:val="en-GB"/>
        </w:rPr>
        <w:t>of the prevalent changes</w:t>
      </w:r>
      <w:r w:rsidR="008F6DA3">
        <w:rPr>
          <w:rFonts w:ascii="Arial" w:hAnsi="Arial" w:cs="Arial"/>
          <w:lang w:val="en-GB"/>
        </w:rPr>
        <w:t xml:space="preserve"> (and its degree)</w:t>
      </w:r>
      <w:r w:rsidR="00FB03FA">
        <w:rPr>
          <w:rFonts w:ascii="Arial" w:hAnsi="Arial" w:cs="Arial"/>
          <w:lang w:val="en-GB"/>
        </w:rPr>
        <w:t xml:space="preserve">, </w:t>
      </w:r>
      <w:r w:rsidR="002E0DAD">
        <w:rPr>
          <w:rFonts w:ascii="Arial" w:hAnsi="Arial" w:cs="Arial"/>
          <w:lang w:val="en-GB"/>
        </w:rPr>
        <w:t>either volume or</w:t>
      </w:r>
      <w:r w:rsidR="00287131">
        <w:rPr>
          <w:rFonts w:ascii="Arial" w:hAnsi="Arial" w:cs="Arial"/>
          <w:lang w:val="en-GB"/>
        </w:rPr>
        <w:t xml:space="preserve"> prices</w:t>
      </w:r>
      <w:r w:rsidR="0042376F">
        <w:rPr>
          <w:rFonts w:ascii="Arial" w:hAnsi="Arial" w:cs="Arial"/>
          <w:lang w:val="en-GB"/>
        </w:rPr>
        <w:t xml:space="preserve"> variation</w:t>
      </w:r>
      <w:r w:rsidR="002E0DAD">
        <w:rPr>
          <w:rFonts w:ascii="Arial" w:hAnsi="Arial" w:cs="Arial"/>
          <w:lang w:val="en-GB"/>
        </w:rPr>
        <w:t>s</w:t>
      </w:r>
      <w:r w:rsidR="008757A4">
        <w:rPr>
          <w:rFonts w:ascii="Arial" w:hAnsi="Arial" w:cs="Arial"/>
          <w:lang w:val="en-GB"/>
        </w:rPr>
        <w:t>, of the anchor items</w:t>
      </w:r>
      <w:r w:rsidR="002E0DAD">
        <w:rPr>
          <w:rFonts w:ascii="Arial" w:hAnsi="Arial" w:cs="Arial"/>
          <w:lang w:val="en-GB"/>
        </w:rPr>
        <w:t xml:space="preserve">, </w:t>
      </w:r>
    </w:p>
    <w:p w:rsidR="00356644" w:rsidRPr="00A412E9" w:rsidRDefault="00AC4C85" w:rsidP="00356644">
      <w:pPr>
        <w:spacing w:line="360" w:lineRule="auto"/>
        <w:ind w:left="709"/>
        <w:jc w:val="both"/>
        <w:rPr>
          <w:rFonts w:ascii="Arial" w:hAnsi="Arial" w:cs="Arial"/>
          <w:lang w:val="en-GB"/>
        </w:rPr>
      </w:pPr>
      <w:r w:rsidRPr="00A412E9">
        <w:rPr>
          <w:rFonts w:ascii="Arial" w:hAnsi="Arial" w:cs="Arial"/>
          <w:lang w:val="en-GB"/>
        </w:rPr>
        <w:t xml:space="preserve">The other uses </w:t>
      </w:r>
      <w:r w:rsidR="0033530F" w:rsidRPr="00A412E9">
        <w:rPr>
          <w:rFonts w:ascii="Arial" w:hAnsi="Arial" w:cs="Arial"/>
          <w:lang w:val="en-GB"/>
        </w:rPr>
        <w:t xml:space="preserve">become from several sources </w:t>
      </w:r>
      <w:r w:rsidR="00C47C73" w:rsidRPr="00A412E9">
        <w:rPr>
          <w:rFonts w:ascii="Arial" w:hAnsi="Arial" w:cs="Arial"/>
          <w:lang w:val="en-GB"/>
        </w:rPr>
        <w:t xml:space="preserve">or further NA estimations. </w:t>
      </w:r>
      <w:r w:rsidR="00356644" w:rsidRPr="00A412E9">
        <w:rPr>
          <w:rFonts w:ascii="Arial" w:hAnsi="Arial" w:cs="Arial"/>
          <w:lang w:val="en-GB"/>
        </w:rPr>
        <w:t>In the case of Exports, the features and remarks upon are similar to those of the Imports.</w:t>
      </w:r>
    </w:p>
    <w:p w:rsidR="00C152C9" w:rsidRPr="00A412E9" w:rsidRDefault="00C152C9" w:rsidP="00A65E11">
      <w:pPr>
        <w:spacing w:line="360" w:lineRule="auto"/>
        <w:ind w:left="709"/>
        <w:jc w:val="both"/>
        <w:rPr>
          <w:rFonts w:ascii="Arial" w:hAnsi="Arial" w:cs="Arial"/>
          <w:lang w:val="en-GB"/>
        </w:rPr>
      </w:pPr>
      <w:r w:rsidRPr="00A412E9">
        <w:rPr>
          <w:rFonts w:ascii="Arial" w:hAnsi="Arial" w:cs="Arial"/>
          <w:lang w:val="en-GB"/>
        </w:rPr>
        <w:lastRenderedPageBreak/>
        <w:t xml:space="preserve">Final </w:t>
      </w:r>
      <w:r w:rsidR="00356644" w:rsidRPr="00A412E9">
        <w:rPr>
          <w:rFonts w:ascii="Arial" w:hAnsi="Arial" w:cs="Arial"/>
          <w:lang w:val="en-GB"/>
        </w:rPr>
        <w:t>major uses are</w:t>
      </w:r>
      <w:r w:rsidRPr="00A412E9">
        <w:rPr>
          <w:rFonts w:ascii="Arial" w:hAnsi="Arial" w:cs="Arial"/>
          <w:lang w:val="en-GB"/>
        </w:rPr>
        <w:t xml:space="preserve"> the following: </w:t>
      </w:r>
    </w:p>
    <w:p w:rsidR="00C152C9" w:rsidRPr="00A412E9" w:rsidRDefault="00C152C9"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 xml:space="preserve">Expenditure </w:t>
      </w:r>
      <w:r w:rsidR="00356644" w:rsidRPr="00A412E9">
        <w:rPr>
          <w:rFonts w:ascii="Arial" w:hAnsi="Arial" w:cs="Arial"/>
          <w:lang w:val="en-GB"/>
        </w:rPr>
        <w:t xml:space="preserve">of households on </w:t>
      </w:r>
      <w:r w:rsidR="00DF18E8">
        <w:rPr>
          <w:rFonts w:ascii="Arial" w:hAnsi="Arial" w:cs="Arial"/>
          <w:lang w:val="en-GB"/>
        </w:rPr>
        <w:t xml:space="preserve">goods </w:t>
      </w:r>
      <w:r w:rsidR="00356644" w:rsidRPr="00A412E9">
        <w:rPr>
          <w:rFonts w:ascii="Arial" w:hAnsi="Arial" w:cs="Arial"/>
          <w:lang w:val="en-GB"/>
        </w:rPr>
        <w:t>and services, including margins and taxes;</w:t>
      </w:r>
    </w:p>
    <w:p w:rsidR="00C152C9"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General government final consumption expenditure, including margins and taxes;</w:t>
      </w:r>
    </w:p>
    <w:p w:rsidR="00C152C9"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NPISH final consumption expenditure, including margins and taxes;</w:t>
      </w:r>
    </w:p>
    <w:p w:rsidR="00C152C9"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GFCF, including margins and taxes;</w:t>
      </w:r>
    </w:p>
    <w:p w:rsidR="00356644"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ACOV (net acquisition of valuables) , including margins and taxes;</w:t>
      </w:r>
    </w:p>
    <w:p w:rsidR="00356644"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Changes of inventories, at basic prices / at purchasers’ prices;</w:t>
      </w:r>
    </w:p>
    <w:p w:rsidR="00C152C9" w:rsidRPr="00A412E9" w:rsidRDefault="00356644" w:rsidP="00C152C9">
      <w:pPr>
        <w:pStyle w:val="ListParagraph"/>
        <w:numPr>
          <w:ilvl w:val="0"/>
          <w:numId w:val="6"/>
        </w:numPr>
        <w:spacing w:line="360" w:lineRule="auto"/>
        <w:jc w:val="both"/>
        <w:rPr>
          <w:rFonts w:ascii="Arial" w:hAnsi="Arial" w:cs="Arial"/>
          <w:lang w:val="en-GB"/>
        </w:rPr>
      </w:pPr>
      <w:r w:rsidRPr="00A412E9">
        <w:rPr>
          <w:rFonts w:ascii="Arial" w:hAnsi="Arial" w:cs="Arial"/>
          <w:lang w:val="en-GB"/>
        </w:rPr>
        <w:t xml:space="preserve">Exports, including margins and taxes </w:t>
      </w:r>
    </w:p>
    <w:p w:rsidR="007C3736" w:rsidRPr="00A412E9" w:rsidRDefault="001B6ACE" w:rsidP="00A65E11">
      <w:pPr>
        <w:spacing w:line="360" w:lineRule="auto"/>
        <w:ind w:left="709"/>
        <w:jc w:val="both"/>
        <w:rPr>
          <w:rFonts w:ascii="Arial" w:hAnsi="Arial" w:cs="Arial"/>
          <w:lang w:val="en-GB"/>
        </w:rPr>
      </w:pPr>
      <w:r w:rsidRPr="00A412E9">
        <w:rPr>
          <w:rFonts w:ascii="Arial" w:hAnsi="Arial" w:cs="Arial"/>
          <w:lang w:val="en-GB"/>
        </w:rPr>
        <w:t>An extra component exist relative to the own final consumption of the households.</w:t>
      </w:r>
    </w:p>
    <w:p w:rsidR="001B6ACE" w:rsidRPr="00A412E9" w:rsidRDefault="001B6ACE" w:rsidP="00A65E11">
      <w:pPr>
        <w:spacing w:line="360" w:lineRule="auto"/>
        <w:ind w:left="709"/>
        <w:jc w:val="both"/>
        <w:rPr>
          <w:rFonts w:ascii="Arial" w:hAnsi="Arial" w:cs="Arial"/>
          <w:lang w:val="en-GB"/>
        </w:rPr>
      </w:pPr>
      <w:r w:rsidRPr="00A412E9">
        <w:rPr>
          <w:rFonts w:ascii="Arial" w:hAnsi="Arial" w:cs="Arial"/>
          <w:lang w:val="en-GB"/>
        </w:rPr>
        <w:t>The valuation items include, for each use of the concerned product, namely:</w:t>
      </w:r>
    </w:p>
    <w:p w:rsidR="001B6ACE" w:rsidRPr="00A412E9" w:rsidRDefault="001B6ACE" w:rsidP="001B6ACE">
      <w:pPr>
        <w:pStyle w:val="ListParagraph"/>
        <w:numPr>
          <w:ilvl w:val="0"/>
          <w:numId w:val="6"/>
        </w:numPr>
        <w:spacing w:line="360" w:lineRule="auto"/>
        <w:jc w:val="both"/>
        <w:rPr>
          <w:rFonts w:ascii="Arial" w:hAnsi="Arial" w:cs="Arial"/>
          <w:lang w:val="en-GB"/>
        </w:rPr>
      </w:pPr>
      <w:r w:rsidRPr="00A412E9">
        <w:rPr>
          <w:rFonts w:ascii="Arial" w:hAnsi="Arial" w:cs="Arial"/>
          <w:lang w:val="en-GB"/>
        </w:rPr>
        <w:t>Trade margins;</w:t>
      </w:r>
    </w:p>
    <w:p w:rsidR="001B6ACE" w:rsidRPr="00A412E9" w:rsidRDefault="001B6ACE" w:rsidP="001B6ACE">
      <w:pPr>
        <w:pStyle w:val="ListParagraph"/>
        <w:numPr>
          <w:ilvl w:val="0"/>
          <w:numId w:val="6"/>
        </w:numPr>
        <w:spacing w:line="360" w:lineRule="auto"/>
        <w:jc w:val="both"/>
        <w:rPr>
          <w:rFonts w:ascii="Arial" w:hAnsi="Arial" w:cs="Arial"/>
          <w:lang w:val="en-GB"/>
        </w:rPr>
      </w:pPr>
      <w:r w:rsidRPr="00A412E9">
        <w:rPr>
          <w:rFonts w:ascii="Arial" w:hAnsi="Arial" w:cs="Arial"/>
          <w:lang w:val="en-GB"/>
        </w:rPr>
        <w:t>Transport margins;</w:t>
      </w:r>
    </w:p>
    <w:p w:rsidR="001B6ACE" w:rsidRPr="00A412E9" w:rsidRDefault="001B6ACE" w:rsidP="001B6ACE">
      <w:pPr>
        <w:pStyle w:val="ListParagraph"/>
        <w:numPr>
          <w:ilvl w:val="0"/>
          <w:numId w:val="6"/>
        </w:numPr>
        <w:spacing w:line="360" w:lineRule="auto"/>
        <w:jc w:val="both"/>
        <w:rPr>
          <w:rFonts w:ascii="Arial" w:hAnsi="Arial" w:cs="Arial"/>
          <w:lang w:val="en-GB"/>
        </w:rPr>
      </w:pPr>
      <w:r w:rsidRPr="00A412E9">
        <w:rPr>
          <w:rFonts w:ascii="Arial" w:hAnsi="Arial" w:cs="Arial"/>
          <w:lang w:val="en-GB"/>
        </w:rPr>
        <w:t>Non-deductible VAT ;</w:t>
      </w:r>
    </w:p>
    <w:p w:rsidR="001B6ACE" w:rsidRPr="00A412E9" w:rsidRDefault="001B6ACE" w:rsidP="001B6ACE">
      <w:pPr>
        <w:pStyle w:val="ListParagraph"/>
        <w:numPr>
          <w:ilvl w:val="0"/>
          <w:numId w:val="6"/>
        </w:numPr>
        <w:spacing w:line="360" w:lineRule="auto"/>
        <w:jc w:val="both"/>
        <w:rPr>
          <w:rFonts w:ascii="Arial" w:hAnsi="Arial" w:cs="Arial"/>
          <w:lang w:val="en-GB"/>
        </w:rPr>
      </w:pPr>
      <w:r w:rsidRPr="00A412E9">
        <w:rPr>
          <w:rFonts w:ascii="Arial" w:hAnsi="Arial" w:cs="Arial"/>
          <w:lang w:val="en-GB"/>
        </w:rPr>
        <w:t>Other taxes on products;</w:t>
      </w:r>
    </w:p>
    <w:p w:rsidR="001B6ACE" w:rsidRDefault="001B6ACE" w:rsidP="001B6ACE">
      <w:pPr>
        <w:pStyle w:val="ListParagraph"/>
        <w:numPr>
          <w:ilvl w:val="0"/>
          <w:numId w:val="6"/>
        </w:numPr>
        <w:spacing w:line="360" w:lineRule="auto"/>
        <w:jc w:val="both"/>
        <w:rPr>
          <w:rFonts w:ascii="Arial" w:hAnsi="Arial" w:cs="Arial"/>
          <w:lang w:val="en-GB"/>
        </w:rPr>
      </w:pPr>
      <w:r w:rsidRPr="00A412E9">
        <w:rPr>
          <w:rFonts w:ascii="Arial" w:hAnsi="Arial" w:cs="Arial"/>
          <w:lang w:val="en-GB"/>
        </w:rPr>
        <w:t>Subsidies on products.</w:t>
      </w:r>
    </w:p>
    <w:p w:rsidR="00DF18E8" w:rsidRDefault="00DF18E8" w:rsidP="00206353">
      <w:pPr>
        <w:spacing w:line="360" w:lineRule="auto"/>
        <w:ind w:left="709"/>
        <w:jc w:val="both"/>
        <w:rPr>
          <w:rFonts w:ascii="Arial" w:hAnsi="Arial" w:cs="Arial"/>
          <w:lang w:val="en-GB"/>
        </w:rPr>
      </w:pPr>
    </w:p>
    <w:p w:rsidR="00206353" w:rsidRPr="00910257" w:rsidRDefault="00407B42" w:rsidP="00206353">
      <w:pPr>
        <w:spacing w:line="360" w:lineRule="auto"/>
        <w:ind w:left="709"/>
        <w:jc w:val="both"/>
        <w:rPr>
          <w:rFonts w:ascii="Arial" w:hAnsi="Arial" w:cs="Arial"/>
          <w:lang w:val="en-GB"/>
        </w:rPr>
      </w:pPr>
      <w:r>
        <w:rPr>
          <w:rFonts w:ascii="Arial" w:hAnsi="Arial" w:cs="Arial"/>
          <w:lang w:val="en-GB"/>
        </w:rPr>
        <w:t>EREs, by construction</w:t>
      </w:r>
      <w:r w:rsidR="00B47DCC" w:rsidRPr="00A412E9">
        <w:rPr>
          <w:rFonts w:ascii="Arial" w:hAnsi="Arial" w:cs="Arial"/>
          <w:lang w:val="en-GB"/>
        </w:rPr>
        <w:t>, must be balanced, in the sense that supply must equal the demand (uses)</w:t>
      </w:r>
      <w:r w:rsidR="00B47DCC">
        <w:rPr>
          <w:rFonts w:ascii="Arial" w:hAnsi="Arial" w:cs="Arial"/>
          <w:lang w:val="en-GB"/>
        </w:rPr>
        <w:t xml:space="preserve">. The </w:t>
      </w:r>
      <w:r w:rsidR="008F6DA3">
        <w:rPr>
          <w:rFonts w:ascii="Arial" w:hAnsi="Arial" w:cs="Arial"/>
          <w:lang w:val="en-GB"/>
        </w:rPr>
        <w:t>balancing and benchmarking</w:t>
      </w:r>
      <w:r w:rsidR="00B47DCC" w:rsidRPr="00A412E9">
        <w:rPr>
          <w:rFonts w:ascii="Arial" w:hAnsi="Arial" w:cs="Arial"/>
          <w:lang w:val="en-GB"/>
        </w:rPr>
        <w:t xml:space="preserve"> procedure is quite often done </w:t>
      </w:r>
      <w:r>
        <w:rPr>
          <w:rFonts w:ascii="Arial" w:hAnsi="Arial" w:cs="Arial"/>
          <w:lang w:val="en-GB"/>
        </w:rPr>
        <w:t>before they integrate SUT (QRE)</w:t>
      </w:r>
      <w:r w:rsidR="00B47DCC">
        <w:rPr>
          <w:rFonts w:ascii="Arial" w:hAnsi="Arial" w:cs="Arial"/>
          <w:lang w:val="en-GB"/>
        </w:rPr>
        <w:t>. Indeed, a</w:t>
      </w:r>
      <w:r w:rsidR="00B81A1E" w:rsidRPr="00B81A1E">
        <w:rPr>
          <w:rFonts w:ascii="Arial" w:hAnsi="Arial" w:cs="Arial"/>
          <w:lang w:val="en-GB"/>
        </w:rPr>
        <w:t xml:space="preserve">ll </w:t>
      </w:r>
      <w:r w:rsidR="00910257">
        <w:rPr>
          <w:rFonts w:ascii="Arial" w:hAnsi="Arial" w:cs="Arial"/>
          <w:lang w:val="en-GB"/>
        </w:rPr>
        <w:t>supply and use ERE</w:t>
      </w:r>
      <w:r w:rsidR="00B47DCC">
        <w:rPr>
          <w:rFonts w:ascii="Arial" w:hAnsi="Arial" w:cs="Arial"/>
          <w:lang w:val="en-GB"/>
        </w:rPr>
        <w:t>s</w:t>
      </w:r>
      <w:r w:rsidR="00910257">
        <w:rPr>
          <w:rFonts w:ascii="Arial" w:hAnsi="Arial" w:cs="Arial"/>
          <w:lang w:val="en-GB"/>
        </w:rPr>
        <w:t xml:space="preserve"> items are compiled and analysed in their overall coherency in several stages of the NA compilation, This implies to be balanced, either in current and previous year prices and</w:t>
      </w:r>
      <w:r w:rsidR="00137474">
        <w:rPr>
          <w:rFonts w:ascii="Arial" w:hAnsi="Arial" w:cs="Arial"/>
          <w:lang w:val="en-GB"/>
        </w:rPr>
        <w:t xml:space="preserve">, </w:t>
      </w:r>
      <w:r w:rsidR="00910257">
        <w:rPr>
          <w:rFonts w:ascii="Arial" w:hAnsi="Arial" w:cs="Arial"/>
          <w:lang w:val="en-GB"/>
        </w:rPr>
        <w:t>furthermost, to</w:t>
      </w:r>
      <w:r w:rsidR="00137474">
        <w:rPr>
          <w:rFonts w:ascii="Arial" w:hAnsi="Arial" w:cs="Arial"/>
          <w:lang w:val="en-GB"/>
        </w:rPr>
        <w:t xml:space="preserve"> show reliable variations (both in real and prices senses) specially in</w:t>
      </w:r>
      <w:r w:rsidR="00DF18E8">
        <w:rPr>
          <w:rFonts w:ascii="Arial" w:hAnsi="Arial" w:cs="Arial"/>
          <w:lang w:val="en-GB"/>
        </w:rPr>
        <w:t xml:space="preserve"> what refers to</w:t>
      </w:r>
      <w:r w:rsidR="00137474">
        <w:rPr>
          <w:rFonts w:ascii="Arial" w:hAnsi="Arial" w:cs="Arial"/>
          <w:lang w:val="en-GB"/>
        </w:rPr>
        <w:t xml:space="preserve"> its master</w:t>
      </w:r>
      <w:r w:rsidR="00DF18E8">
        <w:rPr>
          <w:rFonts w:ascii="Arial" w:hAnsi="Arial" w:cs="Arial"/>
          <w:lang w:val="en-GB"/>
        </w:rPr>
        <w:t xml:space="preserve"> (or anchor)</w:t>
      </w:r>
      <w:r w:rsidR="00137474">
        <w:rPr>
          <w:rFonts w:ascii="Arial" w:hAnsi="Arial" w:cs="Arial"/>
          <w:lang w:val="en-GB"/>
        </w:rPr>
        <w:t xml:space="preserve"> items</w:t>
      </w:r>
      <w:r w:rsidR="00DF18E8">
        <w:rPr>
          <w:rFonts w:ascii="Arial" w:hAnsi="Arial" w:cs="Arial"/>
          <w:lang w:val="en-GB"/>
        </w:rPr>
        <w:t xml:space="preserve">, depending </w:t>
      </w:r>
      <w:r w:rsidR="00507E03">
        <w:rPr>
          <w:rFonts w:ascii="Arial" w:hAnsi="Arial" w:cs="Arial"/>
          <w:lang w:val="en-GB"/>
        </w:rPr>
        <w:t>on the concerned product</w:t>
      </w:r>
      <w:r w:rsidR="00137474">
        <w:rPr>
          <w:rFonts w:ascii="Arial" w:hAnsi="Arial" w:cs="Arial"/>
          <w:lang w:val="en-GB"/>
        </w:rPr>
        <w:t xml:space="preserve">. </w:t>
      </w:r>
    </w:p>
    <w:p w:rsidR="00EE5AD1" w:rsidRPr="00A412E9" w:rsidRDefault="00EE5AD1" w:rsidP="00EE5AD1">
      <w:pPr>
        <w:spacing w:line="360" w:lineRule="auto"/>
        <w:ind w:left="709"/>
        <w:jc w:val="both"/>
        <w:rPr>
          <w:rFonts w:ascii="Arial" w:hAnsi="Arial" w:cs="Arial"/>
          <w:lang w:val="en-GB"/>
        </w:rPr>
      </w:pPr>
      <w:r w:rsidRPr="00A412E9">
        <w:rPr>
          <w:rFonts w:ascii="Arial" w:hAnsi="Arial" w:cs="Arial"/>
          <w:lang w:val="en-GB"/>
        </w:rPr>
        <w:t>EREs compilation</w:t>
      </w:r>
      <w:r>
        <w:rPr>
          <w:rFonts w:ascii="Arial" w:hAnsi="Arial" w:cs="Arial"/>
          <w:lang w:val="en-GB"/>
        </w:rPr>
        <w:t>,</w:t>
      </w:r>
      <w:r w:rsidRPr="00A412E9">
        <w:rPr>
          <w:rFonts w:ascii="Arial" w:hAnsi="Arial" w:cs="Arial"/>
          <w:lang w:val="en-GB"/>
        </w:rPr>
        <w:t xml:space="preserve"> </w:t>
      </w:r>
      <w:r>
        <w:rPr>
          <w:rFonts w:ascii="Arial" w:hAnsi="Arial" w:cs="Arial"/>
          <w:lang w:val="en-GB"/>
        </w:rPr>
        <w:t>balancing and benchmarking is carried out</w:t>
      </w:r>
      <w:r w:rsidRPr="00A412E9">
        <w:rPr>
          <w:rFonts w:ascii="Arial" w:hAnsi="Arial" w:cs="Arial"/>
          <w:lang w:val="en-GB"/>
        </w:rPr>
        <w:t xml:space="preserve"> simultaneously at current and at previous year prices.</w:t>
      </w:r>
    </w:p>
    <w:p w:rsidR="00C171EA" w:rsidRDefault="00C171EA">
      <w:pPr>
        <w:spacing w:line="360" w:lineRule="auto"/>
        <w:ind w:left="709"/>
        <w:jc w:val="both"/>
        <w:rPr>
          <w:rFonts w:ascii="Arial" w:hAnsi="Arial" w:cs="Arial"/>
          <w:b/>
          <w:sz w:val="18"/>
          <w:szCs w:val="18"/>
          <w:lang w:val="en-GB"/>
        </w:rPr>
      </w:pPr>
    </w:p>
    <w:p w:rsidR="00C171EA" w:rsidRDefault="00C171EA">
      <w:pPr>
        <w:spacing w:line="360" w:lineRule="auto"/>
        <w:ind w:left="709"/>
        <w:jc w:val="both"/>
        <w:rPr>
          <w:rFonts w:ascii="Arial" w:hAnsi="Arial" w:cs="Arial"/>
          <w:b/>
          <w:sz w:val="18"/>
          <w:szCs w:val="18"/>
          <w:lang w:val="en-GB"/>
        </w:rPr>
      </w:pPr>
    </w:p>
    <w:p w:rsidR="00407B42" w:rsidRDefault="00407B42">
      <w:pPr>
        <w:spacing w:line="360" w:lineRule="auto"/>
        <w:ind w:left="709"/>
        <w:jc w:val="both"/>
        <w:rPr>
          <w:rFonts w:ascii="Arial" w:hAnsi="Arial" w:cs="Arial"/>
          <w:b/>
          <w:sz w:val="18"/>
          <w:szCs w:val="18"/>
          <w:lang w:val="en-GB"/>
        </w:rPr>
      </w:pPr>
    </w:p>
    <w:p w:rsidR="00FF2E19" w:rsidRDefault="00EE5AD1">
      <w:pPr>
        <w:spacing w:line="360" w:lineRule="auto"/>
        <w:ind w:left="709"/>
        <w:jc w:val="both"/>
        <w:rPr>
          <w:rFonts w:ascii="Arial" w:hAnsi="Arial" w:cs="Arial"/>
          <w:b/>
          <w:sz w:val="18"/>
          <w:szCs w:val="18"/>
          <w:lang w:val="en-GB"/>
        </w:rPr>
      </w:pPr>
      <w:r>
        <w:rPr>
          <w:rFonts w:ascii="Arial" w:hAnsi="Arial" w:cs="Arial"/>
          <w:b/>
          <w:sz w:val="18"/>
          <w:szCs w:val="18"/>
          <w:lang w:val="en-GB"/>
        </w:rPr>
        <w:lastRenderedPageBreak/>
        <w:t xml:space="preserve">         </w:t>
      </w:r>
      <w:r w:rsidR="00206353" w:rsidRPr="001C6FE9">
        <w:rPr>
          <w:rFonts w:ascii="Arial" w:hAnsi="Arial" w:cs="Arial"/>
          <w:b/>
          <w:sz w:val="18"/>
          <w:szCs w:val="18"/>
          <w:lang w:val="en-GB"/>
        </w:rPr>
        <w:t xml:space="preserve">Figure </w:t>
      </w:r>
      <w:proofErr w:type="gramStart"/>
      <w:r w:rsidR="00206353">
        <w:rPr>
          <w:rFonts w:ascii="Arial" w:hAnsi="Arial" w:cs="Arial"/>
          <w:b/>
          <w:sz w:val="18"/>
          <w:szCs w:val="18"/>
          <w:lang w:val="en-GB"/>
        </w:rPr>
        <w:t xml:space="preserve">8 </w:t>
      </w:r>
      <w:r w:rsidR="00206353" w:rsidRPr="001C6FE9">
        <w:rPr>
          <w:rFonts w:ascii="Arial" w:hAnsi="Arial" w:cs="Arial"/>
          <w:b/>
          <w:sz w:val="18"/>
          <w:szCs w:val="18"/>
          <w:lang w:val="en-GB"/>
        </w:rPr>
        <w:t xml:space="preserve"> </w:t>
      </w:r>
      <w:r w:rsidR="00206353">
        <w:rPr>
          <w:rFonts w:ascii="Arial" w:hAnsi="Arial" w:cs="Arial"/>
          <w:b/>
          <w:sz w:val="18"/>
          <w:szCs w:val="18"/>
          <w:lang w:val="en-GB"/>
        </w:rPr>
        <w:t>Supply</w:t>
      </w:r>
      <w:proofErr w:type="gramEnd"/>
      <w:r w:rsidR="00206353">
        <w:rPr>
          <w:rFonts w:ascii="Arial" w:hAnsi="Arial" w:cs="Arial"/>
          <w:b/>
          <w:sz w:val="18"/>
          <w:szCs w:val="18"/>
          <w:lang w:val="en-GB"/>
        </w:rPr>
        <w:t xml:space="preserve"> and use Balance, by product (ERE)</w:t>
      </w:r>
    </w:p>
    <w:p w:rsidR="00197C65" w:rsidRPr="00C171EA" w:rsidRDefault="00FC6188" w:rsidP="00EE5AD1">
      <w:pPr>
        <w:pStyle w:val="ListParagraph"/>
        <w:spacing w:line="360" w:lineRule="auto"/>
        <w:ind w:left="1080"/>
        <w:jc w:val="center"/>
        <w:rPr>
          <w:rFonts w:ascii="Arial" w:hAnsi="Arial" w:cs="Arial"/>
          <w:lang w:val="en-GB"/>
        </w:rPr>
      </w:pPr>
      <w:r w:rsidRPr="00FC6188">
        <w:rPr>
          <w:noProof/>
          <w:lang w:eastAsia="pt-PT"/>
        </w:rPr>
        <w:drawing>
          <wp:inline distT="0" distB="0" distL="0" distR="0">
            <wp:extent cx="5400040" cy="781775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00040" cy="7817752"/>
                    </a:xfrm>
                    <a:prstGeom prst="rect">
                      <a:avLst/>
                    </a:prstGeom>
                    <a:noFill/>
                    <a:ln w="9525">
                      <a:noFill/>
                      <a:miter lim="800000"/>
                      <a:headEnd/>
                      <a:tailEnd/>
                    </a:ln>
                  </pic:spPr>
                </pic:pic>
              </a:graphicData>
            </a:graphic>
          </wp:inline>
        </w:drawing>
      </w:r>
    </w:p>
    <w:p w:rsidR="00C30319" w:rsidRPr="00A412E9" w:rsidRDefault="00C30319" w:rsidP="00C30319">
      <w:pPr>
        <w:spacing w:line="360" w:lineRule="auto"/>
        <w:ind w:left="709"/>
        <w:rPr>
          <w:rFonts w:ascii="Arial" w:hAnsi="Arial" w:cs="Arial"/>
          <w:lang w:val="en-GB"/>
        </w:rPr>
        <w:sectPr w:rsidR="00C30319" w:rsidRPr="00A412E9" w:rsidSect="00484F7E">
          <w:footerReference w:type="default" r:id="rId13"/>
          <w:pgSz w:w="11906" w:h="16838"/>
          <w:pgMar w:top="1418" w:right="1701" w:bottom="1418" w:left="1701" w:header="709" w:footer="709" w:gutter="0"/>
          <w:cols w:space="708"/>
          <w:docGrid w:linePitch="360"/>
        </w:sectPr>
      </w:pPr>
    </w:p>
    <w:p w:rsidR="005F5B61" w:rsidRPr="00A412E9" w:rsidRDefault="004E0CE6" w:rsidP="00542867">
      <w:pPr>
        <w:pStyle w:val="ListParagraph"/>
        <w:numPr>
          <w:ilvl w:val="0"/>
          <w:numId w:val="2"/>
        </w:numPr>
        <w:spacing w:line="360" w:lineRule="auto"/>
        <w:rPr>
          <w:rFonts w:ascii="Arial" w:hAnsi="Arial" w:cs="Arial"/>
          <w:lang w:val="en-GB"/>
        </w:rPr>
      </w:pPr>
      <w:r w:rsidRPr="00A412E9">
        <w:rPr>
          <w:rFonts w:ascii="Arial" w:hAnsi="Arial" w:cs="Arial"/>
          <w:lang w:val="en-GB"/>
        </w:rPr>
        <w:lastRenderedPageBreak/>
        <w:t xml:space="preserve">Final </w:t>
      </w:r>
      <w:r w:rsidR="008F6DA3">
        <w:rPr>
          <w:rFonts w:ascii="Arial" w:hAnsi="Arial" w:cs="Arial"/>
          <w:lang w:val="en-GB"/>
        </w:rPr>
        <w:t>balancing and benchmarking</w:t>
      </w:r>
    </w:p>
    <w:p w:rsidR="005F0800" w:rsidRPr="00A412E9" w:rsidRDefault="005F0800" w:rsidP="005F0800">
      <w:pPr>
        <w:pStyle w:val="ListParagraph"/>
        <w:spacing w:line="360" w:lineRule="auto"/>
        <w:ind w:left="709"/>
        <w:jc w:val="both"/>
        <w:rPr>
          <w:rFonts w:ascii="Arial" w:hAnsi="Arial" w:cs="Arial"/>
          <w:lang w:val="en-GB"/>
        </w:rPr>
      </w:pPr>
      <w:r w:rsidRPr="00A412E9">
        <w:rPr>
          <w:rFonts w:ascii="Arial" w:hAnsi="Arial" w:cs="Arial"/>
          <w:lang w:val="en-GB"/>
        </w:rPr>
        <w:t xml:space="preserve">The </w:t>
      </w:r>
      <w:r w:rsidR="008F6DA3">
        <w:rPr>
          <w:rFonts w:ascii="Arial" w:hAnsi="Arial" w:cs="Arial"/>
          <w:lang w:val="en-GB"/>
        </w:rPr>
        <w:t>balancing and benchmarking</w:t>
      </w:r>
      <w:r w:rsidRPr="00A412E9">
        <w:rPr>
          <w:rFonts w:ascii="Arial" w:hAnsi="Arial" w:cs="Arial"/>
          <w:lang w:val="en-GB"/>
        </w:rPr>
        <w:t xml:space="preserve"> process begins under EREs compilation, where all information on a certain product is joined and firstly analysed, which implies the comparison and the option by </w:t>
      </w:r>
      <w:r w:rsidR="009F5ABE" w:rsidRPr="00A412E9">
        <w:rPr>
          <w:rFonts w:ascii="Arial" w:hAnsi="Arial" w:cs="Arial"/>
          <w:lang w:val="en-GB"/>
        </w:rPr>
        <w:t>alternative</w:t>
      </w:r>
      <w:r w:rsidRPr="00A412E9">
        <w:rPr>
          <w:rFonts w:ascii="Arial" w:hAnsi="Arial" w:cs="Arial"/>
          <w:lang w:val="en-GB"/>
        </w:rPr>
        <w:t xml:space="preserve"> sources</w:t>
      </w:r>
      <w:r w:rsidR="008435CA" w:rsidRPr="00A412E9">
        <w:rPr>
          <w:rFonts w:ascii="Arial" w:hAnsi="Arial" w:cs="Arial"/>
          <w:lang w:val="en-GB"/>
        </w:rPr>
        <w:t xml:space="preserve"> and </w:t>
      </w:r>
      <w:r w:rsidR="00C31032" w:rsidRPr="00A412E9">
        <w:rPr>
          <w:rFonts w:ascii="Arial" w:hAnsi="Arial" w:cs="Arial"/>
          <w:lang w:val="en-GB"/>
        </w:rPr>
        <w:t>mak</w:t>
      </w:r>
      <w:r w:rsidR="006718E0" w:rsidRPr="00A412E9">
        <w:rPr>
          <w:rFonts w:ascii="Arial" w:hAnsi="Arial" w:cs="Arial"/>
          <w:lang w:val="en-GB"/>
        </w:rPr>
        <w:t>ing</w:t>
      </w:r>
      <w:r w:rsidR="00C31032" w:rsidRPr="00A412E9">
        <w:rPr>
          <w:rFonts w:ascii="Arial" w:hAnsi="Arial" w:cs="Arial"/>
          <w:lang w:val="en-GB"/>
        </w:rPr>
        <w:t xml:space="preserve"> </w:t>
      </w:r>
      <w:r w:rsidR="008435CA" w:rsidRPr="00A412E9">
        <w:rPr>
          <w:rFonts w:ascii="Arial" w:hAnsi="Arial" w:cs="Arial"/>
          <w:lang w:val="en-GB"/>
        </w:rPr>
        <w:t>estimate</w:t>
      </w:r>
      <w:r w:rsidR="00C31032" w:rsidRPr="00A412E9">
        <w:rPr>
          <w:rFonts w:ascii="Arial" w:hAnsi="Arial" w:cs="Arial"/>
          <w:lang w:val="en-GB"/>
        </w:rPr>
        <w:t>s</w:t>
      </w:r>
      <w:r w:rsidR="008435CA" w:rsidRPr="00A412E9">
        <w:rPr>
          <w:rFonts w:ascii="Arial" w:hAnsi="Arial" w:cs="Arial"/>
          <w:lang w:val="en-GB"/>
        </w:rPr>
        <w:t xml:space="preserve"> in specific cases</w:t>
      </w:r>
      <w:r w:rsidR="00A17EB8" w:rsidRPr="00A412E9">
        <w:rPr>
          <w:rFonts w:ascii="Arial" w:hAnsi="Arial" w:cs="Arial"/>
          <w:lang w:val="en-GB"/>
        </w:rPr>
        <w:t>.</w:t>
      </w:r>
      <w:r w:rsidRPr="00A412E9">
        <w:rPr>
          <w:rFonts w:ascii="Arial" w:hAnsi="Arial" w:cs="Arial"/>
          <w:lang w:val="en-GB"/>
        </w:rPr>
        <w:t xml:space="preserve"> EREs </w:t>
      </w:r>
      <w:r w:rsidR="00407B42">
        <w:rPr>
          <w:rFonts w:ascii="Arial" w:hAnsi="Arial" w:cs="Arial"/>
          <w:lang w:val="en-GB"/>
        </w:rPr>
        <w:t>are also constructed</w:t>
      </w:r>
      <w:r w:rsidRPr="00A412E9">
        <w:rPr>
          <w:rFonts w:ascii="Arial" w:hAnsi="Arial" w:cs="Arial"/>
          <w:lang w:val="en-GB"/>
        </w:rPr>
        <w:t xml:space="preserve"> at previous year prices</w:t>
      </w:r>
      <w:r w:rsidR="00C31032" w:rsidRPr="00A412E9">
        <w:rPr>
          <w:rFonts w:ascii="Arial" w:hAnsi="Arial" w:cs="Arial"/>
          <w:lang w:val="en-GB"/>
        </w:rPr>
        <w:t xml:space="preserve">; </w:t>
      </w:r>
      <w:r w:rsidRPr="00A412E9">
        <w:rPr>
          <w:rFonts w:ascii="Arial" w:hAnsi="Arial" w:cs="Arial"/>
          <w:lang w:val="en-GB"/>
        </w:rPr>
        <w:t xml:space="preserve">the volume and </w:t>
      </w:r>
      <w:r w:rsidR="008435CA" w:rsidRPr="00A412E9">
        <w:rPr>
          <w:rFonts w:ascii="Arial" w:hAnsi="Arial" w:cs="Arial"/>
          <w:lang w:val="en-GB"/>
        </w:rPr>
        <w:t xml:space="preserve">the </w:t>
      </w:r>
      <w:r w:rsidRPr="00A412E9">
        <w:rPr>
          <w:rFonts w:ascii="Arial" w:hAnsi="Arial" w:cs="Arial"/>
          <w:lang w:val="en-GB"/>
        </w:rPr>
        <w:t xml:space="preserve">price changes resulting from the calculation of indexes </w:t>
      </w:r>
      <w:r w:rsidR="00C31032" w:rsidRPr="00A412E9">
        <w:rPr>
          <w:rFonts w:ascii="Arial" w:hAnsi="Arial" w:cs="Arial"/>
          <w:lang w:val="en-GB"/>
        </w:rPr>
        <w:t>for</w:t>
      </w:r>
      <w:r w:rsidRPr="00A412E9">
        <w:rPr>
          <w:rFonts w:ascii="Arial" w:hAnsi="Arial" w:cs="Arial"/>
          <w:lang w:val="en-GB"/>
        </w:rPr>
        <w:t xml:space="preserve"> each o</w:t>
      </w:r>
      <w:r w:rsidR="00C31032" w:rsidRPr="00A412E9">
        <w:rPr>
          <w:rFonts w:ascii="Arial" w:hAnsi="Arial" w:cs="Arial"/>
          <w:lang w:val="en-GB"/>
        </w:rPr>
        <w:t>f the supply and use items contribute</w:t>
      </w:r>
      <w:r w:rsidRPr="00A412E9">
        <w:rPr>
          <w:rFonts w:ascii="Arial" w:hAnsi="Arial" w:cs="Arial"/>
          <w:lang w:val="en-GB"/>
        </w:rPr>
        <w:t xml:space="preserve"> to the analysis of the overall consistency of the information of that product for two sequent periods (years).</w:t>
      </w:r>
    </w:p>
    <w:p w:rsidR="00303563" w:rsidRPr="00A412E9" w:rsidRDefault="005F0800" w:rsidP="005F0800">
      <w:pPr>
        <w:pStyle w:val="ListParagraph"/>
        <w:spacing w:line="360" w:lineRule="auto"/>
        <w:ind w:left="709"/>
        <w:jc w:val="both"/>
        <w:rPr>
          <w:rFonts w:ascii="Arial" w:hAnsi="Arial" w:cs="Arial"/>
          <w:lang w:val="en-GB"/>
        </w:rPr>
      </w:pPr>
      <w:r w:rsidRPr="00A412E9">
        <w:rPr>
          <w:rFonts w:ascii="Arial" w:hAnsi="Arial" w:cs="Arial"/>
          <w:lang w:val="en-GB"/>
        </w:rPr>
        <w:t xml:space="preserve">Balanced EREs data </w:t>
      </w:r>
      <w:r w:rsidR="009F5ABE" w:rsidRPr="00A412E9">
        <w:rPr>
          <w:rFonts w:ascii="Arial" w:hAnsi="Arial" w:cs="Arial"/>
          <w:lang w:val="en-GB"/>
        </w:rPr>
        <w:t>enter</w:t>
      </w:r>
      <w:r w:rsidRPr="00A412E9">
        <w:rPr>
          <w:rFonts w:ascii="Arial" w:hAnsi="Arial" w:cs="Arial"/>
          <w:lang w:val="en-GB"/>
        </w:rPr>
        <w:t xml:space="preserve"> directly</w:t>
      </w:r>
      <w:r w:rsidR="009F5ABE" w:rsidRPr="00A412E9">
        <w:rPr>
          <w:rFonts w:ascii="Arial" w:hAnsi="Arial" w:cs="Arial"/>
          <w:lang w:val="en-GB"/>
        </w:rPr>
        <w:t xml:space="preserve"> to</w:t>
      </w:r>
      <w:r w:rsidRPr="00A412E9">
        <w:rPr>
          <w:rFonts w:ascii="Arial" w:hAnsi="Arial" w:cs="Arial"/>
          <w:lang w:val="en-GB"/>
        </w:rPr>
        <w:t xml:space="preserve"> the SUT (QRE)</w:t>
      </w:r>
      <w:r w:rsidR="001320CC" w:rsidRPr="00A412E9">
        <w:rPr>
          <w:rFonts w:ascii="Arial" w:hAnsi="Arial" w:cs="Arial"/>
          <w:lang w:val="en-GB"/>
        </w:rPr>
        <w:t xml:space="preserve"> - in both matrices, at current and at previous year prices</w:t>
      </w:r>
      <w:r w:rsidRPr="00A412E9">
        <w:rPr>
          <w:rFonts w:ascii="Arial" w:hAnsi="Arial" w:cs="Arial"/>
          <w:lang w:val="en-GB"/>
        </w:rPr>
        <w:t>. On</w:t>
      </w:r>
      <w:r w:rsidR="009F5ABE" w:rsidRPr="00A412E9">
        <w:rPr>
          <w:rFonts w:ascii="Arial" w:hAnsi="Arial" w:cs="Arial"/>
          <w:lang w:val="en-GB"/>
        </w:rPr>
        <w:t>ce the SUT (QRE) has</w:t>
      </w:r>
      <w:r w:rsidR="00407B42">
        <w:rPr>
          <w:rFonts w:ascii="Arial" w:hAnsi="Arial" w:cs="Arial"/>
          <w:lang w:val="en-GB"/>
        </w:rPr>
        <w:t xml:space="preserve"> been filled up, it begins an i</w:t>
      </w:r>
      <w:r w:rsidR="00B82B98">
        <w:rPr>
          <w:rFonts w:ascii="Arial" w:hAnsi="Arial" w:cs="Arial"/>
          <w:lang w:val="en-GB"/>
        </w:rPr>
        <w:t>tera</w:t>
      </w:r>
      <w:r w:rsidR="009F5ABE" w:rsidRPr="00A412E9">
        <w:rPr>
          <w:rFonts w:ascii="Arial" w:hAnsi="Arial" w:cs="Arial"/>
          <w:lang w:val="en-GB"/>
        </w:rPr>
        <w:t>tive process of validation, consistency</w:t>
      </w:r>
      <w:r w:rsidR="00C31032" w:rsidRPr="00A412E9">
        <w:rPr>
          <w:rFonts w:ascii="Arial" w:hAnsi="Arial" w:cs="Arial"/>
          <w:lang w:val="en-GB"/>
        </w:rPr>
        <w:t xml:space="preserve"> checking</w:t>
      </w:r>
      <w:r w:rsidR="009F5ABE" w:rsidRPr="00A412E9">
        <w:rPr>
          <w:rFonts w:ascii="Arial" w:hAnsi="Arial" w:cs="Arial"/>
          <w:lang w:val="en-GB"/>
        </w:rPr>
        <w:t xml:space="preserve"> </w:t>
      </w:r>
      <w:r w:rsidR="00C31032" w:rsidRPr="00A412E9">
        <w:rPr>
          <w:rFonts w:ascii="Arial" w:hAnsi="Arial" w:cs="Arial"/>
          <w:lang w:val="en-GB"/>
        </w:rPr>
        <w:t>and</w:t>
      </w:r>
      <w:r w:rsidR="00A728C8" w:rsidRPr="00A412E9">
        <w:rPr>
          <w:rFonts w:ascii="Arial" w:hAnsi="Arial" w:cs="Arial"/>
          <w:lang w:val="en-GB"/>
        </w:rPr>
        <w:t xml:space="preserve"> </w:t>
      </w:r>
      <w:r w:rsidR="00303563" w:rsidRPr="00A412E9">
        <w:rPr>
          <w:rFonts w:ascii="Arial" w:hAnsi="Arial" w:cs="Arial"/>
          <w:lang w:val="en-GB"/>
        </w:rPr>
        <w:t>comparison</w:t>
      </w:r>
      <w:r w:rsidR="00502C1D" w:rsidRPr="00A412E9">
        <w:rPr>
          <w:rFonts w:ascii="Arial" w:hAnsi="Arial" w:cs="Arial"/>
          <w:lang w:val="en-GB"/>
        </w:rPr>
        <w:t xml:space="preserve"> </w:t>
      </w:r>
      <w:r w:rsidR="009F5ABE" w:rsidRPr="00A412E9">
        <w:rPr>
          <w:rFonts w:ascii="Arial" w:hAnsi="Arial" w:cs="Arial"/>
          <w:lang w:val="en-GB"/>
        </w:rPr>
        <w:t>of the estimates</w:t>
      </w:r>
      <w:r w:rsidR="00502C1D" w:rsidRPr="00A412E9">
        <w:rPr>
          <w:rFonts w:ascii="Arial" w:hAnsi="Arial" w:cs="Arial"/>
          <w:lang w:val="en-GB"/>
        </w:rPr>
        <w:t xml:space="preserve"> and</w:t>
      </w:r>
      <w:r w:rsidR="00303563" w:rsidRPr="00A412E9">
        <w:rPr>
          <w:rFonts w:ascii="Arial" w:hAnsi="Arial" w:cs="Arial"/>
          <w:lang w:val="en-GB"/>
        </w:rPr>
        <w:t xml:space="preserve"> balances.</w:t>
      </w:r>
    </w:p>
    <w:p w:rsidR="00C33B0F" w:rsidRPr="00A412E9" w:rsidRDefault="00407B42" w:rsidP="005F0800">
      <w:pPr>
        <w:pStyle w:val="ListParagraph"/>
        <w:spacing w:line="360" w:lineRule="auto"/>
        <w:ind w:left="709"/>
        <w:jc w:val="both"/>
        <w:rPr>
          <w:rFonts w:ascii="Arial" w:hAnsi="Arial" w:cs="Arial"/>
          <w:lang w:val="en-GB"/>
        </w:rPr>
      </w:pPr>
      <w:r>
        <w:rPr>
          <w:rFonts w:ascii="Arial" w:hAnsi="Arial" w:cs="Arial"/>
          <w:lang w:val="en-GB"/>
        </w:rPr>
        <w:t xml:space="preserve">The </w:t>
      </w:r>
      <w:r w:rsidR="0033530F" w:rsidRPr="00A412E9">
        <w:rPr>
          <w:rFonts w:ascii="Arial" w:hAnsi="Arial" w:cs="Arial"/>
          <w:lang w:val="en-GB"/>
        </w:rPr>
        <w:t xml:space="preserve">final </w:t>
      </w:r>
      <w:r w:rsidR="008F6DA3">
        <w:rPr>
          <w:rFonts w:ascii="Arial" w:hAnsi="Arial" w:cs="Arial"/>
          <w:lang w:val="en-GB"/>
        </w:rPr>
        <w:t>balancing and benchmarking</w:t>
      </w:r>
      <w:r w:rsidR="00484F7E" w:rsidRPr="00A412E9">
        <w:rPr>
          <w:rFonts w:ascii="Arial" w:hAnsi="Arial" w:cs="Arial"/>
          <w:lang w:val="en-GB"/>
        </w:rPr>
        <w:t xml:space="preserve"> of the NA is undertaken especially </w:t>
      </w:r>
      <w:r w:rsidR="00ED2271" w:rsidRPr="00A412E9">
        <w:rPr>
          <w:rFonts w:ascii="Arial" w:hAnsi="Arial" w:cs="Arial"/>
          <w:lang w:val="en-GB"/>
        </w:rPr>
        <w:t xml:space="preserve">in the context of the </w:t>
      </w:r>
      <w:r w:rsidR="00484F7E" w:rsidRPr="00A412E9">
        <w:rPr>
          <w:rFonts w:ascii="Arial" w:hAnsi="Arial" w:cs="Arial"/>
          <w:lang w:val="en-GB"/>
        </w:rPr>
        <w:t>SUT (QRE)</w:t>
      </w:r>
      <w:r w:rsidR="00303563" w:rsidRPr="00A412E9">
        <w:rPr>
          <w:rFonts w:ascii="Arial" w:hAnsi="Arial" w:cs="Arial"/>
          <w:lang w:val="en-GB"/>
        </w:rPr>
        <w:t xml:space="preserve">, </w:t>
      </w:r>
      <w:r w:rsidR="00ED2271" w:rsidRPr="00A412E9">
        <w:rPr>
          <w:rFonts w:ascii="Arial" w:hAnsi="Arial" w:cs="Arial"/>
          <w:lang w:val="en-GB"/>
        </w:rPr>
        <w:t xml:space="preserve">with the calculation of the total gross value added (GVA) and the total gross operating surplus (GOS) for </w:t>
      </w:r>
      <w:r w:rsidR="00A728C8" w:rsidRPr="00A412E9">
        <w:rPr>
          <w:rFonts w:ascii="Arial" w:hAnsi="Arial" w:cs="Arial"/>
          <w:lang w:val="en-GB"/>
        </w:rPr>
        <w:t xml:space="preserve">each industry and for </w:t>
      </w:r>
      <w:r w:rsidR="00ED2271" w:rsidRPr="00A412E9">
        <w:rPr>
          <w:rFonts w:ascii="Arial" w:hAnsi="Arial" w:cs="Arial"/>
          <w:lang w:val="en-GB"/>
        </w:rPr>
        <w:t>all the economy and their co</w:t>
      </w:r>
      <w:r w:rsidR="00C33B0F" w:rsidRPr="00A412E9">
        <w:rPr>
          <w:rFonts w:ascii="Arial" w:hAnsi="Arial" w:cs="Arial"/>
          <w:lang w:val="en-GB"/>
        </w:rPr>
        <w:t xml:space="preserve">mparison </w:t>
      </w:r>
      <w:r w:rsidR="004433EC" w:rsidRPr="00A412E9">
        <w:rPr>
          <w:rFonts w:ascii="Arial" w:hAnsi="Arial" w:cs="Arial"/>
          <w:lang w:val="en-GB"/>
        </w:rPr>
        <w:t>(</w:t>
      </w:r>
      <w:r w:rsidR="00C33B0F" w:rsidRPr="00A412E9">
        <w:rPr>
          <w:rFonts w:ascii="Arial" w:hAnsi="Arial" w:cs="Arial"/>
          <w:lang w:val="en-GB"/>
        </w:rPr>
        <w:t>and trade-off</w:t>
      </w:r>
      <w:r w:rsidR="004433EC" w:rsidRPr="00A412E9">
        <w:rPr>
          <w:rFonts w:ascii="Arial" w:hAnsi="Arial" w:cs="Arial"/>
          <w:lang w:val="en-GB"/>
        </w:rPr>
        <w:t>)</w:t>
      </w:r>
      <w:r w:rsidR="00C33B0F" w:rsidRPr="00A412E9">
        <w:rPr>
          <w:rFonts w:ascii="Arial" w:hAnsi="Arial" w:cs="Arial"/>
          <w:lang w:val="en-GB"/>
        </w:rPr>
        <w:t xml:space="preserve"> with the equivalent </w:t>
      </w:r>
      <w:r w:rsidR="00ED2271" w:rsidRPr="00A412E9">
        <w:rPr>
          <w:rFonts w:ascii="Arial" w:hAnsi="Arial" w:cs="Arial"/>
          <w:lang w:val="en-GB"/>
        </w:rPr>
        <w:t xml:space="preserve">specific results </w:t>
      </w:r>
      <w:r w:rsidR="00C33B0F" w:rsidRPr="00A412E9">
        <w:rPr>
          <w:rFonts w:ascii="Arial" w:hAnsi="Arial" w:cs="Arial"/>
          <w:lang w:val="en-GB"/>
        </w:rPr>
        <w:t>existent in</w:t>
      </w:r>
      <w:r w:rsidR="00ED2271" w:rsidRPr="00A412E9">
        <w:rPr>
          <w:rFonts w:ascii="Arial" w:hAnsi="Arial" w:cs="Arial"/>
          <w:lang w:val="en-GB"/>
        </w:rPr>
        <w:t xml:space="preserve"> the </w:t>
      </w:r>
      <w:r w:rsidR="00C33B0F" w:rsidRPr="00A412E9">
        <w:rPr>
          <w:rFonts w:ascii="Arial" w:hAnsi="Arial" w:cs="Arial"/>
          <w:lang w:val="en-GB"/>
        </w:rPr>
        <w:t xml:space="preserve">first draft of the </w:t>
      </w:r>
      <w:r w:rsidR="00ED2271" w:rsidRPr="00A412E9">
        <w:rPr>
          <w:rFonts w:ascii="Arial" w:hAnsi="Arial" w:cs="Arial"/>
          <w:lang w:val="en-GB"/>
        </w:rPr>
        <w:t>institutional sector accounts</w:t>
      </w:r>
      <w:r w:rsidR="004433EC" w:rsidRPr="00A412E9">
        <w:rPr>
          <w:rFonts w:ascii="Arial" w:hAnsi="Arial" w:cs="Arial"/>
          <w:lang w:val="en-GB"/>
        </w:rPr>
        <w:t>,</w:t>
      </w:r>
      <w:r w:rsidR="00C33B0F" w:rsidRPr="00A412E9">
        <w:rPr>
          <w:rFonts w:ascii="Arial" w:hAnsi="Arial" w:cs="Arial"/>
          <w:lang w:val="en-GB"/>
        </w:rPr>
        <w:t xml:space="preserve"> to be inserted in QCEI. </w:t>
      </w:r>
    </w:p>
    <w:p w:rsidR="00E03048" w:rsidRPr="00A412E9" w:rsidRDefault="00502C1D" w:rsidP="00502C1D">
      <w:pPr>
        <w:pStyle w:val="ListParagraph"/>
        <w:spacing w:line="360" w:lineRule="auto"/>
        <w:ind w:left="709"/>
        <w:jc w:val="both"/>
        <w:rPr>
          <w:rFonts w:ascii="Arial" w:hAnsi="Arial" w:cs="Arial"/>
          <w:lang w:val="en-GB"/>
        </w:rPr>
      </w:pPr>
      <w:r w:rsidRPr="00A412E9">
        <w:rPr>
          <w:rFonts w:ascii="Arial" w:hAnsi="Arial" w:cs="Arial"/>
          <w:lang w:val="en-GB"/>
        </w:rPr>
        <w:t xml:space="preserve">In the context of the SUT (QRE), it is </w:t>
      </w:r>
      <w:r w:rsidR="00A728C8" w:rsidRPr="00A412E9">
        <w:rPr>
          <w:rFonts w:ascii="Arial" w:hAnsi="Arial" w:cs="Arial"/>
          <w:lang w:val="en-GB"/>
        </w:rPr>
        <w:t xml:space="preserve">still </w:t>
      </w:r>
      <w:r w:rsidRPr="00A412E9">
        <w:rPr>
          <w:rFonts w:ascii="Arial" w:hAnsi="Arial" w:cs="Arial"/>
          <w:lang w:val="en-GB"/>
        </w:rPr>
        <w:t xml:space="preserve">determinant in all </w:t>
      </w:r>
      <w:r w:rsidR="008F6DA3">
        <w:rPr>
          <w:rFonts w:ascii="Arial" w:hAnsi="Arial" w:cs="Arial"/>
          <w:lang w:val="en-GB"/>
        </w:rPr>
        <w:t>balancing and benchmarking</w:t>
      </w:r>
      <w:r w:rsidRPr="00A412E9">
        <w:rPr>
          <w:rFonts w:ascii="Arial" w:hAnsi="Arial" w:cs="Arial"/>
          <w:lang w:val="en-GB"/>
        </w:rPr>
        <w:t xml:space="preserve"> processes the comparison and the consequent decisions on the estimates </w:t>
      </w:r>
      <w:r w:rsidR="00A17EB8" w:rsidRPr="00A412E9">
        <w:rPr>
          <w:rFonts w:ascii="Arial" w:hAnsi="Arial" w:cs="Arial"/>
          <w:lang w:val="en-GB"/>
        </w:rPr>
        <w:t>becoming from</w:t>
      </w:r>
      <w:r w:rsidRPr="00A412E9">
        <w:rPr>
          <w:rFonts w:ascii="Arial" w:hAnsi="Arial" w:cs="Arial"/>
          <w:lang w:val="en-GB"/>
        </w:rPr>
        <w:t xml:space="preserve"> two </w:t>
      </w:r>
      <w:r w:rsidR="00A17EB8" w:rsidRPr="00A412E9">
        <w:rPr>
          <w:rFonts w:ascii="Arial" w:hAnsi="Arial" w:cs="Arial"/>
          <w:lang w:val="en-GB"/>
        </w:rPr>
        <w:t xml:space="preserve">of the </w:t>
      </w:r>
      <w:r w:rsidRPr="00A412E9">
        <w:rPr>
          <w:rFonts w:ascii="Arial" w:hAnsi="Arial" w:cs="Arial"/>
          <w:lang w:val="en-GB"/>
        </w:rPr>
        <w:t xml:space="preserve">main approaches of </w:t>
      </w:r>
      <w:r w:rsidR="00A17EB8" w:rsidRPr="00A412E9">
        <w:rPr>
          <w:rFonts w:ascii="Arial" w:hAnsi="Arial" w:cs="Arial"/>
          <w:lang w:val="en-GB"/>
        </w:rPr>
        <w:t>the calculation of</w:t>
      </w:r>
      <w:r w:rsidRPr="00A412E9">
        <w:rPr>
          <w:rFonts w:ascii="Arial" w:hAnsi="Arial" w:cs="Arial"/>
          <w:lang w:val="en-GB"/>
        </w:rPr>
        <w:t xml:space="preserve"> GDP - production and expenditure approaches. </w:t>
      </w:r>
      <w:r w:rsidR="00E03048" w:rsidRPr="00A412E9">
        <w:rPr>
          <w:rFonts w:ascii="Arial" w:hAnsi="Arial" w:cs="Arial"/>
          <w:lang w:val="en-GB"/>
        </w:rPr>
        <w:t xml:space="preserve">Income approach is still taken into consideration even that GOS may be often derived by difference to the other </w:t>
      </w:r>
      <w:r w:rsidR="009677D9" w:rsidRPr="00A412E9">
        <w:rPr>
          <w:rFonts w:ascii="Arial" w:hAnsi="Arial" w:cs="Arial"/>
          <w:lang w:val="en-GB"/>
        </w:rPr>
        <w:t xml:space="preserve">income </w:t>
      </w:r>
      <w:r w:rsidR="00E03048" w:rsidRPr="00A412E9">
        <w:rPr>
          <w:rFonts w:ascii="Arial" w:hAnsi="Arial" w:cs="Arial"/>
          <w:lang w:val="en-GB"/>
        </w:rPr>
        <w:t>components</w:t>
      </w:r>
      <w:r w:rsidR="009677D9" w:rsidRPr="00A412E9">
        <w:rPr>
          <w:rFonts w:ascii="Arial" w:hAnsi="Arial" w:cs="Arial"/>
          <w:lang w:val="en-GB"/>
        </w:rPr>
        <w:t xml:space="preserve"> and GVA</w:t>
      </w:r>
      <w:r w:rsidR="00E03048" w:rsidRPr="00A412E9">
        <w:rPr>
          <w:rFonts w:ascii="Arial" w:hAnsi="Arial" w:cs="Arial"/>
          <w:lang w:val="en-GB"/>
        </w:rPr>
        <w:t xml:space="preserve">. </w:t>
      </w:r>
    </w:p>
    <w:p w:rsidR="00502C1D" w:rsidRPr="00A412E9" w:rsidRDefault="00E03048" w:rsidP="00502C1D">
      <w:pPr>
        <w:pStyle w:val="ListParagraph"/>
        <w:spacing w:line="360" w:lineRule="auto"/>
        <w:ind w:left="709"/>
        <w:jc w:val="both"/>
        <w:rPr>
          <w:rFonts w:ascii="Arial" w:hAnsi="Arial" w:cs="Arial"/>
          <w:lang w:val="en-GB"/>
        </w:rPr>
      </w:pPr>
      <w:r w:rsidRPr="00A412E9">
        <w:rPr>
          <w:rFonts w:ascii="Arial" w:hAnsi="Arial" w:cs="Arial"/>
          <w:lang w:val="en-GB"/>
        </w:rPr>
        <w:t xml:space="preserve">All </w:t>
      </w:r>
      <w:r w:rsidR="008F6DA3">
        <w:rPr>
          <w:rFonts w:ascii="Arial" w:hAnsi="Arial" w:cs="Arial"/>
          <w:lang w:val="en-GB"/>
        </w:rPr>
        <w:t>balancing and benchmarking</w:t>
      </w:r>
      <w:r w:rsidRPr="00A412E9">
        <w:rPr>
          <w:rFonts w:ascii="Arial" w:hAnsi="Arial" w:cs="Arial"/>
          <w:lang w:val="en-GB"/>
        </w:rPr>
        <w:t xml:space="preserve"> procedures affect</w:t>
      </w:r>
      <w:r w:rsidR="00502C1D" w:rsidRPr="00A412E9">
        <w:rPr>
          <w:rFonts w:ascii="Arial" w:hAnsi="Arial" w:cs="Arial"/>
          <w:lang w:val="en-GB"/>
        </w:rPr>
        <w:t xml:space="preserve"> both </w:t>
      </w:r>
      <w:r w:rsidR="009677D9" w:rsidRPr="00A412E9">
        <w:rPr>
          <w:rFonts w:ascii="Arial" w:hAnsi="Arial" w:cs="Arial"/>
          <w:lang w:val="en-GB"/>
        </w:rPr>
        <w:t xml:space="preserve">SUT (QRE) at </w:t>
      </w:r>
      <w:r w:rsidR="00502C1D" w:rsidRPr="00A412E9">
        <w:rPr>
          <w:rFonts w:ascii="Arial" w:hAnsi="Arial" w:cs="Arial"/>
          <w:lang w:val="en-GB"/>
        </w:rPr>
        <w:t>current and previous year prices, again for reasons of consistency and coherence.</w:t>
      </w:r>
    </w:p>
    <w:p w:rsidR="00ED2271" w:rsidRPr="00A412E9" w:rsidRDefault="00C33B0F" w:rsidP="00ED2271">
      <w:pPr>
        <w:pStyle w:val="ListParagraph"/>
        <w:spacing w:line="360" w:lineRule="auto"/>
        <w:ind w:left="709"/>
        <w:jc w:val="both"/>
        <w:rPr>
          <w:rFonts w:ascii="Arial" w:hAnsi="Arial" w:cs="Arial"/>
          <w:lang w:val="en-GB"/>
        </w:rPr>
      </w:pPr>
      <w:r w:rsidRPr="00A412E9">
        <w:rPr>
          <w:rFonts w:ascii="Arial" w:hAnsi="Arial" w:cs="Arial"/>
          <w:lang w:val="en-GB"/>
        </w:rPr>
        <w:t xml:space="preserve">In subsequent stages, the coherence and the consistency </w:t>
      </w:r>
      <w:r w:rsidR="00155D07" w:rsidRPr="00A412E9">
        <w:rPr>
          <w:rFonts w:ascii="Arial" w:hAnsi="Arial" w:cs="Arial"/>
          <w:lang w:val="en-GB"/>
        </w:rPr>
        <w:t xml:space="preserve">of SUT (QRE) </w:t>
      </w:r>
      <w:r w:rsidRPr="00A412E9">
        <w:rPr>
          <w:rFonts w:ascii="Arial" w:hAnsi="Arial" w:cs="Arial"/>
          <w:lang w:val="en-GB"/>
        </w:rPr>
        <w:t xml:space="preserve">with </w:t>
      </w:r>
      <w:r w:rsidR="00155D07" w:rsidRPr="00A412E9">
        <w:rPr>
          <w:rFonts w:ascii="Arial" w:hAnsi="Arial" w:cs="Arial"/>
          <w:lang w:val="en-GB"/>
        </w:rPr>
        <w:t>QCEI is carried out at all common transactions until fixing GDP and Gross national Income (GNI, only in QCEI) at current prices.</w:t>
      </w:r>
    </w:p>
    <w:p w:rsidR="00155D07" w:rsidRPr="00A412E9" w:rsidRDefault="002034C3" w:rsidP="00ED2271">
      <w:pPr>
        <w:pStyle w:val="ListParagraph"/>
        <w:spacing w:line="360" w:lineRule="auto"/>
        <w:ind w:left="709"/>
        <w:jc w:val="both"/>
        <w:rPr>
          <w:rFonts w:ascii="Arial" w:hAnsi="Arial" w:cs="Arial"/>
          <w:lang w:val="en-GB"/>
        </w:rPr>
      </w:pPr>
      <w:r w:rsidRPr="00A412E9">
        <w:rPr>
          <w:rFonts w:ascii="Arial" w:hAnsi="Arial" w:cs="Arial"/>
          <w:lang w:val="en-GB"/>
        </w:rPr>
        <w:t xml:space="preserve">The </w:t>
      </w:r>
      <w:r w:rsidR="008F6DA3">
        <w:rPr>
          <w:rFonts w:ascii="Arial" w:hAnsi="Arial" w:cs="Arial"/>
          <w:lang w:val="en-GB"/>
        </w:rPr>
        <w:t>balancing and benchmarking</w:t>
      </w:r>
      <w:r w:rsidRPr="00A412E9">
        <w:rPr>
          <w:rFonts w:ascii="Arial" w:hAnsi="Arial" w:cs="Arial"/>
          <w:lang w:val="en-GB"/>
        </w:rPr>
        <w:t xml:space="preserve"> of </w:t>
      </w:r>
      <w:r w:rsidR="00502C1D" w:rsidRPr="00A412E9">
        <w:rPr>
          <w:rFonts w:ascii="Arial" w:hAnsi="Arial" w:cs="Arial"/>
          <w:lang w:val="en-GB"/>
        </w:rPr>
        <w:t>SUT (QRE), at current</w:t>
      </w:r>
      <w:r w:rsidR="00FE2BC5" w:rsidRPr="00A412E9">
        <w:rPr>
          <w:rFonts w:ascii="Arial" w:hAnsi="Arial" w:cs="Arial"/>
          <w:lang w:val="en-GB"/>
        </w:rPr>
        <w:t xml:space="preserve"> and at previous year</w:t>
      </w:r>
      <w:r w:rsidR="00502C1D" w:rsidRPr="00A412E9">
        <w:rPr>
          <w:rFonts w:ascii="Arial" w:hAnsi="Arial" w:cs="Arial"/>
          <w:lang w:val="en-GB"/>
        </w:rPr>
        <w:t xml:space="preserve"> prices, </w:t>
      </w:r>
      <w:r w:rsidRPr="00A412E9">
        <w:rPr>
          <w:rFonts w:ascii="Arial" w:hAnsi="Arial" w:cs="Arial"/>
          <w:lang w:val="en-GB"/>
        </w:rPr>
        <w:t xml:space="preserve">finishes when the synthesis of </w:t>
      </w:r>
      <w:r w:rsidR="00502C1D" w:rsidRPr="00A412E9">
        <w:rPr>
          <w:rFonts w:ascii="Arial" w:hAnsi="Arial" w:cs="Arial"/>
          <w:lang w:val="en-GB"/>
        </w:rPr>
        <w:t>QCEI</w:t>
      </w:r>
      <w:r w:rsidRPr="00A412E9">
        <w:rPr>
          <w:rFonts w:ascii="Arial" w:hAnsi="Arial" w:cs="Arial"/>
          <w:lang w:val="en-GB"/>
        </w:rPr>
        <w:t xml:space="preserve"> is deemed complete.</w:t>
      </w:r>
    </w:p>
    <w:p w:rsidR="00542867" w:rsidRDefault="00542867" w:rsidP="0022572E">
      <w:pPr>
        <w:pStyle w:val="ListParagraph"/>
        <w:spacing w:line="360" w:lineRule="auto"/>
        <w:ind w:left="426"/>
        <w:rPr>
          <w:rFonts w:ascii="Arial" w:hAnsi="Arial" w:cs="Arial"/>
          <w:u w:val="single"/>
          <w:lang w:val="en-GB"/>
        </w:rPr>
      </w:pPr>
    </w:p>
    <w:p w:rsidR="0022572E" w:rsidRPr="00A412E9" w:rsidRDefault="0022572E" w:rsidP="0022572E">
      <w:pPr>
        <w:pStyle w:val="ListParagraph"/>
        <w:numPr>
          <w:ilvl w:val="0"/>
          <w:numId w:val="1"/>
        </w:numPr>
        <w:spacing w:line="360" w:lineRule="auto"/>
        <w:ind w:left="426" w:hanging="142"/>
        <w:rPr>
          <w:rFonts w:ascii="Arial" w:hAnsi="Arial" w:cs="Arial"/>
          <w:u w:val="single"/>
          <w:lang w:val="en-GB"/>
        </w:rPr>
      </w:pPr>
      <w:r w:rsidRPr="00A412E9">
        <w:rPr>
          <w:rFonts w:ascii="Arial" w:hAnsi="Arial" w:cs="Arial"/>
          <w:u w:val="single"/>
          <w:lang w:val="en-GB"/>
        </w:rPr>
        <w:t>SUT (QRE) at previous years prices</w:t>
      </w:r>
    </w:p>
    <w:p w:rsidR="0022572E" w:rsidRPr="00A412E9" w:rsidRDefault="0022572E" w:rsidP="0022572E">
      <w:pPr>
        <w:pStyle w:val="ListParagraph"/>
        <w:spacing w:line="360" w:lineRule="auto"/>
        <w:ind w:left="426"/>
        <w:rPr>
          <w:rFonts w:ascii="Arial" w:hAnsi="Arial" w:cs="Arial"/>
          <w:u w:val="single"/>
          <w:lang w:val="en-GB"/>
        </w:rPr>
      </w:pPr>
    </w:p>
    <w:p w:rsidR="001320CC" w:rsidRPr="00A412E9" w:rsidRDefault="00407B42" w:rsidP="00BD0C7D">
      <w:pPr>
        <w:pStyle w:val="ListParagraph"/>
        <w:spacing w:line="360" w:lineRule="auto"/>
        <w:ind w:left="426"/>
        <w:jc w:val="both"/>
        <w:rPr>
          <w:rFonts w:ascii="Arial" w:hAnsi="Arial" w:cs="Arial"/>
          <w:lang w:val="en-GB"/>
        </w:rPr>
      </w:pPr>
      <w:r>
        <w:rPr>
          <w:rFonts w:ascii="Arial" w:hAnsi="Arial" w:cs="Arial"/>
          <w:lang w:val="en-GB"/>
        </w:rPr>
        <w:t>T</w:t>
      </w:r>
      <w:r w:rsidR="00B441D9" w:rsidRPr="00A412E9">
        <w:rPr>
          <w:rFonts w:ascii="Arial" w:hAnsi="Arial" w:cs="Arial"/>
          <w:lang w:val="en-GB"/>
        </w:rPr>
        <w:t>he precedent</w:t>
      </w:r>
      <w:r w:rsidR="00166B00">
        <w:rPr>
          <w:rFonts w:ascii="Arial" w:hAnsi="Arial" w:cs="Arial"/>
          <w:lang w:val="en-GB"/>
        </w:rPr>
        <w:t xml:space="preserve"> sections</w:t>
      </w:r>
      <w:r w:rsidR="001320CC" w:rsidRPr="00A412E9">
        <w:rPr>
          <w:rFonts w:ascii="Arial" w:hAnsi="Arial" w:cs="Arial"/>
          <w:lang w:val="en-GB"/>
        </w:rPr>
        <w:t xml:space="preserve"> emphasized the fact that</w:t>
      </w:r>
      <w:r w:rsidR="009E6861" w:rsidRPr="00A412E9">
        <w:rPr>
          <w:rFonts w:ascii="Arial" w:hAnsi="Arial" w:cs="Arial"/>
          <w:lang w:val="en-GB"/>
        </w:rPr>
        <w:t xml:space="preserve"> SUT (QRE) at current and at previous years prices</w:t>
      </w:r>
      <w:r w:rsidR="0019040F" w:rsidRPr="00A412E9">
        <w:rPr>
          <w:rFonts w:ascii="Arial" w:hAnsi="Arial" w:cs="Arial"/>
          <w:lang w:val="en-GB"/>
        </w:rPr>
        <w:t xml:space="preserve"> are</w:t>
      </w:r>
      <w:r w:rsidR="009E6861" w:rsidRPr="00A412E9">
        <w:rPr>
          <w:rFonts w:ascii="Arial" w:hAnsi="Arial" w:cs="Arial"/>
          <w:lang w:val="en-GB"/>
        </w:rPr>
        <w:t xml:space="preserve"> </w:t>
      </w:r>
      <w:r w:rsidR="0019040F" w:rsidRPr="00A412E9">
        <w:rPr>
          <w:rFonts w:ascii="Arial" w:hAnsi="Arial" w:cs="Arial"/>
          <w:lang w:val="en-GB"/>
        </w:rPr>
        <w:t xml:space="preserve">effectively </w:t>
      </w:r>
      <w:r w:rsidR="008435CA" w:rsidRPr="00A412E9">
        <w:rPr>
          <w:rFonts w:ascii="Arial" w:hAnsi="Arial" w:cs="Arial"/>
          <w:lang w:val="en-GB"/>
        </w:rPr>
        <w:t>compiled and balanced</w:t>
      </w:r>
      <w:r w:rsidR="009E6861" w:rsidRPr="00A412E9">
        <w:rPr>
          <w:rFonts w:ascii="Arial" w:hAnsi="Arial" w:cs="Arial"/>
          <w:lang w:val="en-GB"/>
        </w:rPr>
        <w:t xml:space="preserve"> together </w:t>
      </w:r>
      <w:r w:rsidR="00BD0C7D" w:rsidRPr="00A412E9">
        <w:rPr>
          <w:rFonts w:ascii="Arial" w:hAnsi="Arial" w:cs="Arial"/>
          <w:lang w:val="en-GB"/>
        </w:rPr>
        <w:t xml:space="preserve">in all </w:t>
      </w:r>
      <w:r w:rsidR="002C40DE" w:rsidRPr="00A412E9">
        <w:rPr>
          <w:rFonts w:ascii="Arial" w:hAnsi="Arial" w:cs="Arial"/>
          <w:lang w:val="en-GB"/>
        </w:rPr>
        <w:t>stages of the NA compilation in</w:t>
      </w:r>
      <w:r w:rsidR="008435CA" w:rsidRPr="00A412E9">
        <w:rPr>
          <w:rFonts w:ascii="Arial" w:hAnsi="Arial" w:cs="Arial"/>
          <w:lang w:val="en-GB"/>
        </w:rPr>
        <w:t xml:space="preserve"> </w:t>
      </w:r>
      <w:r w:rsidR="00BD0C7D" w:rsidRPr="00A412E9">
        <w:rPr>
          <w:rFonts w:ascii="Arial" w:hAnsi="Arial" w:cs="Arial"/>
          <w:lang w:val="en-GB"/>
        </w:rPr>
        <w:t>Statistics Portugal</w:t>
      </w:r>
      <w:r w:rsidR="008435CA" w:rsidRPr="00A412E9">
        <w:rPr>
          <w:rFonts w:ascii="Arial" w:hAnsi="Arial" w:cs="Arial"/>
          <w:lang w:val="en-GB"/>
        </w:rPr>
        <w:t xml:space="preserve"> (INE)</w:t>
      </w:r>
      <w:r w:rsidR="0019040F" w:rsidRPr="00A412E9">
        <w:rPr>
          <w:rFonts w:ascii="Arial" w:hAnsi="Arial" w:cs="Arial"/>
          <w:lang w:val="en-GB"/>
        </w:rPr>
        <w:t>.</w:t>
      </w:r>
      <w:r w:rsidR="00BD0C7D" w:rsidRPr="00A412E9">
        <w:rPr>
          <w:rFonts w:ascii="Arial" w:hAnsi="Arial" w:cs="Arial"/>
          <w:lang w:val="en-GB"/>
        </w:rPr>
        <w:t xml:space="preserve"> </w:t>
      </w:r>
    </w:p>
    <w:p w:rsidR="0019040F" w:rsidRPr="00A412E9" w:rsidRDefault="0019040F" w:rsidP="00BD0C7D">
      <w:pPr>
        <w:pStyle w:val="ListParagraph"/>
        <w:spacing w:line="360" w:lineRule="auto"/>
        <w:ind w:left="426"/>
        <w:jc w:val="both"/>
        <w:rPr>
          <w:rFonts w:ascii="Arial" w:hAnsi="Arial" w:cs="Arial"/>
          <w:lang w:val="en-GB"/>
        </w:rPr>
      </w:pPr>
      <w:r w:rsidRPr="00A412E9">
        <w:rPr>
          <w:rFonts w:ascii="Arial" w:hAnsi="Arial" w:cs="Arial"/>
          <w:lang w:val="en-GB"/>
        </w:rPr>
        <w:lastRenderedPageBreak/>
        <w:t>For that purpose, all background to the preparation of such tables has been improved since a long time ago, using the large expe</w:t>
      </w:r>
      <w:r w:rsidR="00A81794" w:rsidRPr="00A412E9">
        <w:rPr>
          <w:rFonts w:ascii="Arial" w:hAnsi="Arial" w:cs="Arial"/>
          <w:lang w:val="en-GB"/>
        </w:rPr>
        <w:t xml:space="preserve">rience </w:t>
      </w:r>
      <w:r w:rsidR="00E95519" w:rsidRPr="00A412E9">
        <w:rPr>
          <w:rFonts w:ascii="Arial" w:hAnsi="Arial" w:cs="Arial"/>
          <w:lang w:val="en-GB"/>
        </w:rPr>
        <w:t>of the national accountants</w:t>
      </w:r>
      <w:r w:rsidR="008435CA" w:rsidRPr="00A412E9">
        <w:rPr>
          <w:rFonts w:ascii="Arial" w:hAnsi="Arial" w:cs="Arial"/>
          <w:lang w:val="en-GB"/>
        </w:rPr>
        <w:t xml:space="preserve"> and</w:t>
      </w:r>
      <w:r w:rsidR="00A81794" w:rsidRPr="00A412E9">
        <w:rPr>
          <w:rFonts w:ascii="Arial" w:hAnsi="Arial" w:cs="Arial"/>
          <w:lang w:val="en-GB"/>
        </w:rPr>
        <w:t xml:space="preserve"> </w:t>
      </w:r>
      <w:r w:rsidR="00166B00">
        <w:rPr>
          <w:rFonts w:ascii="Arial" w:hAnsi="Arial" w:cs="Arial"/>
          <w:lang w:val="en-GB"/>
        </w:rPr>
        <w:t xml:space="preserve">also </w:t>
      </w:r>
      <w:r w:rsidRPr="00A412E9">
        <w:rPr>
          <w:rFonts w:ascii="Arial" w:hAnsi="Arial" w:cs="Arial"/>
          <w:lang w:val="en-GB"/>
        </w:rPr>
        <w:t xml:space="preserve">adapting </w:t>
      </w:r>
      <w:r w:rsidR="002C40DE" w:rsidRPr="00A412E9">
        <w:rPr>
          <w:rFonts w:ascii="Arial" w:hAnsi="Arial" w:cs="Arial"/>
          <w:lang w:val="en-GB"/>
        </w:rPr>
        <w:t>continuously</w:t>
      </w:r>
      <w:r w:rsidR="0062739A" w:rsidRPr="00A412E9">
        <w:rPr>
          <w:rFonts w:ascii="Arial" w:hAnsi="Arial" w:cs="Arial"/>
          <w:lang w:val="en-GB"/>
        </w:rPr>
        <w:t xml:space="preserve"> the entir</w:t>
      </w:r>
      <w:r w:rsidR="00166B00">
        <w:rPr>
          <w:rFonts w:ascii="Arial" w:hAnsi="Arial" w:cs="Arial"/>
          <w:lang w:val="en-GB"/>
        </w:rPr>
        <w:t>e framework to new requirements</w:t>
      </w:r>
      <w:r w:rsidR="0062739A" w:rsidRPr="00A412E9">
        <w:rPr>
          <w:rFonts w:ascii="Arial" w:hAnsi="Arial" w:cs="Arial"/>
          <w:lang w:val="en-GB"/>
        </w:rPr>
        <w:t xml:space="preserve">. Usually, this occurs </w:t>
      </w:r>
      <w:r w:rsidR="00754AA2" w:rsidRPr="00A412E9">
        <w:rPr>
          <w:rFonts w:ascii="Arial" w:hAnsi="Arial" w:cs="Arial"/>
          <w:lang w:val="en-GB"/>
        </w:rPr>
        <w:t>when ta</w:t>
      </w:r>
      <w:r w:rsidR="00B20A5A" w:rsidRPr="00A412E9">
        <w:rPr>
          <w:rFonts w:ascii="Arial" w:hAnsi="Arial" w:cs="Arial"/>
          <w:lang w:val="en-GB"/>
        </w:rPr>
        <w:t>k</w:t>
      </w:r>
      <w:r w:rsidR="00754AA2" w:rsidRPr="00A412E9">
        <w:rPr>
          <w:rFonts w:ascii="Arial" w:hAnsi="Arial" w:cs="Arial"/>
          <w:lang w:val="en-GB"/>
        </w:rPr>
        <w:t>es</w:t>
      </w:r>
      <w:r w:rsidR="00B20A5A" w:rsidRPr="00A412E9">
        <w:rPr>
          <w:rFonts w:ascii="Arial" w:hAnsi="Arial" w:cs="Arial"/>
          <w:lang w:val="en-GB"/>
        </w:rPr>
        <w:t xml:space="preserve"> place the</w:t>
      </w:r>
      <w:r w:rsidR="002C40DE" w:rsidRPr="00A412E9">
        <w:rPr>
          <w:rFonts w:ascii="Arial" w:hAnsi="Arial" w:cs="Arial"/>
          <w:lang w:val="en-GB"/>
        </w:rPr>
        <w:t xml:space="preserve"> major revisions to the </w:t>
      </w:r>
      <w:r w:rsidR="0062739A" w:rsidRPr="00A412E9">
        <w:rPr>
          <w:rFonts w:ascii="Arial" w:hAnsi="Arial" w:cs="Arial"/>
          <w:lang w:val="en-GB"/>
        </w:rPr>
        <w:t xml:space="preserve">NA </w:t>
      </w:r>
      <w:r w:rsidR="002C40DE" w:rsidRPr="00A412E9">
        <w:rPr>
          <w:rFonts w:ascii="Arial" w:hAnsi="Arial" w:cs="Arial"/>
          <w:lang w:val="en-GB"/>
        </w:rPr>
        <w:t xml:space="preserve">methodology, i.e. </w:t>
      </w:r>
      <w:r w:rsidR="00B20A5A" w:rsidRPr="00A412E9">
        <w:rPr>
          <w:rFonts w:ascii="Arial" w:hAnsi="Arial" w:cs="Arial"/>
          <w:lang w:val="en-GB"/>
        </w:rPr>
        <w:t>by the occasion of</w:t>
      </w:r>
      <w:r w:rsidR="0062739A" w:rsidRPr="00A412E9">
        <w:rPr>
          <w:rFonts w:ascii="Arial" w:hAnsi="Arial" w:cs="Arial"/>
          <w:lang w:val="en-GB"/>
        </w:rPr>
        <w:t xml:space="preserve"> </w:t>
      </w:r>
      <w:r w:rsidR="002C40DE" w:rsidRPr="00A412E9">
        <w:rPr>
          <w:rFonts w:ascii="Arial" w:hAnsi="Arial" w:cs="Arial"/>
          <w:lang w:val="en-GB"/>
        </w:rPr>
        <w:t xml:space="preserve">the introduction of </w:t>
      </w:r>
      <w:r w:rsidR="00B20A5A" w:rsidRPr="00A412E9">
        <w:rPr>
          <w:rFonts w:ascii="Arial" w:hAnsi="Arial" w:cs="Arial"/>
          <w:lang w:val="en-GB"/>
        </w:rPr>
        <w:t>new benchmark year</w:t>
      </w:r>
      <w:r w:rsidR="002C40DE" w:rsidRPr="00A412E9">
        <w:rPr>
          <w:rFonts w:ascii="Arial" w:hAnsi="Arial" w:cs="Arial"/>
          <w:lang w:val="en-GB"/>
        </w:rPr>
        <w:t xml:space="preserve"> in the NA</w:t>
      </w:r>
      <w:r w:rsidRPr="00A412E9">
        <w:rPr>
          <w:rFonts w:ascii="Arial" w:hAnsi="Arial" w:cs="Arial"/>
          <w:lang w:val="en-GB"/>
        </w:rPr>
        <w:t>.</w:t>
      </w:r>
    </w:p>
    <w:p w:rsidR="0062739A" w:rsidRPr="00A412E9" w:rsidRDefault="0062739A" w:rsidP="00BD0C7D">
      <w:pPr>
        <w:pStyle w:val="ListParagraph"/>
        <w:spacing w:line="360" w:lineRule="auto"/>
        <w:ind w:left="426"/>
        <w:jc w:val="both"/>
        <w:rPr>
          <w:rFonts w:ascii="Arial" w:hAnsi="Arial" w:cs="Arial"/>
          <w:lang w:val="en-GB"/>
        </w:rPr>
      </w:pPr>
    </w:p>
    <w:p w:rsidR="00466A87" w:rsidRPr="00A412E9" w:rsidRDefault="00A81794" w:rsidP="00BD0C7D">
      <w:pPr>
        <w:pStyle w:val="ListParagraph"/>
        <w:spacing w:line="360" w:lineRule="auto"/>
        <w:ind w:left="426"/>
        <w:jc w:val="both"/>
        <w:rPr>
          <w:rFonts w:ascii="Arial" w:hAnsi="Arial" w:cs="Arial"/>
          <w:lang w:val="en-GB"/>
        </w:rPr>
      </w:pPr>
      <w:r w:rsidRPr="00A412E9">
        <w:rPr>
          <w:rFonts w:ascii="Arial" w:hAnsi="Arial" w:cs="Arial"/>
          <w:lang w:val="en-GB"/>
        </w:rPr>
        <w:t xml:space="preserve">The aim of this section is to </w:t>
      </w:r>
      <w:r w:rsidR="00346B57" w:rsidRPr="00A412E9">
        <w:rPr>
          <w:rFonts w:ascii="Arial" w:hAnsi="Arial" w:cs="Arial"/>
          <w:lang w:val="en-GB"/>
        </w:rPr>
        <w:t xml:space="preserve">highlight </w:t>
      </w:r>
      <w:r w:rsidR="004902A0">
        <w:rPr>
          <w:rFonts w:ascii="Arial" w:hAnsi="Arial" w:cs="Arial"/>
          <w:lang w:val="en-GB"/>
        </w:rPr>
        <w:t>the operational set up</w:t>
      </w:r>
      <w:r w:rsidR="00EA70C9">
        <w:rPr>
          <w:rFonts w:ascii="Arial" w:hAnsi="Arial" w:cs="Arial"/>
          <w:lang w:val="en-GB"/>
        </w:rPr>
        <w:t xml:space="preserve"> and </w:t>
      </w:r>
      <w:r w:rsidR="00346B57" w:rsidRPr="00A412E9">
        <w:rPr>
          <w:rFonts w:ascii="Arial" w:hAnsi="Arial" w:cs="Arial"/>
          <w:lang w:val="en-GB"/>
        </w:rPr>
        <w:t>the relevance</w:t>
      </w:r>
      <w:r w:rsidR="00B441D9" w:rsidRPr="00A412E9">
        <w:rPr>
          <w:rFonts w:ascii="Arial" w:hAnsi="Arial" w:cs="Arial"/>
          <w:lang w:val="en-GB"/>
        </w:rPr>
        <w:t xml:space="preserve"> of the SUT (QRE) at previous year prices</w:t>
      </w:r>
      <w:r w:rsidR="00346B57" w:rsidRPr="00A412E9">
        <w:rPr>
          <w:rFonts w:ascii="Arial" w:hAnsi="Arial" w:cs="Arial"/>
          <w:lang w:val="en-GB"/>
        </w:rPr>
        <w:t xml:space="preserve"> for the quality of the</w:t>
      </w:r>
      <w:r w:rsidR="00B441D9" w:rsidRPr="00A412E9">
        <w:rPr>
          <w:rFonts w:ascii="Arial" w:hAnsi="Arial" w:cs="Arial"/>
          <w:lang w:val="en-GB"/>
        </w:rPr>
        <w:t xml:space="preserve"> overall</w:t>
      </w:r>
      <w:r w:rsidR="00346B57" w:rsidRPr="00A412E9">
        <w:rPr>
          <w:rFonts w:ascii="Arial" w:hAnsi="Arial" w:cs="Arial"/>
          <w:lang w:val="en-GB"/>
        </w:rPr>
        <w:t xml:space="preserve"> Portuguese NA system.</w:t>
      </w:r>
    </w:p>
    <w:p w:rsidR="00B301F0" w:rsidRPr="00A412E9" w:rsidRDefault="00B301F0" w:rsidP="0022572E">
      <w:pPr>
        <w:pStyle w:val="ListParagraph"/>
        <w:spacing w:line="360" w:lineRule="auto"/>
        <w:ind w:left="426"/>
        <w:rPr>
          <w:rFonts w:ascii="Arial" w:hAnsi="Arial" w:cs="Arial"/>
          <w:u w:val="single"/>
          <w:lang w:val="en-GB"/>
        </w:rPr>
      </w:pPr>
    </w:p>
    <w:p w:rsidR="00994B2A" w:rsidRPr="00A412E9" w:rsidRDefault="00271DEF" w:rsidP="00994B2A">
      <w:pPr>
        <w:pStyle w:val="ListParagraph"/>
        <w:numPr>
          <w:ilvl w:val="0"/>
          <w:numId w:val="4"/>
        </w:numPr>
        <w:spacing w:line="360" w:lineRule="auto"/>
        <w:rPr>
          <w:rFonts w:ascii="Arial" w:hAnsi="Arial" w:cs="Arial"/>
          <w:lang w:val="en-GB"/>
        </w:rPr>
      </w:pPr>
      <w:r w:rsidRPr="00A412E9">
        <w:rPr>
          <w:rFonts w:ascii="Arial" w:hAnsi="Arial" w:cs="Arial"/>
          <w:lang w:val="en-GB"/>
        </w:rPr>
        <w:t xml:space="preserve">General remarks </w:t>
      </w:r>
    </w:p>
    <w:p w:rsidR="00B441D9" w:rsidRPr="00A412E9" w:rsidRDefault="00B441D9" w:rsidP="00E95519">
      <w:pPr>
        <w:pStyle w:val="ListParagraph"/>
        <w:spacing w:line="360" w:lineRule="auto"/>
        <w:ind w:left="1146"/>
        <w:jc w:val="both"/>
        <w:rPr>
          <w:rFonts w:ascii="Arial" w:hAnsi="Arial" w:cs="Arial"/>
          <w:lang w:val="en-GB"/>
        </w:rPr>
      </w:pPr>
      <w:r w:rsidRPr="00A412E9">
        <w:rPr>
          <w:rFonts w:ascii="Arial" w:hAnsi="Arial" w:cs="Arial"/>
          <w:lang w:val="en-GB"/>
        </w:rPr>
        <w:t>The SUT (QRE) at pr</w:t>
      </w:r>
      <w:r w:rsidR="00166B00">
        <w:rPr>
          <w:rFonts w:ascii="Arial" w:hAnsi="Arial" w:cs="Arial"/>
          <w:lang w:val="en-GB"/>
        </w:rPr>
        <w:t>evious year prices is compiled</w:t>
      </w:r>
      <w:r w:rsidRPr="00A412E9">
        <w:rPr>
          <w:rFonts w:ascii="Arial" w:hAnsi="Arial" w:cs="Arial"/>
          <w:lang w:val="en-GB"/>
        </w:rPr>
        <w:t xml:space="preserve"> in parallel with the similar table at current prices, as upper referred.</w:t>
      </w:r>
    </w:p>
    <w:p w:rsidR="00B441D9" w:rsidRPr="00A412E9" w:rsidRDefault="00B441D9" w:rsidP="00E95519">
      <w:pPr>
        <w:pStyle w:val="ListParagraph"/>
        <w:spacing w:line="360" w:lineRule="auto"/>
        <w:ind w:left="1146"/>
        <w:jc w:val="both"/>
        <w:rPr>
          <w:rFonts w:ascii="Arial" w:hAnsi="Arial" w:cs="Arial"/>
          <w:lang w:val="en-GB"/>
        </w:rPr>
      </w:pPr>
      <w:r w:rsidRPr="00A412E9">
        <w:rPr>
          <w:rFonts w:ascii="Arial" w:hAnsi="Arial" w:cs="Arial"/>
          <w:lang w:val="en-GB"/>
        </w:rPr>
        <w:t>In principle, all compone</w:t>
      </w:r>
      <w:r w:rsidR="00E95519" w:rsidRPr="00A412E9">
        <w:rPr>
          <w:rFonts w:ascii="Arial" w:hAnsi="Arial" w:cs="Arial"/>
          <w:lang w:val="en-GB"/>
        </w:rPr>
        <w:t xml:space="preserve">nts of the SUT (QRE) at </w:t>
      </w:r>
      <w:r w:rsidR="00BE679A" w:rsidRPr="00A412E9">
        <w:rPr>
          <w:rFonts w:ascii="Arial" w:hAnsi="Arial" w:cs="Arial"/>
          <w:lang w:val="en-GB"/>
        </w:rPr>
        <w:t>previous year</w:t>
      </w:r>
      <w:r w:rsidRPr="00A412E9">
        <w:rPr>
          <w:rFonts w:ascii="Arial" w:hAnsi="Arial" w:cs="Arial"/>
          <w:lang w:val="en-GB"/>
        </w:rPr>
        <w:t xml:space="preserve"> prices may be estimated and balanced, but not necessarily made available – that</w:t>
      </w:r>
      <w:r w:rsidR="004C128E" w:rsidRPr="00A412E9">
        <w:rPr>
          <w:rFonts w:ascii="Arial" w:hAnsi="Arial" w:cs="Arial"/>
          <w:lang w:val="en-GB"/>
        </w:rPr>
        <w:t xml:space="preserve"> i</w:t>
      </w:r>
      <w:r w:rsidRPr="00A412E9">
        <w:rPr>
          <w:rFonts w:ascii="Arial" w:hAnsi="Arial" w:cs="Arial"/>
          <w:lang w:val="en-GB"/>
        </w:rPr>
        <w:t>s the case of the sub-matrix of the components of GVA by industry.</w:t>
      </w:r>
      <w:r w:rsidR="00E95519" w:rsidRPr="00A412E9">
        <w:rPr>
          <w:rFonts w:ascii="Arial" w:hAnsi="Arial" w:cs="Arial"/>
          <w:lang w:val="en-GB"/>
        </w:rPr>
        <w:t xml:space="preserve"> Meanwhile, all reliable estimates are considered in the analysis </w:t>
      </w:r>
      <w:r w:rsidR="000F7CC0" w:rsidRPr="00A412E9">
        <w:rPr>
          <w:rFonts w:ascii="Arial" w:hAnsi="Arial" w:cs="Arial"/>
          <w:lang w:val="en-GB"/>
        </w:rPr>
        <w:t xml:space="preserve">of the </w:t>
      </w:r>
      <w:r w:rsidR="00E95519" w:rsidRPr="00A412E9">
        <w:rPr>
          <w:rFonts w:ascii="Arial" w:hAnsi="Arial" w:cs="Arial"/>
          <w:lang w:val="en-GB"/>
        </w:rPr>
        <w:t xml:space="preserve">consistency of the </w:t>
      </w:r>
      <w:r w:rsidR="000F7CC0" w:rsidRPr="00A412E9">
        <w:rPr>
          <w:rFonts w:ascii="Arial" w:hAnsi="Arial" w:cs="Arial"/>
          <w:lang w:val="en-GB"/>
        </w:rPr>
        <w:t xml:space="preserve">whole </w:t>
      </w:r>
      <w:r w:rsidR="00E95519" w:rsidRPr="00A412E9">
        <w:rPr>
          <w:rFonts w:ascii="Arial" w:hAnsi="Arial" w:cs="Arial"/>
          <w:lang w:val="en-GB"/>
        </w:rPr>
        <w:t>macroeconomic data.</w:t>
      </w:r>
    </w:p>
    <w:p w:rsidR="004C128E" w:rsidRDefault="002B02E4" w:rsidP="00E95519">
      <w:pPr>
        <w:pStyle w:val="ListParagraph"/>
        <w:spacing w:line="360" w:lineRule="auto"/>
        <w:ind w:left="1146"/>
        <w:jc w:val="both"/>
        <w:rPr>
          <w:rFonts w:ascii="Arial" w:hAnsi="Arial" w:cs="Arial"/>
          <w:lang w:val="en-GB"/>
        </w:rPr>
      </w:pPr>
      <w:r w:rsidRPr="00A412E9">
        <w:rPr>
          <w:rFonts w:ascii="Arial" w:hAnsi="Arial" w:cs="Arial"/>
          <w:lang w:val="en-GB"/>
        </w:rPr>
        <w:t>Therefore, like SUT (QRE) at current prices, this table may be subdivided in all its components, by industry and product</w:t>
      </w:r>
      <w:r w:rsidR="0014265D">
        <w:rPr>
          <w:rFonts w:ascii="Arial" w:hAnsi="Arial" w:cs="Arial"/>
          <w:lang w:val="en-GB"/>
        </w:rPr>
        <w:t xml:space="preserve">: column-vectors of output and </w:t>
      </w:r>
      <w:r w:rsidRPr="00A412E9">
        <w:rPr>
          <w:rFonts w:ascii="Arial" w:hAnsi="Arial" w:cs="Arial"/>
          <w:lang w:val="en-GB"/>
        </w:rPr>
        <w:t>import</w:t>
      </w:r>
      <w:r w:rsidR="0014265D">
        <w:rPr>
          <w:rFonts w:ascii="Arial" w:hAnsi="Arial" w:cs="Arial"/>
          <w:lang w:val="en-GB"/>
        </w:rPr>
        <w:t>s</w:t>
      </w:r>
      <w:r w:rsidR="00EE0D92">
        <w:rPr>
          <w:rFonts w:ascii="Arial" w:hAnsi="Arial" w:cs="Arial"/>
          <w:lang w:val="en-GB"/>
        </w:rPr>
        <w:t xml:space="preserve"> (goods and services) and the</w:t>
      </w:r>
      <w:r w:rsidRPr="00A412E9">
        <w:rPr>
          <w:rFonts w:ascii="Arial" w:hAnsi="Arial" w:cs="Arial"/>
          <w:lang w:val="en-GB"/>
        </w:rPr>
        <w:t xml:space="preserve"> </w:t>
      </w:r>
      <w:r w:rsidR="00EE0D92">
        <w:rPr>
          <w:rFonts w:ascii="Arial" w:hAnsi="Arial" w:cs="Arial"/>
          <w:lang w:val="en-GB"/>
        </w:rPr>
        <w:t>different valuation items (totals)</w:t>
      </w:r>
      <w:r w:rsidRPr="00A412E9">
        <w:rPr>
          <w:rFonts w:ascii="Arial" w:hAnsi="Arial" w:cs="Arial"/>
          <w:lang w:val="en-GB"/>
        </w:rPr>
        <w:t>, from supply table; from use table, IC</w:t>
      </w:r>
      <w:r w:rsidR="00EE0D92">
        <w:rPr>
          <w:rFonts w:ascii="Arial" w:hAnsi="Arial" w:cs="Arial"/>
          <w:lang w:val="en-GB"/>
        </w:rPr>
        <w:t xml:space="preserve"> matrix, and all final uses at purchasers’ prices</w:t>
      </w:r>
      <w:r w:rsidR="00350893">
        <w:rPr>
          <w:rFonts w:ascii="Arial" w:hAnsi="Arial" w:cs="Arial"/>
          <w:lang w:val="en-GB"/>
        </w:rPr>
        <w:t xml:space="preserve"> or, either, </w:t>
      </w:r>
      <w:r w:rsidR="00EE0D92">
        <w:rPr>
          <w:rFonts w:ascii="Arial" w:hAnsi="Arial" w:cs="Arial"/>
          <w:lang w:val="en-GB"/>
        </w:rPr>
        <w:t>at basic prices plus their respective valuation items.</w:t>
      </w:r>
    </w:p>
    <w:p w:rsidR="00B441D9" w:rsidRPr="00A412E9" w:rsidRDefault="00B441D9" w:rsidP="00E95519">
      <w:pPr>
        <w:pStyle w:val="ListParagraph"/>
        <w:spacing w:line="360" w:lineRule="auto"/>
        <w:ind w:left="1146"/>
        <w:jc w:val="both"/>
        <w:rPr>
          <w:rFonts w:ascii="Arial" w:hAnsi="Arial" w:cs="Arial"/>
          <w:lang w:val="en-GB"/>
        </w:rPr>
      </w:pPr>
      <w:r w:rsidRPr="00A412E9">
        <w:rPr>
          <w:rFonts w:ascii="Arial" w:hAnsi="Arial" w:cs="Arial"/>
          <w:lang w:val="en-GB"/>
        </w:rPr>
        <w:t>To be remarked</w:t>
      </w:r>
      <w:r w:rsidR="004C128E" w:rsidRPr="00A412E9">
        <w:rPr>
          <w:rFonts w:ascii="Arial" w:hAnsi="Arial" w:cs="Arial"/>
          <w:lang w:val="en-GB"/>
        </w:rPr>
        <w:t>:</w:t>
      </w:r>
      <w:r w:rsidRPr="00A412E9">
        <w:rPr>
          <w:rFonts w:ascii="Arial" w:hAnsi="Arial" w:cs="Arial"/>
          <w:lang w:val="en-GB"/>
        </w:rPr>
        <w:t xml:space="preserve"> this kind of information and the estimations </w:t>
      </w:r>
      <w:r w:rsidR="00997C64" w:rsidRPr="00A412E9">
        <w:rPr>
          <w:rFonts w:ascii="Arial" w:hAnsi="Arial" w:cs="Arial"/>
          <w:lang w:val="en-GB"/>
        </w:rPr>
        <w:t xml:space="preserve">at previous year prices </w:t>
      </w:r>
      <w:r w:rsidR="00BE679A" w:rsidRPr="00A412E9">
        <w:rPr>
          <w:rFonts w:ascii="Arial" w:hAnsi="Arial" w:cs="Arial"/>
          <w:lang w:val="en-GB"/>
        </w:rPr>
        <w:t xml:space="preserve">are </w:t>
      </w:r>
      <w:r w:rsidR="004C128E" w:rsidRPr="00A412E9">
        <w:rPr>
          <w:rFonts w:ascii="Arial" w:hAnsi="Arial" w:cs="Arial"/>
          <w:lang w:val="en-GB"/>
        </w:rPr>
        <w:t xml:space="preserve">firstly </w:t>
      </w:r>
      <w:r w:rsidR="00166B00">
        <w:rPr>
          <w:rFonts w:ascii="Arial" w:hAnsi="Arial" w:cs="Arial"/>
          <w:lang w:val="en-GB"/>
        </w:rPr>
        <w:t>carried out during the compilation of the EREs, before the compilation of the</w:t>
      </w:r>
      <w:r w:rsidRPr="00A412E9">
        <w:rPr>
          <w:rFonts w:ascii="Arial" w:hAnsi="Arial" w:cs="Arial"/>
          <w:lang w:val="en-GB"/>
        </w:rPr>
        <w:t xml:space="preserve"> SUT (QRE).  </w:t>
      </w:r>
    </w:p>
    <w:p w:rsidR="00FF2E19" w:rsidRPr="00A412E9" w:rsidRDefault="00FF2E19" w:rsidP="00346B57">
      <w:pPr>
        <w:pStyle w:val="ListParagraph"/>
        <w:spacing w:line="360" w:lineRule="auto"/>
        <w:ind w:left="1146"/>
        <w:rPr>
          <w:rFonts w:ascii="Arial" w:hAnsi="Arial" w:cs="Arial"/>
          <w:lang w:val="en-GB"/>
        </w:rPr>
      </w:pPr>
    </w:p>
    <w:p w:rsidR="00EA70C9" w:rsidRDefault="00166B00" w:rsidP="00C277FE">
      <w:pPr>
        <w:pStyle w:val="ListParagraph"/>
        <w:numPr>
          <w:ilvl w:val="0"/>
          <w:numId w:val="4"/>
        </w:numPr>
        <w:spacing w:before="240" w:line="360" w:lineRule="auto"/>
        <w:rPr>
          <w:rFonts w:ascii="Arial" w:hAnsi="Arial" w:cs="Arial"/>
          <w:lang w:val="en-GB"/>
        </w:rPr>
      </w:pPr>
      <w:r>
        <w:rPr>
          <w:rFonts w:ascii="Arial" w:hAnsi="Arial" w:cs="Arial"/>
          <w:lang w:val="en-GB"/>
        </w:rPr>
        <w:t xml:space="preserve">The compilation of the </w:t>
      </w:r>
      <w:r w:rsidR="009929F5">
        <w:rPr>
          <w:rFonts w:ascii="Arial" w:hAnsi="Arial" w:cs="Arial"/>
          <w:lang w:val="en-GB"/>
        </w:rPr>
        <w:t>SUT (QRE) at previous year prices</w:t>
      </w:r>
    </w:p>
    <w:p w:rsidR="00FF2E19" w:rsidRDefault="00166B00">
      <w:pPr>
        <w:pStyle w:val="ListParagraph"/>
        <w:spacing w:before="240" w:line="360" w:lineRule="auto"/>
        <w:ind w:left="1146" w:hanging="12"/>
        <w:jc w:val="both"/>
        <w:rPr>
          <w:rFonts w:ascii="Arial" w:hAnsi="Arial" w:cs="Arial"/>
          <w:lang w:val="en-GB"/>
        </w:rPr>
      </w:pPr>
      <w:r>
        <w:rPr>
          <w:rFonts w:ascii="Arial" w:hAnsi="Arial" w:cs="Arial"/>
          <w:lang w:val="en-GB"/>
        </w:rPr>
        <w:t>The compilation of the</w:t>
      </w:r>
      <w:r w:rsidR="005305AC">
        <w:rPr>
          <w:rFonts w:ascii="Arial" w:hAnsi="Arial" w:cs="Arial"/>
          <w:lang w:val="en-GB"/>
        </w:rPr>
        <w:t xml:space="preserve"> SUT </w:t>
      </w:r>
      <w:r w:rsidR="005305AC" w:rsidRPr="005305AC">
        <w:rPr>
          <w:rFonts w:ascii="Arial" w:hAnsi="Arial" w:cs="Arial"/>
          <w:lang w:val="en-GB"/>
        </w:rPr>
        <w:t>(QRE) at previous year prices begins with the set up</w:t>
      </w:r>
      <w:r w:rsidR="003C329B">
        <w:rPr>
          <w:rFonts w:ascii="Arial" w:hAnsi="Arial" w:cs="Arial"/>
          <w:lang w:val="en-GB"/>
        </w:rPr>
        <w:t xml:space="preserve"> </w:t>
      </w:r>
      <w:r w:rsidR="00287131">
        <w:rPr>
          <w:rFonts w:ascii="Arial" w:hAnsi="Arial" w:cs="Arial"/>
          <w:lang w:val="en-GB"/>
        </w:rPr>
        <w:t xml:space="preserve">of </w:t>
      </w:r>
      <w:r w:rsidR="005305AC">
        <w:rPr>
          <w:rFonts w:ascii="Arial" w:hAnsi="Arial" w:cs="Arial"/>
          <w:lang w:val="en-GB"/>
        </w:rPr>
        <w:t xml:space="preserve">all EREs </w:t>
      </w:r>
      <w:r w:rsidR="003C329B">
        <w:rPr>
          <w:rFonts w:ascii="Arial" w:hAnsi="Arial" w:cs="Arial"/>
          <w:lang w:val="en-GB"/>
        </w:rPr>
        <w:t xml:space="preserve">(provisionally balanced) </w:t>
      </w:r>
      <w:r w:rsidR="005305AC">
        <w:rPr>
          <w:rFonts w:ascii="Arial" w:hAnsi="Arial" w:cs="Arial"/>
          <w:lang w:val="en-GB"/>
        </w:rPr>
        <w:t>at lower classification of pr</w:t>
      </w:r>
      <w:r w:rsidR="00B82B98">
        <w:rPr>
          <w:rFonts w:ascii="Arial" w:hAnsi="Arial" w:cs="Arial"/>
          <w:lang w:val="en-GB"/>
        </w:rPr>
        <w:t xml:space="preserve">oducts since they include the </w:t>
      </w:r>
      <w:r w:rsidR="005305AC">
        <w:rPr>
          <w:rFonts w:ascii="Arial" w:hAnsi="Arial" w:cs="Arial"/>
          <w:lang w:val="en-GB"/>
        </w:rPr>
        <w:t xml:space="preserve">valuation at </w:t>
      </w:r>
      <w:r>
        <w:rPr>
          <w:rFonts w:ascii="Arial" w:hAnsi="Arial" w:cs="Arial"/>
          <w:lang w:val="en-GB"/>
        </w:rPr>
        <w:t>prices of the previous year</w:t>
      </w:r>
      <w:r w:rsidR="005305AC">
        <w:rPr>
          <w:rFonts w:ascii="Arial" w:hAnsi="Arial" w:cs="Arial"/>
          <w:lang w:val="en-GB"/>
        </w:rPr>
        <w:t>.</w:t>
      </w:r>
    </w:p>
    <w:p w:rsidR="00E43B3C" w:rsidRDefault="00E43B3C">
      <w:pPr>
        <w:pStyle w:val="ListParagraph"/>
        <w:spacing w:before="240" w:line="360" w:lineRule="auto"/>
        <w:ind w:left="1146" w:hanging="12"/>
        <w:jc w:val="both"/>
        <w:rPr>
          <w:rFonts w:ascii="Arial" w:hAnsi="Arial" w:cs="Arial"/>
          <w:lang w:val="en-GB"/>
        </w:rPr>
      </w:pPr>
      <w:r>
        <w:rPr>
          <w:rFonts w:ascii="Arial" w:hAnsi="Arial" w:cs="Arial"/>
          <w:lang w:val="en-GB"/>
        </w:rPr>
        <w:t>In order to obtain SUT (QRE) at previous year prices, there is a standardized system of prices indexes to be applied in the specific product and category of resources or uses, namely imports of goods or final consumption expenditure of households.</w:t>
      </w:r>
      <w:r w:rsidR="00166B00">
        <w:rPr>
          <w:rFonts w:ascii="Arial" w:hAnsi="Arial" w:cs="Arial"/>
          <w:lang w:val="en-GB"/>
        </w:rPr>
        <w:t xml:space="preserve"> Changes in the tax rates</w:t>
      </w:r>
      <w:r>
        <w:rPr>
          <w:rFonts w:ascii="Arial" w:hAnsi="Arial" w:cs="Arial"/>
          <w:lang w:val="en-GB"/>
        </w:rPr>
        <w:t xml:space="preserve">, like </w:t>
      </w:r>
      <w:r>
        <w:rPr>
          <w:rFonts w:ascii="Arial" w:hAnsi="Arial" w:cs="Arial"/>
          <w:lang w:val="en-GB"/>
        </w:rPr>
        <w:lastRenderedPageBreak/>
        <w:t>VAT, contribute also to determine the valuation items at current and previous year prices.</w:t>
      </w:r>
    </w:p>
    <w:p w:rsidR="00FF2E19" w:rsidRDefault="00FF2E19">
      <w:pPr>
        <w:pStyle w:val="ListParagraph"/>
        <w:spacing w:before="240" w:line="360" w:lineRule="auto"/>
        <w:ind w:left="1146" w:hanging="12"/>
        <w:jc w:val="both"/>
        <w:rPr>
          <w:rFonts w:ascii="Arial" w:hAnsi="Arial" w:cs="Arial"/>
          <w:lang w:val="en-GB"/>
        </w:rPr>
      </w:pPr>
    </w:p>
    <w:p w:rsidR="00FF2E19" w:rsidRDefault="00FC6188">
      <w:pPr>
        <w:pStyle w:val="ListParagraph"/>
        <w:spacing w:before="240" w:line="360" w:lineRule="auto"/>
        <w:ind w:left="1146" w:hanging="12"/>
        <w:jc w:val="both"/>
        <w:rPr>
          <w:rFonts w:ascii="Arial" w:hAnsi="Arial" w:cs="Arial"/>
          <w:lang w:val="en-GB"/>
        </w:rPr>
      </w:pPr>
      <w:r>
        <w:rPr>
          <w:rFonts w:ascii="Arial" w:hAnsi="Arial" w:cs="Arial"/>
          <w:lang w:val="en-GB"/>
        </w:rPr>
        <w:t xml:space="preserve">Apart </w:t>
      </w:r>
      <w:r w:rsidR="00166B00">
        <w:rPr>
          <w:rFonts w:ascii="Arial" w:hAnsi="Arial" w:cs="Arial"/>
          <w:lang w:val="en-GB"/>
        </w:rPr>
        <w:t xml:space="preserve">from </w:t>
      </w:r>
      <w:r>
        <w:rPr>
          <w:rFonts w:ascii="Arial" w:hAnsi="Arial" w:cs="Arial"/>
          <w:lang w:val="en-GB"/>
        </w:rPr>
        <w:t>the</w:t>
      </w:r>
      <w:r w:rsidR="00C84CEF">
        <w:rPr>
          <w:rFonts w:ascii="Arial" w:hAnsi="Arial" w:cs="Arial"/>
          <w:lang w:val="en-GB"/>
        </w:rPr>
        <w:t xml:space="preserve"> operational aspects of preparing SUT (QRE) at previous years prices, other </w:t>
      </w:r>
      <w:r w:rsidR="00166B00">
        <w:rPr>
          <w:rFonts w:ascii="Arial" w:hAnsi="Arial" w:cs="Arial"/>
          <w:lang w:val="en-GB"/>
        </w:rPr>
        <w:t xml:space="preserve">aspects </w:t>
      </w:r>
      <w:r w:rsidR="001B7B68">
        <w:rPr>
          <w:rFonts w:ascii="Arial" w:hAnsi="Arial" w:cs="Arial"/>
          <w:lang w:val="en-GB"/>
        </w:rPr>
        <w:t>reveal why SUT (QRE) at previous years</w:t>
      </w:r>
      <w:r w:rsidR="00B82B98">
        <w:rPr>
          <w:rFonts w:ascii="Arial" w:hAnsi="Arial" w:cs="Arial"/>
          <w:lang w:val="en-GB"/>
        </w:rPr>
        <w:t>’</w:t>
      </w:r>
      <w:r w:rsidR="001B7B68">
        <w:rPr>
          <w:rFonts w:ascii="Arial" w:hAnsi="Arial" w:cs="Arial"/>
          <w:lang w:val="en-GB"/>
        </w:rPr>
        <w:t xml:space="preserve"> prices </w:t>
      </w:r>
      <w:r w:rsidR="00C84CEF">
        <w:rPr>
          <w:rFonts w:ascii="Arial" w:hAnsi="Arial" w:cs="Arial"/>
          <w:lang w:val="en-GB"/>
        </w:rPr>
        <w:t xml:space="preserve">are </w:t>
      </w:r>
      <w:r w:rsidR="001B7B68">
        <w:rPr>
          <w:rFonts w:ascii="Arial" w:hAnsi="Arial" w:cs="Arial"/>
          <w:lang w:val="en-GB"/>
        </w:rPr>
        <w:t xml:space="preserve">really </w:t>
      </w:r>
      <w:r w:rsidR="00C84CEF">
        <w:rPr>
          <w:rFonts w:ascii="Arial" w:hAnsi="Arial" w:cs="Arial"/>
          <w:lang w:val="en-GB"/>
        </w:rPr>
        <w:t>crucial</w:t>
      </w:r>
      <w:r w:rsidR="001B7B68">
        <w:rPr>
          <w:rFonts w:ascii="Arial" w:hAnsi="Arial" w:cs="Arial"/>
          <w:lang w:val="en-GB"/>
        </w:rPr>
        <w:t xml:space="preserve"> for the overall system</w:t>
      </w:r>
      <w:r w:rsidR="00651946">
        <w:rPr>
          <w:rFonts w:ascii="Arial" w:hAnsi="Arial" w:cs="Arial"/>
          <w:lang w:val="en-GB"/>
        </w:rPr>
        <w:t>:</w:t>
      </w:r>
      <w:r w:rsidR="00D42548">
        <w:rPr>
          <w:rFonts w:ascii="Arial" w:hAnsi="Arial" w:cs="Arial"/>
          <w:lang w:val="en-GB"/>
        </w:rPr>
        <w:t xml:space="preserve"> </w:t>
      </w:r>
    </w:p>
    <w:p w:rsidR="00FF2E19" w:rsidRDefault="00FF2E19">
      <w:pPr>
        <w:pStyle w:val="ListParagraph"/>
        <w:spacing w:before="240" w:line="360" w:lineRule="auto"/>
        <w:ind w:left="1146" w:hanging="12"/>
        <w:jc w:val="both"/>
        <w:rPr>
          <w:rFonts w:ascii="Arial" w:hAnsi="Arial" w:cs="Arial"/>
          <w:lang w:val="en-GB"/>
        </w:rPr>
      </w:pPr>
    </w:p>
    <w:p w:rsidR="00FF2E19" w:rsidRDefault="00135132">
      <w:pPr>
        <w:pStyle w:val="ListParagraph"/>
        <w:numPr>
          <w:ilvl w:val="0"/>
          <w:numId w:val="6"/>
        </w:numPr>
        <w:spacing w:before="240" w:line="360" w:lineRule="auto"/>
        <w:ind w:left="1276" w:hanging="142"/>
        <w:jc w:val="both"/>
        <w:rPr>
          <w:rFonts w:ascii="Arial" w:hAnsi="Arial" w:cs="Arial"/>
          <w:lang w:val="en-GB"/>
        </w:rPr>
      </w:pPr>
      <w:r>
        <w:rPr>
          <w:rFonts w:ascii="Arial" w:hAnsi="Arial" w:cs="Arial"/>
          <w:lang w:val="en-GB"/>
        </w:rPr>
        <w:t>The assumption of invariable technical coefficients (</w:t>
      </w:r>
      <w:r w:rsidR="00570CCF">
        <w:rPr>
          <w:rFonts w:ascii="Arial" w:hAnsi="Arial" w:cs="Arial"/>
          <w:lang w:val="en-GB"/>
        </w:rPr>
        <w:t xml:space="preserve">IC (items) / Output ratios) </w:t>
      </w:r>
      <w:r>
        <w:rPr>
          <w:rFonts w:ascii="Arial" w:hAnsi="Arial" w:cs="Arial"/>
          <w:lang w:val="en-GB"/>
        </w:rPr>
        <w:t xml:space="preserve">at medium term </w:t>
      </w:r>
      <w:r w:rsidR="00570CCF">
        <w:rPr>
          <w:rFonts w:ascii="Arial" w:hAnsi="Arial" w:cs="Arial"/>
          <w:lang w:val="en-GB"/>
        </w:rPr>
        <w:t>by activity (Industry), usually considered</w:t>
      </w:r>
      <w:r>
        <w:rPr>
          <w:rFonts w:ascii="Arial" w:hAnsi="Arial" w:cs="Arial"/>
          <w:lang w:val="en-GB"/>
        </w:rPr>
        <w:t xml:space="preserve"> by NA in an intermediate </w:t>
      </w:r>
      <w:r w:rsidR="001A5C6F">
        <w:rPr>
          <w:rFonts w:ascii="Arial" w:hAnsi="Arial" w:cs="Arial"/>
          <w:lang w:val="en-GB"/>
        </w:rPr>
        <w:t xml:space="preserve">stage </w:t>
      </w:r>
      <w:r>
        <w:rPr>
          <w:rFonts w:ascii="Arial" w:hAnsi="Arial" w:cs="Arial"/>
          <w:lang w:val="en-GB"/>
        </w:rPr>
        <w:t>of the NA compilation</w:t>
      </w:r>
      <w:r w:rsidR="004A60EB">
        <w:rPr>
          <w:rFonts w:ascii="Arial" w:hAnsi="Arial" w:cs="Arial"/>
          <w:lang w:val="en-GB"/>
        </w:rPr>
        <w:t>, is deemed to be made in physical or volume terms</w:t>
      </w:r>
      <w:r>
        <w:rPr>
          <w:rFonts w:ascii="Arial" w:hAnsi="Arial" w:cs="Arial"/>
          <w:lang w:val="en-GB"/>
        </w:rPr>
        <w:t>.</w:t>
      </w:r>
      <w:r w:rsidR="004A60EB">
        <w:rPr>
          <w:rFonts w:ascii="Arial" w:hAnsi="Arial" w:cs="Arial"/>
          <w:lang w:val="en-GB"/>
        </w:rPr>
        <w:t xml:space="preserve"> This means that the estimates elaborated from that hypothesis only shall be considered in N-1 prices, i.e.</w:t>
      </w:r>
      <w:r w:rsidR="00166B00">
        <w:rPr>
          <w:rFonts w:ascii="Arial" w:hAnsi="Arial" w:cs="Arial"/>
          <w:lang w:val="en-GB"/>
        </w:rPr>
        <w:t>, without any price</w:t>
      </w:r>
      <w:r w:rsidR="00CA5D53">
        <w:rPr>
          <w:rFonts w:ascii="Arial" w:hAnsi="Arial" w:cs="Arial"/>
          <w:lang w:val="en-GB"/>
        </w:rPr>
        <w:t xml:space="preserve"> changes. As so, estimating IC items by projecting precedent year IC technical ratios for the same kind of industry </w:t>
      </w:r>
      <w:r w:rsidR="00DA1E08">
        <w:rPr>
          <w:rFonts w:ascii="Arial" w:hAnsi="Arial" w:cs="Arial"/>
          <w:lang w:val="en-GB"/>
        </w:rPr>
        <w:t xml:space="preserve">shall be done </w:t>
      </w:r>
      <w:r w:rsidR="00CA5D53">
        <w:rPr>
          <w:rFonts w:ascii="Arial" w:hAnsi="Arial" w:cs="Arial"/>
          <w:lang w:val="en-GB"/>
        </w:rPr>
        <w:t>in the context o</w:t>
      </w:r>
      <w:r w:rsidR="00212FF9">
        <w:rPr>
          <w:rFonts w:ascii="Arial" w:hAnsi="Arial" w:cs="Arial"/>
          <w:lang w:val="en-GB"/>
        </w:rPr>
        <w:t>f</w:t>
      </w:r>
      <w:r w:rsidR="00CA5D53">
        <w:rPr>
          <w:rFonts w:ascii="Arial" w:hAnsi="Arial" w:cs="Arial"/>
          <w:lang w:val="en-GB"/>
        </w:rPr>
        <w:t xml:space="preserve"> the SUT /QRE) previous year</w:t>
      </w:r>
      <w:r w:rsidR="00212FF9">
        <w:rPr>
          <w:rFonts w:ascii="Arial" w:hAnsi="Arial" w:cs="Arial"/>
          <w:lang w:val="en-GB"/>
        </w:rPr>
        <w:t>s</w:t>
      </w:r>
      <w:r w:rsidR="00CA5D53">
        <w:rPr>
          <w:rFonts w:ascii="Arial" w:hAnsi="Arial" w:cs="Arial"/>
          <w:lang w:val="en-GB"/>
        </w:rPr>
        <w:t xml:space="preserve"> prices framework. </w:t>
      </w:r>
      <w:r w:rsidR="00570CCF">
        <w:rPr>
          <w:rFonts w:ascii="Arial" w:hAnsi="Arial" w:cs="Arial"/>
          <w:lang w:val="en-GB"/>
        </w:rPr>
        <w:t xml:space="preserve"> </w:t>
      </w:r>
    </w:p>
    <w:p w:rsidR="00FF2E19" w:rsidRDefault="00A6633A">
      <w:pPr>
        <w:pStyle w:val="ListParagraph"/>
        <w:numPr>
          <w:ilvl w:val="0"/>
          <w:numId w:val="6"/>
        </w:numPr>
        <w:spacing w:before="240" w:line="360" w:lineRule="auto"/>
        <w:ind w:left="1276" w:hanging="142"/>
        <w:jc w:val="both"/>
        <w:rPr>
          <w:rFonts w:ascii="Arial" w:hAnsi="Arial" w:cs="Arial"/>
          <w:lang w:val="en-GB"/>
        </w:rPr>
      </w:pPr>
      <w:r>
        <w:rPr>
          <w:rFonts w:ascii="Arial" w:hAnsi="Arial" w:cs="Arial"/>
          <w:lang w:val="en-GB"/>
        </w:rPr>
        <w:t>Throughout the INE’s experience in SUT (QRE) or EREs compilation, Intermediate uses and Final consumption of t</w:t>
      </w:r>
      <w:r w:rsidR="00166B00">
        <w:rPr>
          <w:rFonts w:ascii="Arial" w:hAnsi="Arial" w:cs="Arial"/>
          <w:lang w:val="en-GB"/>
        </w:rPr>
        <w:t xml:space="preserve">he households are </w:t>
      </w:r>
      <w:r>
        <w:rPr>
          <w:rFonts w:ascii="Arial" w:hAnsi="Arial" w:cs="Arial"/>
          <w:lang w:val="en-GB"/>
        </w:rPr>
        <w:t xml:space="preserve">in general the </w:t>
      </w:r>
      <w:r w:rsidR="005C63C7">
        <w:rPr>
          <w:rFonts w:ascii="Arial" w:hAnsi="Arial" w:cs="Arial"/>
          <w:lang w:val="en-GB"/>
        </w:rPr>
        <w:t xml:space="preserve">most important components. The </w:t>
      </w:r>
      <w:r>
        <w:rPr>
          <w:rFonts w:ascii="Arial" w:hAnsi="Arial" w:cs="Arial"/>
          <w:lang w:val="en-GB"/>
        </w:rPr>
        <w:t>valuation of these items de</w:t>
      </w:r>
      <w:r w:rsidR="005C63C7">
        <w:rPr>
          <w:rFonts w:ascii="Arial" w:hAnsi="Arial" w:cs="Arial"/>
          <w:lang w:val="en-GB"/>
        </w:rPr>
        <w:t xml:space="preserve">monstrates that their </w:t>
      </w:r>
      <w:r>
        <w:rPr>
          <w:rFonts w:ascii="Arial" w:hAnsi="Arial" w:cs="Arial"/>
          <w:lang w:val="en-GB"/>
        </w:rPr>
        <w:t>components (</w:t>
      </w:r>
      <w:r w:rsidR="00571A07">
        <w:rPr>
          <w:rFonts w:ascii="Arial" w:hAnsi="Arial" w:cs="Arial"/>
          <w:lang w:val="en-GB"/>
        </w:rPr>
        <w:t>namely the</w:t>
      </w:r>
      <w:r>
        <w:rPr>
          <w:rFonts w:ascii="Arial" w:hAnsi="Arial" w:cs="Arial"/>
          <w:lang w:val="en-GB"/>
        </w:rPr>
        <w:t xml:space="preserve"> margins</w:t>
      </w:r>
      <w:r w:rsidR="00571A07">
        <w:rPr>
          <w:rFonts w:ascii="Arial" w:hAnsi="Arial" w:cs="Arial"/>
          <w:lang w:val="en-GB"/>
        </w:rPr>
        <w:t xml:space="preserve"> and </w:t>
      </w:r>
      <w:r>
        <w:rPr>
          <w:rFonts w:ascii="Arial" w:hAnsi="Arial" w:cs="Arial"/>
          <w:lang w:val="en-GB"/>
        </w:rPr>
        <w:t xml:space="preserve">VAT tax or other taxes on products) are quite relevant and </w:t>
      </w:r>
      <w:r w:rsidR="005C63C7">
        <w:rPr>
          <w:rFonts w:ascii="Arial" w:hAnsi="Arial" w:cs="Arial"/>
          <w:lang w:val="en-GB"/>
        </w:rPr>
        <w:t xml:space="preserve">may </w:t>
      </w:r>
      <w:r>
        <w:rPr>
          <w:rFonts w:ascii="Arial" w:hAnsi="Arial" w:cs="Arial"/>
          <w:lang w:val="en-GB"/>
        </w:rPr>
        <w:t>have suffered important changes</w:t>
      </w:r>
      <w:r w:rsidR="00571A07">
        <w:rPr>
          <w:rFonts w:ascii="Arial" w:hAnsi="Arial" w:cs="Arial"/>
          <w:lang w:val="en-GB"/>
        </w:rPr>
        <w:t>. Those</w:t>
      </w:r>
      <w:r>
        <w:rPr>
          <w:rFonts w:ascii="Arial" w:hAnsi="Arial" w:cs="Arial"/>
          <w:lang w:val="en-GB"/>
        </w:rPr>
        <w:t xml:space="preserve"> </w:t>
      </w:r>
      <w:r w:rsidR="00571A07">
        <w:rPr>
          <w:rFonts w:ascii="Arial" w:hAnsi="Arial" w:cs="Arial"/>
          <w:lang w:val="en-GB"/>
        </w:rPr>
        <w:t xml:space="preserve">changes could only be adequately reflected on the </w:t>
      </w:r>
      <w:r w:rsidR="00DA1E08">
        <w:rPr>
          <w:rFonts w:ascii="Arial" w:hAnsi="Arial" w:cs="Arial"/>
          <w:lang w:val="en-GB"/>
        </w:rPr>
        <w:t xml:space="preserve">final </w:t>
      </w:r>
      <w:r w:rsidR="00571A07">
        <w:rPr>
          <w:rFonts w:ascii="Arial" w:hAnsi="Arial" w:cs="Arial"/>
          <w:lang w:val="en-GB"/>
        </w:rPr>
        <w:t>values with full detail on the components and considering the evaluation at N-1 prices, which required the compilation of SUT (QRE) at previous years</w:t>
      </w:r>
      <w:r w:rsidR="00B82B98">
        <w:rPr>
          <w:rFonts w:ascii="Arial" w:hAnsi="Arial" w:cs="Arial"/>
          <w:lang w:val="en-GB"/>
        </w:rPr>
        <w:t>’</w:t>
      </w:r>
      <w:r w:rsidR="00571A07">
        <w:rPr>
          <w:rFonts w:ascii="Arial" w:hAnsi="Arial" w:cs="Arial"/>
          <w:lang w:val="en-GB"/>
        </w:rPr>
        <w:t xml:space="preserve"> prices, in parallel with the current one.</w:t>
      </w:r>
    </w:p>
    <w:p w:rsidR="00FF2E19" w:rsidRDefault="00651946">
      <w:pPr>
        <w:pStyle w:val="ListParagraph"/>
        <w:numPr>
          <w:ilvl w:val="0"/>
          <w:numId w:val="6"/>
        </w:numPr>
        <w:spacing w:before="240" w:line="360" w:lineRule="auto"/>
        <w:ind w:left="1276" w:hanging="142"/>
        <w:jc w:val="both"/>
        <w:rPr>
          <w:rFonts w:ascii="Arial" w:hAnsi="Arial" w:cs="Arial"/>
          <w:lang w:val="en-GB"/>
        </w:rPr>
      </w:pPr>
      <w:r>
        <w:rPr>
          <w:rFonts w:ascii="Arial" w:hAnsi="Arial" w:cs="Arial"/>
          <w:lang w:val="en-GB"/>
        </w:rPr>
        <w:t xml:space="preserve">Concerning </w:t>
      </w:r>
      <w:r w:rsidR="003364AD">
        <w:rPr>
          <w:rFonts w:ascii="Arial" w:hAnsi="Arial" w:cs="Arial"/>
          <w:lang w:val="en-GB"/>
        </w:rPr>
        <w:t>NA</w:t>
      </w:r>
      <w:r w:rsidR="00292C1D">
        <w:rPr>
          <w:rFonts w:ascii="Arial" w:hAnsi="Arial" w:cs="Arial"/>
          <w:lang w:val="en-GB"/>
        </w:rPr>
        <w:t xml:space="preserve"> estimates</w:t>
      </w:r>
      <w:r w:rsidR="003364AD">
        <w:rPr>
          <w:rFonts w:ascii="Arial" w:hAnsi="Arial" w:cs="Arial"/>
          <w:lang w:val="en-GB"/>
        </w:rPr>
        <w:t xml:space="preserve"> on VAT</w:t>
      </w:r>
      <w:r w:rsidR="00A6633A">
        <w:rPr>
          <w:rFonts w:ascii="Arial" w:hAnsi="Arial" w:cs="Arial"/>
          <w:lang w:val="en-GB"/>
        </w:rPr>
        <w:t xml:space="preserve"> in general</w:t>
      </w:r>
      <w:r w:rsidR="00292C1D">
        <w:rPr>
          <w:rFonts w:ascii="Arial" w:hAnsi="Arial" w:cs="Arial"/>
          <w:lang w:val="en-GB"/>
        </w:rPr>
        <w:t xml:space="preserve">, it </w:t>
      </w:r>
      <w:r w:rsidR="005C63C7">
        <w:rPr>
          <w:rFonts w:ascii="Arial" w:hAnsi="Arial" w:cs="Arial"/>
          <w:lang w:val="en-GB"/>
        </w:rPr>
        <w:t>comprises</w:t>
      </w:r>
      <w:r w:rsidR="00292C1D">
        <w:rPr>
          <w:rFonts w:ascii="Arial" w:hAnsi="Arial" w:cs="Arial"/>
          <w:lang w:val="en-GB"/>
        </w:rPr>
        <w:t xml:space="preserve"> the application </w:t>
      </w:r>
      <w:r w:rsidR="003364AD">
        <w:rPr>
          <w:rFonts w:ascii="Arial" w:hAnsi="Arial" w:cs="Arial"/>
          <w:lang w:val="en-GB"/>
        </w:rPr>
        <w:t xml:space="preserve">of the </w:t>
      </w:r>
      <w:r w:rsidR="005C63C7">
        <w:rPr>
          <w:rFonts w:ascii="Arial" w:hAnsi="Arial" w:cs="Arial"/>
          <w:lang w:val="en-GB"/>
        </w:rPr>
        <w:t>legal tax rates within the</w:t>
      </w:r>
      <w:r>
        <w:rPr>
          <w:rFonts w:ascii="Arial" w:hAnsi="Arial" w:cs="Arial"/>
          <w:lang w:val="en-GB"/>
        </w:rPr>
        <w:t xml:space="preserve"> NA </w:t>
      </w:r>
      <w:r w:rsidR="005C63C7">
        <w:rPr>
          <w:rFonts w:ascii="Arial" w:hAnsi="Arial" w:cs="Arial"/>
          <w:lang w:val="en-GB"/>
        </w:rPr>
        <w:t>framework</w:t>
      </w:r>
      <w:r>
        <w:rPr>
          <w:rFonts w:ascii="Arial" w:hAnsi="Arial" w:cs="Arial"/>
          <w:lang w:val="en-GB"/>
        </w:rPr>
        <w:t>, i.e.,</w:t>
      </w:r>
      <w:r w:rsidR="00292C1D">
        <w:rPr>
          <w:rFonts w:ascii="Arial" w:hAnsi="Arial" w:cs="Arial"/>
          <w:lang w:val="en-GB"/>
        </w:rPr>
        <w:t xml:space="preserve"> applying</w:t>
      </w:r>
      <w:r w:rsidR="004D170B">
        <w:rPr>
          <w:rFonts w:ascii="Arial" w:hAnsi="Arial" w:cs="Arial"/>
          <w:lang w:val="en-GB"/>
        </w:rPr>
        <w:t xml:space="preserve"> (or not) VAT</w:t>
      </w:r>
      <w:r w:rsidR="003364AD">
        <w:rPr>
          <w:rFonts w:ascii="Arial" w:hAnsi="Arial" w:cs="Arial"/>
          <w:lang w:val="en-GB"/>
        </w:rPr>
        <w:t xml:space="preserve"> </w:t>
      </w:r>
      <w:r w:rsidR="005C63C7">
        <w:rPr>
          <w:rFonts w:ascii="Arial" w:hAnsi="Arial" w:cs="Arial"/>
          <w:lang w:val="en-GB"/>
        </w:rPr>
        <w:t>rates</w:t>
      </w:r>
      <w:r w:rsidR="003364AD">
        <w:rPr>
          <w:rFonts w:ascii="Arial" w:hAnsi="Arial" w:cs="Arial"/>
          <w:lang w:val="en-GB"/>
        </w:rPr>
        <w:t xml:space="preserve"> to a certain industry and/</w:t>
      </w:r>
      <w:r w:rsidR="00292C1D">
        <w:rPr>
          <w:rFonts w:ascii="Arial" w:hAnsi="Arial" w:cs="Arial"/>
          <w:lang w:val="en-GB"/>
        </w:rPr>
        <w:t>or sector</w:t>
      </w:r>
      <w:r w:rsidR="003364AD">
        <w:rPr>
          <w:rFonts w:ascii="Arial" w:hAnsi="Arial" w:cs="Arial"/>
          <w:lang w:val="en-GB"/>
        </w:rPr>
        <w:t>,</w:t>
      </w:r>
      <w:r w:rsidR="00292C1D">
        <w:rPr>
          <w:rFonts w:ascii="Arial" w:hAnsi="Arial" w:cs="Arial"/>
          <w:lang w:val="en-GB"/>
        </w:rPr>
        <w:t xml:space="preserve"> as well as its deductibility rate (prorate)</w:t>
      </w:r>
      <w:r w:rsidR="006544E1">
        <w:rPr>
          <w:rFonts w:ascii="Arial" w:hAnsi="Arial" w:cs="Arial"/>
          <w:lang w:val="en-GB"/>
        </w:rPr>
        <w:t xml:space="preserve"> and, of course, by the estimates of all its components</w:t>
      </w:r>
      <w:r w:rsidR="00575047">
        <w:rPr>
          <w:rFonts w:ascii="Arial" w:hAnsi="Arial" w:cs="Arial"/>
          <w:lang w:val="en-GB"/>
        </w:rPr>
        <w:t xml:space="preserve"> </w:t>
      </w:r>
      <w:r w:rsidR="006544E1">
        <w:rPr>
          <w:rFonts w:ascii="Arial" w:hAnsi="Arial" w:cs="Arial"/>
          <w:lang w:val="en-GB"/>
        </w:rPr>
        <w:t>in current and previous year</w:t>
      </w:r>
      <w:r w:rsidR="00212FF9">
        <w:rPr>
          <w:rFonts w:ascii="Arial" w:hAnsi="Arial" w:cs="Arial"/>
          <w:lang w:val="en-GB"/>
        </w:rPr>
        <w:t>s</w:t>
      </w:r>
      <w:r w:rsidR="006544E1">
        <w:rPr>
          <w:rFonts w:ascii="Arial" w:hAnsi="Arial" w:cs="Arial"/>
          <w:lang w:val="en-GB"/>
        </w:rPr>
        <w:t xml:space="preserve"> prices. </w:t>
      </w:r>
      <w:r w:rsidR="00575047">
        <w:rPr>
          <w:rFonts w:ascii="Arial" w:hAnsi="Arial" w:cs="Arial"/>
          <w:lang w:val="en-GB"/>
        </w:rPr>
        <w:t xml:space="preserve">The best way of getting the best estimates and the best analysis of them in all detail, including the real and the prices variations, is to set up this valuation sub-system </w:t>
      </w:r>
      <w:r w:rsidR="00BE067A">
        <w:rPr>
          <w:rFonts w:ascii="Arial" w:hAnsi="Arial" w:cs="Arial"/>
          <w:lang w:val="en-GB"/>
        </w:rPr>
        <w:t>into the NA framework, developing together SUT (QRE) at current and previous year</w:t>
      </w:r>
      <w:r w:rsidR="00212FF9">
        <w:rPr>
          <w:rFonts w:ascii="Arial" w:hAnsi="Arial" w:cs="Arial"/>
          <w:lang w:val="en-GB"/>
        </w:rPr>
        <w:t>s</w:t>
      </w:r>
      <w:r w:rsidR="00BE067A">
        <w:rPr>
          <w:rFonts w:ascii="Arial" w:hAnsi="Arial" w:cs="Arial"/>
          <w:lang w:val="en-GB"/>
        </w:rPr>
        <w:t xml:space="preserve"> prices, after EREs operational set up.</w:t>
      </w:r>
    </w:p>
    <w:p w:rsidR="00FF2E19" w:rsidRDefault="006544E1">
      <w:pPr>
        <w:pStyle w:val="ListParagraph"/>
        <w:numPr>
          <w:ilvl w:val="0"/>
          <w:numId w:val="6"/>
        </w:numPr>
        <w:spacing w:before="240" w:line="360" w:lineRule="auto"/>
        <w:ind w:left="1276" w:hanging="142"/>
        <w:jc w:val="both"/>
        <w:rPr>
          <w:rFonts w:ascii="Arial" w:hAnsi="Arial" w:cs="Arial"/>
          <w:lang w:val="en-GB"/>
        </w:rPr>
      </w:pPr>
      <w:r>
        <w:rPr>
          <w:rFonts w:ascii="Arial" w:hAnsi="Arial" w:cs="Arial"/>
          <w:lang w:val="en-GB"/>
        </w:rPr>
        <w:t xml:space="preserve">The reliability of the trade margins estimates for NA purposes can only be correctly analysed if the volume and prices changes may </w:t>
      </w:r>
      <w:r w:rsidR="00575047">
        <w:rPr>
          <w:rFonts w:ascii="Arial" w:hAnsi="Arial" w:cs="Arial"/>
          <w:lang w:val="en-GB"/>
        </w:rPr>
        <w:t>be adequately separated for all items,</w:t>
      </w:r>
      <w:r w:rsidR="005C63C7">
        <w:rPr>
          <w:rFonts w:ascii="Arial" w:hAnsi="Arial" w:cs="Arial"/>
          <w:lang w:val="en-GB"/>
        </w:rPr>
        <w:t xml:space="preserve"> requiring</w:t>
      </w:r>
      <w:r>
        <w:rPr>
          <w:rFonts w:ascii="Arial" w:hAnsi="Arial" w:cs="Arial"/>
          <w:lang w:val="en-GB"/>
        </w:rPr>
        <w:t xml:space="preserve"> the compilation of SUT (QRE) at previous</w:t>
      </w:r>
      <w:r w:rsidR="00575047">
        <w:rPr>
          <w:rFonts w:ascii="Arial" w:hAnsi="Arial" w:cs="Arial"/>
          <w:lang w:val="en-GB"/>
        </w:rPr>
        <w:t xml:space="preserve"> year prices, in parallel with the SUT (QRE) at current prices.</w:t>
      </w:r>
    </w:p>
    <w:p w:rsidR="00315621" w:rsidRDefault="00315621" w:rsidP="00315621">
      <w:pPr>
        <w:pStyle w:val="ListParagraph"/>
        <w:spacing w:before="240" w:line="360" w:lineRule="auto"/>
        <w:ind w:left="1276"/>
        <w:jc w:val="both"/>
        <w:rPr>
          <w:rFonts w:ascii="Arial" w:hAnsi="Arial" w:cs="Arial"/>
          <w:lang w:val="en-GB"/>
        </w:rPr>
      </w:pPr>
    </w:p>
    <w:p w:rsidR="00B441D9" w:rsidRPr="00A412E9" w:rsidRDefault="00B441D9" w:rsidP="00315621">
      <w:pPr>
        <w:pStyle w:val="ListParagraph"/>
        <w:numPr>
          <w:ilvl w:val="0"/>
          <w:numId w:val="4"/>
        </w:numPr>
        <w:spacing w:before="240" w:line="360" w:lineRule="auto"/>
        <w:ind w:left="1145" w:hanging="357"/>
        <w:rPr>
          <w:rFonts w:ascii="Arial" w:hAnsi="Arial" w:cs="Arial"/>
          <w:lang w:val="en-GB"/>
        </w:rPr>
      </w:pPr>
      <w:r w:rsidRPr="00A412E9">
        <w:rPr>
          <w:rFonts w:ascii="Arial" w:hAnsi="Arial" w:cs="Arial"/>
          <w:lang w:val="en-GB"/>
        </w:rPr>
        <w:t>The relevance of the SUT (QRE) at previous year</w:t>
      </w:r>
      <w:r w:rsidR="00E73B36">
        <w:rPr>
          <w:rFonts w:ascii="Arial" w:hAnsi="Arial" w:cs="Arial"/>
          <w:lang w:val="en-GB"/>
        </w:rPr>
        <w:t>s</w:t>
      </w:r>
      <w:r w:rsidRPr="00A412E9">
        <w:rPr>
          <w:rFonts w:ascii="Arial" w:hAnsi="Arial" w:cs="Arial"/>
          <w:lang w:val="en-GB"/>
        </w:rPr>
        <w:t xml:space="preserve"> prices</w:t>
      </w:r>
    </w:p>
    <w:p w:rsidR="00606BB7" w:rsidRDefault="00B441D9" w:rsidP="00C277FE">
      <w:pPr>
        <w:pStyle w:val="ListParagraph"/>
        <w:spacing w:before="240" w:line="360" w:lineRule="auto"/>
        <w:ind w:left="1145"/>
        <w:jc w:val="both"/>
        <w:rPr>
          <w:rFonts w:ascii="Arial" w:hAnsi="Arial" w:cs="Arial"/>
          <w:lang w:val="en-GB"/>
        </w:rPr>
      </w:pPr>
      <w:r w:rsidRPr="00A412E9">
        <w:rPr>
          <w:rFonts w:ascii="Arial" w:hAnsi="Arial" w:cs="Arial"/>
          <w:lang w:val="en-GB"/>
        </w:rPr>
        <w:t xml:space="preserve">No doubt </w:t>
      </w:r>
      <w:r w:rsidR="007B4A5F">
        <w:rPr>
          <w:rFonts w:ascii="Arial" w:hAnsi="Arial" w:cs="Arial"/>
          <w:lang w:val="en-GB"/>
        </w:rPr>
        <w:t>may</w:t>
      </w:r>
      <w:r w:rsidR="00606BB7">
        <w:rPr>
          <w:rFonts w:ascii="Arial" w:hAnsi="Arial" w:cs="Arial"/>
          <w:lang w:val="en-GB"/>
        </w:rPr>
        <w:t xml:space="preserve"> exist</w:t>
      </w:r>
      <w:r w:rsidRPr="00A412E9">
        <w:rPr>
          <w:rFonts w:ascii="Arial" w:hAnsi="Arial" w:cs="Arial"/>
          <w:lang w:val="en-GB"/>
        </w:rPr>
        <w:t xml:space="preserve"> about the importance of determining NA aggregates both in current and </w:t>
      </w:r>
      <w:r w:rsidR="00EA70C9">
        <w:rPr>
          <w:rFonts w:ascii="Arial" w:hAnsi="Arial" w:cs="Arial"/>
          <w:lang w:val="en-GB"/>
        </w:rPr>
        <w:t xml:space="preserve">at </w:t>
      </w:r>
      <w:r w:rsidRPr="00A412E9">
        <w:rPr>
          <w:rFonts w:ascii="Arial" w:hAnsi="Arial" w:cs="Arial"/>
          <w:lang w:val="en-GB"/>
        </w:rPr>
        <w:t>previous years</w:t>
      </w:r>
      <w:r w:rsidR="00EA70C9">
        <w:rPr>
          <w:rFonts w:ascii="Arial" w:hAnsi="Arial" w:cs="Arial"/>
          <w:lang w:val="en-GB"/>
        </w:rPr>
        <w:t xml:space="preserve"> prices</w:t>
      </w:r>
      <w:r w:rsidRPr="00A412E9">
        <w:rPr>
          <w:rFonts w:ascii="Arial" w:hAnsi="Arial" w:cs="Arial"/>
          <w:lang w:val="en-GB"/>
        </w:rPr>
        <w:t xml:space="preserve">. </w:t>
      </w:r>
      <w:r w:rsidR="00C277FE">
        <w:rPr>
          <w:rFonts w:ascii="Arial" w:hAnsi="Arial" w:cs="Arial"/>
          <w:lang w:val="en-GB"/>
        </w:rPr>
        <w:t>Indeed, it is significantly important for analysis and policy purposes, namely, to obtain information on their volume and prices variation,</w:t>
      </w:r>
      <w:r w:rsidR="00A545D9">
        <w:rPr>
          <w:rFonts w:ascii="Arial" w:hAnsi="Arial" w:cs="Arial"/>
          <w:lang w:val="en-GB"/>
        </w:rPr>
        <w:t xml:space="preserve"> </w:t>
      </w:r>
      <w:r w:rsidR="00921D6F">
        <w:rPr>
          <w:rFonts w:ascii="Arial" w:hAnsi="Arial" w:cs="Arial"/>
          <w:lang w:val="en-GB"/>
        </w:rPr>
        <w:t>havi</w:t>
      </w:r>
      <w:r w:rsidR="00C277FE">
        <w:rPr>
          <w:rFonts w:ascii="Arial" w:hAnsi="Arial" w:cs="Arial"/>
          <w:lang w:val="en-GB"/>
        </w:rPr>
        <w:t>ng precedent year SUT as reference.</w:t>
      </w:r>
    </w:p>
    <w:p w:rsidR="00B441D9" w:rsidRDefault="005C63C7" w:rsidP="000F7CC0">
      <w:pPr>
        <w:pStyle w:val="ListParagraph"/>
        <w:spacing w:line="360" w:lineRule="auto"/>
        <w:ind w:left="1146"/>
        <w:jc w:val="both"/>
        <w:rPr>
          <w:rFonts w:ascii="Arial" w:hAnsi="Arial" w:cs="Arial"/>
          <w:lang w:val="en-GB"/>
        </w:rPr>
      </w:pPr>
      <w:r>
        <w:rPr>
          <w:rFonts w:ascii="Arial" w:hAnsi="Arial" w:cs="Arial"/>
          <w:lang w:val="en-GB"/>
        </w:rPr>
        <w:t xml:space="preserve">It is </w:t>
      </w:r>
      <w:r w:rsidR="00F66B1F">
        <w:rPr>
          <w:rFonts w:ascii="Arial" w:hAnsi="Arial" w:cs="Arial"/>
          <w:lang w:val="en-GB"/>
        </w:rPr>
        <w:t>advisable u</w:t>
      </w:r>
      <w:r w:rsidR="00C81643">
        <w:rPr>
          <w:rFonts w:ascii="Arial" w:hAnsi="Arial" w:cs="Arial"/>
          <w:lang w:val="en-GB"/>
        </w:rPr>
        <w:t xml:space="preserve">sing </w:t>
      </w:r>
      <w:r w:rsidR="00B441D9" w:rsidRPr="00A412E9">
        <w:rPr>
          <w:rFonts w:ascii="Arial" w:hAnsi="Arial" w:cs="Arial"/>
          <w:lang w:val="en-GB"/>
        </w:rPr>
        <w:t>the same ki</w:t>
      </w:r>
      <w:r w:rsidR="00F66B1F">
        <w:rPr>
          <w:rFonts w:ascii="Arial" w:hAnsi="Arial" w:cs="Arial"/>
          <w:lang w:val="en-GB"/>
        </w:rPr>
        <w:t>nd of framework, like SUT (QRE)</w:t>
      </w:r>
      <w:r>
        <w:rPr>
          <w:rFonts w:ascii="Arial" w:hAnsi="Arial" w:cs="Arial"/>
          <w:lang w:val="en-GB"/>
        </w:rPr>
        <w:t>, for compiling NA data at previous year prices</w:t>
      </w:r>
      <w:r w:rsidR="00F66B1F">
        <w:rPr>
          <w:rFonts w:ascii="Arial" w:hAnsi="Arial" w:cs="Arial"/>
          <w:lang w:val="en-GB"/>
        </w:rPr>
        <w:t>.</w:t>
      </w:r>
      <w:r w:rsidR="00B82B98">
        <w:rPr>
          <w:rFonts w:ascii="Arial" w:hAnsi="Arial" w:cs="Arial"/>
          <w:lang w:val="en-GB"/>
        </w:rPr>
        <w:t xml:space="preserve"> </w:t>
      </w:r>
      <w:r w:rsidR="00F66B1F">
        <w:rPr>
          <w:rFonts w:ascii="Arial" w:hAnsi="Arial" w:cs="Arial"/>
          <w:lang w:val="en-GB"/>
        </w:rPr>
        <w:t>T</w:t>
      </w:r>
      <w:r w:rsidR="00C81643">
        <w:rPr>
          <w:rFonts w:ascii="Arial" w:hAnsi="Arial" w:cs="Arial"/>
          <w:lang w:val="en-GB"/>
        </w:rPr>
        <w:t>his ensures, in principle, the</w:t>
      </w:r>
      <w:r w:rsidR="00C81643" w:rsidRPr="00A412E9">
        <w:rPr>
          <w:rFonts w:ascii="Arial" w:hAnsi="Arial" w:cs="Arial"/>
          <w:lang w:val="en-GB"/>
        </w:rPr>
        <w:t xml:space="preserve"> consistency</w:t>
      </w:r>
      <w:bookmarkStart w:id="0" w:name="_GoBack"/>
      <w:bookmarkEnd w:id="0"/>
      <w:r w:rsidR="00C81643" w:rsidRPr="00A412E9">
        <w:rPr>
          <w:rFonts w:ascii="Arial" w:hAnsi="Arial" w:cs="Arial"/>
          <w:lang w:val="en-GB"/>
        </w:rPr>
        <w:t xml:space="preserve"> </w:t>
      </w:r>
      <w:r>
        <w:rPr>
          <w:rFonts w:ascii="Arial" w:hAnsi="Arial" w:cs="Arial"/>
          <w:lang w:val="en-GB"/>
        </w:rPr>
        <w:t>between</w:t>
      </w:r>
      <w:r w:rsidR="00D65839">
        <w:rPr>
          <w:rFonts w:ascii="Arial" w:hAnsi="Arial" w:cs="Arial"/>
          <w:lang w:val="en-GB"/>
        </w:rPr>
        <w:t xml:space="preserve"> both data </w:t>
      </w:r>
      <w:r w:rsidR="00C81643" w:rsidRPr="00A412E9">
        <w:rPr>
          <w:rFonts w:ascii="Arial" w:hAnsi="Arial" w:cs="Arial"/>
          <w:lang w:val="en-GB"/>
        </w:rPr>
        <w:t>set</w:t>
      </w:r>
      <w:r w:rsidR="00D65839">
        <w:rPr>
          <w:rFonts w:ascii="Arial" w:hAnsi="Arial" w:cs="Arial"/>
          <w:lang w:val="en-GB"/>
        </w:rPr>
        <w:t xml:space="preserve">s as far as </w:t>
      </w:r>
      <w:r w:rsidR="00B441D9" w:rsidRPr="00A412E9">
        <w:rPr>
          <w:rFonts w:ascii="Arial" w:hAnsi="Arial" w:cs="Arial"/>
          <w:lang w:val="en-GB"/>
        </w:rPr>
        <w:t xml:space="preserve">the compilation and </w:t>
      </w:r>
      <w:r w:rsidR="00E73B36">
        <w:rPr>
          <w:rFonts w:ascii="Arial" w:hAnsi="Arial" w:cs="Arial"/>
          <w:lang w:val="en-GB"/>
        </w:rPr>
        <w:t xml:space="preserve">the </w:t>
      </w:r>
      <w:r w:rsidR="008F6DA3">
        <w:rPr>
          <w:rFonts w:ascii="Arial" w:hAnsi="Arial" w:cs="Arial"/>
          <w:lang w:val="en-GB"/>
        </w:rPr>
        <w:t>balancing and benchmarking</w:t>
      </w:r>
      <w:r w:rsidR="00B441D9" w:rsidRPr="00A412E9">
        <w:rPr>
          <w:rFonts w:ascii="Arial" w:hAnsi="Arial" w:cs="Arial"/>
          <w:lang w:val="en-GB"/>
        </w:rPr>
        <w:t xml:space="preserve"> procedu</w:t>
      </w:r>
      <w:r w:rsidR="00D65839">
        <w:rPr>
          <w:rFonts w:ascii="Arial" w:hAnsi="Arial" w:cs="Arial"/>
          <w:lang w:val="en-GB"/>
        </w:rPr>
        <w:t>res are developed in plain connection</w:t>
      </w:r>
      <w:r w:rsidR="00B441D9" w:rsidRPr="00A412E9">
        <w:rPr>
          <w:rFonts w:ascii="Arial" w:hAnsi="Arial" w:cs="Arial"/>
          <w:lang w:val="en-GB"/>
        </w:rPr>
        <w:t>.</w:t>
      </w:r>
    </w:p>
    <w:p w:rsidR="00AB7988" w:rsidRPr="00A412E9" w:rsidRDefault="00AB7988" w:rsidP="000F7CC0">
      <w:pPr>
        <w:pStyle w:val="ListParagraph"/>
        <w:spacing w:line="360" w:lineRule="auto"/>
        <w:ind w:left="1146"/>
        <w:jc w:val="both"/>
        <w:rPr>
          <w:rFonts w:ascii="Arial" w:hAnsi="Arial" w:cs="Arial"/>
          <w:lang w:val="en-GB"/>
        </w:rPr>
      </w:pPr>
      <w:r>
        <w:rPr>
          <w:rFonts w:ascii="Arial" w:hAnsi="Arial" w:cs="Arial"/>
          <w:lang w:val="en-GB"/>
        </w:rPr>
        <w:t>More</w:t>
      </w:r>
      <w:r w:rsidR="005C63C7">
        <w:rPr>
          <w:rFonts w:ascii="Arial" w:hAnsi="Arial" w:cs="Arial"/>
          <w:lang w:val="en-GB"/>
        </w:rPr>
        <w:t>over</w:t>
      </w:r>
      <w:r>
        <w:rPr>
          <w:rFonts w:ascii="Arial" w:hAnsi="Arial" w:cs="Arial"/>
          <w:lang w:val="en-GB"/>
        </w:rPr>
        <w:t>, the acco</w:t>
      </w:r>
      <w:r w:rsidR="00E73B36">
        <w:rPr>
          <w:rFonts w:ascii="Arial" w:hAnsi="Arial" w:cs="Arial"/>
          <w:lang w:val="en-GB"/>
        </w:rPr>
        <w:t>unting framework of SUT (QRE) at</w:t>
      </w:r>
      <w:r>
        <w:rPr>
          <w:rFonts w:ascii="Arial" w:hAnsi="Arial" w:cs="Arial"/>
          <w:lang w:val="en-GB"/>
        </w:rPr>
        <w:t xml:space="preserve"> previous year </w:t>
      </w:r>
      <w:r w:rsidR="00921D6F">
        <w:rPr>
          <w:rFonts w:ascii="Arial" w:hAnsi="Arial" w:cs="Arial"/>
          <w:lang w:val="en-GB"/>
        </w:rPr>
        <w:t>prices</w:t>
      </w:r>
      <w:r w:rsidR="006671B5">
        <w:rPr>
          <w:rFonts w:ascii="Arial" w:hAnsi="Arial" w:cs="Arial"/>
          <w:lang w:val="en-GB"/>
        </w:rPr>
        <w:t xml:space="preserve"> enables</w:t>
      </w:r>
      <w:r w:rsidR="00921D6F">
        <w:rPr>
          <w:rFonts w:ascii="Arial" w:hAnsi="Arial" w:cs="Arial"/>
          <w:lang w:val="en-GB"/>
        </w:rPr>
        <w:t>,</w:t>
      </w:r>
      <w:r w:rsidR="006671B5">
        <w:rPr>
          <w:rFonts w:ascii="Arial" w:hAnsi="Arial" w:cs="Arial"/>
          <w:lang w:val="en-GB"/>
        </w:rPr>
        <w:t xml:space="preserve"> as well, the best comprehensive way of producing data perfectly consistent, coherent and reliable that may reflect the </w:t>
      </w:r>
      <w:r w:rsidR="005C63C7">
        <w:rPr>
          <w:rFonts w:ascii="Arial" w:hAnsi="Arial" w:cs="Arial"/>
          <w:lang w:val="en-GB"/>
        </w:rPr>
        <w:t>most accurate volume developments</w:t>
      </w:r>
      <w:r w:rsidR="006671B5">
        <w:rPr>
          <w:rFonts w:ascii="Arial" w:hAnsi="Arial" w:cs="Arial"/>
          <w:lang w:val="en-GB"/>
        </w:rPr>
        <w:t xml:space="preserve"> of the economy.</w:t>
      </w:r>
    </w:p>
    <w:p w:rsidR="00991B53" w:rsidRDefault="005C63C7" w:rsidP="000F7CC0">
      <w:pPr>
        <w:pStyle w:val="ListParagraph"/>
        <w:spacing w:line="360" w:lineRule="auto"/>
        <w:ind w:left="1146"/>
        <w:jc w:val="both"/>
        <w:rPr>
          <w:rFonts w:ascii="Arial" w:hAnsi="Arial" w:cs="Arial"/>
          <w:lang w:val="en-GB"/>
        </w:rPr>
      </w:pPr>
      <w:r>
        <w:rPr>
          <w:rFonts w:ascii="Arial" w:hAnsi="Arial" w:cs="Arial"/>
          <w:lang w:val="en-GB"/>
        </w:rPr>
        <w:t>Finally</w:t>
      </w:r>
      <w:r w:rsidR="00B441D9" w:rsidRPr="00A412E9">
        <w:rPr>
          <w:rFonts w:ascii="Arial" w:hAnsi="Arial" w:cs="Arial"/>
          <w:lang w:val="en-GB"/>
        </w:rPr>
        <w:t xml:space="preserve">, </w:t>
      </w:r>
      <w:r w:rsidR="004E3BC0">
        <w:rPr>
          <w:rFonts w:ascii="Arial" w:hAnsi="Arial" w:cs="Arial"/>
          <w:lang w:val="en-GB"/>
        </w:rPr>
        <w:t>the use of</w:t>
      </w:r>
      <w:r w:rsidR="00B441D9" w:rsidRPr="00A412E9">
        <w:rPr>
          <w:rFonts w:ascii="Arial" w:hAnsi="Arial" w:cs="Arial"/>
          <w:lang w:val="en-GB"/>
        </w:rPr>
        <w:t xml:space="preserve"> similar </w:t>
      </w:r>
      <w:r w:rsidR="004E3BC0">
        <w:rPr>
          <w:rFonts w:ascii="Arial" w:hAnsi="Arial" w:cs="Arial"/>
          <w:lang w:val="en-GB"/>
        </w:rPr>
        <w:t xml:space="preserve">accounting framework </w:t>
      </w:r>
      <w:r>
        <w:rPr>
          <w:rFonts w:ascii="Arial" w:hAnsi="Arial" w:cs="Arial"/>
          <w:lang w:val="en-GB"/>
        </w:rPr>
        <w:t>allows for an</w:t>
      </w:r>
      <w:r w:rsidR="00B441D9" w:rsidRPr="00A412E9">
        <w:rPr>
          <w:rFonts w:ascii="Arial" w:hAnsi="Arial" w:cs="Arial"/>
          <w:lang w:val="en-GB"/>
        </w:rPr>
        <w:t xml:space="preserve"> </w:t>
      </w:r>
      <w:r w:rsidR="004E3BC0">
        <w:rPr>
          <w:rFonts w:ascii="Arial" w:hAnsi="Arial" w:cs="Arial"/>
          <w:lang w:val="en-GB"/>
        </w:rPr>
        <w:t>easier calculation of</w:t>
      </w:r>
      <w:r w:rsidR="006671B5">
        <w:rPr>
          <w:rFonts w:ascii="Arial" w:hAnsi="Arial" w:cs="Arial"/>
          <w:lang w:val="en-GB"/>
        </w:rPr>
        <w:t xml:space="preserve"> all inter</w:t>
      </w:r>
      <w:r w:rsidR="00B441D9" w:rsidRPr="00A412E9">
        <w:rPr>
          <w:rFonts w:ascii="Arial" w:hAnsi="Arial" w:cs="Arial"/>
          <w:lang w:val="en-GB"/>
        </w:rPr>
        <w:t xml:space="preserve">relationships between the two SUT (QRE) of the same year, </w:t>
      </w:r>
      <w:r w:rsidR="004E3BC0" w:rsidRPr="00A412E9">
        <w:rPr>
          <w:rFonts w:ascii="Arial" w:hAnsi="Arial" w:cs="Arial"/>
          <w:lang w:val="en-GB"/>
        </w:rPr>
        <w:t>and</w:t>
      </w:r>
      <w:r w:rsidR="004E3BC0">
        <w:rPr>
          <w:rFonts w:ascii="Arial" w:hAnsi="Arial" w:cs="Arial"/>
          <w:lang w:val="en-GB"/>
        </w:rPr>
        <w:t xml:space="preserve"> the SUT </w:t>
      </w:r>
      <w:r w:rsidR="00B441D9" w:rsidRPr="00A412E9">
        <w:rPr>
          <w:rFonts w:ascii="Arial" w:hAnsi="Arial" w:cs="Arial"/>
          <w:lang w:val="en-GB"/>
        </w:rPr>
        <w:t>of the</w:t>
      </w:r>
      <w:r w:rsidR="004E3BC0">
        <w:rPr>
          <w:rFonts w:ascii="Arial" w:hAnsi="Arial" w:cs="Arial"/>
          <w:lang w:val="en-GB"/>
        </w:rPr>
        <w:t xml:space="preserve"> precedent year. </w:t>
      </w:r>
      <w:r w:rsidR="00D54921">
        <w:rPr>
          <w:rFonts w:ascii="Arial" w:hAnsi="Arial" w:cs="Arial"/>
          <w:lang w:val="en-GB"/>
        </w:rPr>
        <w:t xml:space="preserve">Possible derived outcomes are the volume </w:t>
      </w:r>
      <w:r>
        <w:rPr>
          <w:rFonts w:ascii="Arial" w:hAnsi="Arial" w:cs="Arial"/>
          <w:lang w:val="en-GB"/>
        </w:rPr>
        <w:t>change rates</w:t>
      </w:r>
      <w:r w:rsidR="00D54921">
        <w:rPr>
          <w:rFonts w:ascii="Arial" w:hAnsi="Arial" w:cs="Arial"/>
          <w:lang w:val="en-GB"/>
        </w:rPr>
        <w:t xml:space="preserve"> of the all economy</w:t>
      </w:r>
      <w:r w:rsidR="007904D9">
        <w:rPr>
          <w:rFonts w:ascii="Arial" w:hAnsi="Arial" w:cs="Arial"/>
          <w:lang w:val="en-GB"/>
        </w:rPr>
        <w:t xml:space="preserve"> or of specific industries</w:t>
      </w:r>
      <w:r w:rsidR="00D54921">
        <w:rPr>
          <w:rFonts w:ascii="Arial" w:hAnsi="Arial" w:cs="Arial"/>
          <w:lang w:val="en-GB"/>
        </w:rPr>
        <w:t xml:space="preserve">, the price changes </w:t>
      </w:r>
      <w:r w:rsidR="00991B53">
        <w:rPr>
          <w:rFonts w:ascii="Arial" w:hAnsi="Arial" w:cs="Arial"/>
          <w:lang w:val="en-GB"/>
        </w:rPr>
        <w:t>for</w:t>
      </w:r>
      <w:r w:rsidR="00D54921">
        <w:rPr>
          <w:rFonts w:ascii="Arial" w:hAnsi="Arial" w:cs="Arial"/>
          <w:lang w:val="en-GB"/>
        </w:rPr>
        <w:t xml:space="preserve"> total </w:t>
      </w:r>
      <w:r w:rsidR="00921D6F">
        <w:rPr>
          <w:rFonts w:ascii="Arial" w:hAnsi="Arial" w:cs="Arial"/>
          <w:lang w:val="en-GB"/>
        </w:rPr>
        <w:t>household’s</w:t>
      </w:r>
      <w:r w:rsidR="00D54921">
        <w:rPr>
          <w:rFonts w:ascii="Arial" w:hAnsi="Arial" w:cs="Arial"/>
          <w:lang w:val="en-GB"/>
        </w:rPr>
        <w:t xml:space="preserve"> f</w:t>
      </w:r>
      <w:r w:rsidR="00991B53">
        <w:rPr>
          <w:rFonts w:ascii="Arial" w:hAnsi="Arial" w:cs="Arial"/>
          <w:lang w:val="en-GB"/>
        </w:rPr>
        <w:t>inal consumption expenditure,</w:t>
      </w:r>
      <w:r w:rsidR="00D54921">
        <w:rPr>
          <w:rFonts w:ascii="Arial" w:hAnsi="Arial" w:cs="Arial"/>
          <w:lang w:val="en-GB"/>
        </w:rPr>
        <w:t xml:space="preserve"> </w:t>
      </w:r>
      <w:r w:rsidR="00921D6F">
        <w:rPr>
          <w:rFonts w:ascii="Arial" w:hAnsi="Arial" w:cs="Arial"/>
          <w:lang w:val="en-GB"/>
        </w:rPr>
        <w:t xml:space="preserve">or </w:t>
      </w:r>
      <w:r w:rsidR="00D54921">
        <w:rPr>
          <w:rFonts w:ascii="Arial" w:hAnsi="Arial" w:cs="Arial"/>
          <w:lang w:val="en-GB"/>
        </w:rPr>
        <w:t>the volume and price changes calculated for GDP using the accounting relationships and the d</w:t>
      </w:r>
      <w:r w:rsidR="00991B53">
        <w:rPr>
          <w:rFonts w:ascii="Arial" w:hAnsi="Arial" w:cs="Arial"/>
          <w:lang w:val="en-GB"/>
        </w:rPr>
        <w:t>eflators obtained from SUT (QRE).</w:t>
      </w:r>
    </w:p>
    <w:p w:rsidR="00C171EA" w:rsidRDefault="00C171EA" w:rsidP="0022572E">
      <w:pPr>
        <w:pStyle w:val="ListParagraph"/>
        <w:spacing w:line="360" w:lineRule="auto"/>
        <w:ind w:left="426"/>
        <w:rPr>
          <w:rFonts w:ascii="Arial" w:hAnsi="Arial" w:cs="Arial"/>
          <w:u w:val="single"/>
          <w:lang w:val="en-GB"/>
        </w:rPr>
      </w:pPr>
    </w:p>
    <w:p w:rsidR="0022572E" w:rsidRDefault="007B4A5F" w:rsidP="0022572E">
      <w:pPr>
        <w:pStyle w:val="ListParagraph"/>
        <w:numPr>
          <w:ilvl w:val="0"/>
          <w:numId w:val="1"/>
        </w:numPr>
        <w:spacing w:line="360" w:lineRule="auto"/>
        <w:ind w:left="426" w:hanging="142"/>
        <w:rPr>
          <w:rFonts w:ascii="Arial" w:hAnsi="Arial" w:cs="Arial"/>
          <w:u w:val="single"/>
          <w:lang w:val="en-GB"/>
        </w:rPr>
      </w:pPr>
      <w:r>
        <w:rPr>
          <w:rFonts w:ascii="Arial" w:hAnsi="Arial" w:cs="Arial"/>
          <w:u w:val="single"/>
          <w:lang w:val="en-GB"/>
        </w:rPr>
        <w:t>Final remarks</w:t>
      </w:r>
    </w:p>
    <w:p w:rsidR="00A545D9" w:rsidRDefault="00A545D9" w:rsidP="00A545D9">
      <w:pPr>
        <w:pStyle w:val="ListParagraph"/>
        <w:spacing w:line="360" w:lineRule="auto"/>
        <w:ind w:left="426"/>
        <w:rPr>
          <w:rFonts w:ascii="Arial" w:hAnsi="Arial" w:cs="Arial"/>
          <w:u w:val="single"/>
          <w:lang w:val="en-GB"/>
        </w:rPr>
      </w:pPr>
    </w:p>
    <w:p w:rsidR="00B70575" w:rsidRDefault="00A545D9" w:rsidP="00A545D9">
      <w:pPr>
        <w:pStyle w:val="ListParagraph"/>
        <w:spacing w:line="360" w:lineRule="auto"/>
        <w:ind w:left="426"/>
        <w:jc w:val="both"/>
        <w:rPr>
          <w:rFonts w:ascii="Arial" w:hAnsi="Arial" w:cs="Arial"/>
          <w:lang w:val="en-GB"/>
        </w:rPr>
      </w:pPr>
      <w:r>
        <w:rPr>
          <w:rFonts w:ascii="Arial" w:hAnsi="Arial" w:cs="Arial"/>
          <w:lang w:val="en-GB"/>
        </w:rPr>
        <w:t xml:space="preserve">SUT (QRE) at previous </w:t>
      </w:r>
      <w:proofErr w:type="gramStart"/>
      <w:r>
        <w:rPr>
          <w:rFonts w:ascii="Arial" w:hAnsi="Arial" w:cs="Arial"/>
          <w:lang w:val="en-GB"/>
        </w:rPr>
        <w:t>years</w:t>
      </w:r>
      <w:proofErr w:type="gramEnd"/>
      <w:r>
        <w:rPr>
          <w:rFonts w:ascii="Arial" w:hAnsi="Arial" w:cs="Arial"/>
          <w:lang w:val="en-GB"/>
        </w:rPr>
        <w:t xml:space="preserve"> prices, together with the SUT in current prices, is </w:t>
      </w:r>
      <w:r w:rsidR="007928F0">
        <w:rPr>
          <w:rFonts w:ascii="Arial" w:hAnsi="Arial" w:cs="Arial"/>
          <w:lang w:val="en-GB"/>
        </w:rPr>
        <w:t xml:space="preserve">the </w:t>
      </w:r>
      <w:r>
        <w:rPr>
          <w:rFonts w:ascii="Arial" w:hAnsi="Arial" w:cs="Arial"/>
          <w:lang w:val="en-GB"/>
        </w:rPr>
        <w:t xml:space="preserve">best accounting </w:t>
      </w:r>
      <w:r w:rsidR="007928F0">
        <w:rPr>
          <w:rFonts w:ascii="Arial" w:hAnsi="Arial" w:cs="Arial"/>
          <w:lang w:val="en-GB"/>
        </w:rPr>
        <w:t xml:space="preserve">framework </w:t>
      </w:r>
      <w:r>
        <w:rPr>
          <w:rFonts w:ascii="Arial" w:hAnsi="Arial" w:cs="Arial"/>
          <w:lang w:val="en-GB"/>
        </w:rPr>
        <w:t>support</w:t>
      </w:r>
      <w:r w:rsidR="007928F0">
        <w:rPr>
          <w:rFonts w:ascii="Arial" w:hAnsi="Arial" w:cs="Arial"/>
          <w:lang w:val="en-GB"/>
        </w:rPr>
        <w:t xml:space="preserve"> for</w:t>
      </w:r>
      <w:r>
        <w:rPr>
          <w:rFonts w:ascii="Arial" w:hAnsi="Arial" w:cs="Arial"/>
          <w:lang w:val="en-GB"/>
        </w:rPr>
        <w:t xml:space="preserve"> guarantee the overall consistency, coherence and reliability of the macroeconomic data and </w:t>
      </w:r>
      <w:r w:rsidR="007928F0">
        <w:rPr>
          <w:rFonts w:ascii="Arial" w:hAnsi="Arial" w:cs="Arial"/>
          <w:lang w:val="en-GB"/>
        </w:rPr>
        <w:t xml:space="preserve">the </w:t>
      </w:r>
      <w:r>
        <w:rPr>
          <w:rFonts w:ascii="Arial" w:hAnsi="Arial" w:cs="Arial"/>
          <w:lang w:val="en-GB"/>
        </w:rPr>
        <w:t>major aggregates</w:t>
      </w:r>
      <w:r w:rsidR="00B70575">
        <w:rPr>
          <w:rFonts w:ascii="Arial" w:hAnsi="Arial" w:cs="Arial"/>
          <w:lang w:val="en-GB"/>
        </w:rPr>
        <w:t>.</w:t>
      </w:r>
    </w:p>
    <w:p w:rsidR="00A545D9" w:rsidRPr="00A412E9" w:rsidRDefault="00B70575" w:rsidP="00A545D9">
      <w:pPr>
        <w:pStyle w:val="ListParagraph"/>
        <w:spacing w:line="360" w:lineRule="auto"/>
        <w:ind w:left="426"/>
        <w:jc w:val="both"/>
        <w:rPr>
          <w:rFonts w:ascii="Arial" w:hAnsi="Arial" w:cs="Arial"/>
          <w:u w:val="single"/>
          <w:lang w:val="en-GB"/>
        </w:rPr>
      </w:pPr>
      <w:r>
        <w:rPr>
          <w:rFonts w:ascii="Arial" w:hAnsi="Arial" w:cs="Arial"/>
          <w:lang w:val="en-GB"/>
        </w:rPr>
        <w:t>The use of detailed data on price indices, integrated into a coherent compilation framework based on supply and use balancing is a crucial element to arrive to reliable and accurate data on volume and price changes. Volume changes for GDP and its main components play a determinant role on economic analysis.</w:t>
      </w:r>
      <w:r w:rsidR="007928F0">
        <w:rPr>
          <w:rFonts w:ascii="Arial" w:hAnsi="Arial" w:cs="Arial"/>
          <w:lang w:val="en-GB"/>
        </w:rPr>
        <w:t xml:space="preserve"> </w:t>
      </w:r>
    </w:p>
    <w:p w:rsidR="00FE187E" w:rsidRPr="00A412E9" w:rsidRDefault="00D95C7F">
      <w:pPr>
        <w:rPr>
          <w:rFonts w:ascii="Arial" w:hAnsi="Arial" w:cs="Arial"/>
          <w:highlight w:val="darkCyan"/>
          <w:u w:val="single"/>
          <w:lang w:val="en-GB"/>
        </w:rPr>
      </w:pPr>
      <w:r>
        <w:rPr>
          <w:rFonts w:ascii="Arial" w:hAnsi="Arial" w:cs="Arial"/>
          <w:highlight w:val="darkCyan"/>
          <w:u w:val="single"/>
          <w:lang w:val="en-GB"/>
        </w:rPr>
        <w:t xml:space="preserve"> </w:t>
      </w:r>
    </w:p>
    <w:p w:rsidR="00B70575" w:rsidRDefault="00B70575">
      <w:pPr>
        <w:rPr>
          <w:rFonts w:ascii="Arial" w:hAnsi="Arial" w:cs="Arial"/>
          <w:u w:val="single"/>
          <w:lang w:val="en-GB"/>
        </w:rPr>
      </w:pPr>
      <w:r>
        <w:rPr>
          <w:rFonts w:ascii="Arial" w:hAnsi="Arial" w:cs="Arial"/>
          <w:u w:val="single"/>
          <w:lang w:val="en-GB"/>
        </w:rPr>
        <w:br w:type="page"/>
      </w:r>
    </w:p>
    <w:p w:rsidR="00466A87" w:rsidRPr="00A412E9" w:rsidRDefault="00466A87" w:rsidP="00641D4C">
      <w:pPr>
        <w:rPr>
          <w:rFonts w:ascii="Arial" w:hAnsi="Arial" w:cs="Arial"/>
          <w:u w:val="single"/>
          <w:lang w:val="en-GB"/>
        </w:rPr>
      </w:pPr>
      <w:r w:rsidRPr="00A412E9">
        <w:rPr>
          <w:rFonts w:ascii="Arial" w:hAnsi="Arial" w:cs="Arial"/>
          <w:u w:val="single"/>
          <w:lang w:val="en-GB"/>
        </w:rPr>
        <w:lastRenderedPageBreak/>
        <w:t>ANNEXES:</w:t>
      </w:r>
    </w:p>
    <w:p w:rsidR="00057CBD" w:rsidRPr="00A412E9" w:rsidRDefault="00057CBD" w:rsidP="00641D4C">
      <w:pPr>
        <w:rPr>
          <w:rFonts w:ascii="Arial" w:hAnsi="Arial" w:cs="Arial"/>
          <w:u w:val="single"/>
          <w:lang w:val="en-GB"/>
        </w:rPr>
      </w:pPr>
    </w:p>
    <w:p w:rsidR="006F5F77" w:rsidRPr="00A412E9" w:rsidRDefault="006F5F77" w:rsidP="006F5F77">
      <w:pPr>
        <w:rPr>
          <w:rFonts w:ascii="Arial" w:hAnsi="Arial" w:cs="Arial"/>
          <w:u w:val="single"/>
          <w:lang w:val="en-GB"/>
        </w:rPr>
      </w:pPr>
      <w:r w:rsidRPr="00A412E9">
        <w:rPr>
          <w:rFonts w:ascii="Arial" w:hAnsi="Arial" w:cs="Arial"/>
          <w:u w:val="single"/>
          <w:lang w:val="en-GB"/>
        </w:rPr>
        <w:t>BIBLIGRAPHY:</w:t>
      </w:r>
    </w:p>
    <w:p w:rsidR="006F5F77" w:rsidRPr="00A412E9" w:rsidRDefault="006F5F77" w:rsidP="006F5F77">
      <w:pPr>
        <w:pStyle w:val="ListParagraph"/>
        <w:numPr>
          <w:ilvl w:val="0"/>
          <w:numId w:val="5"/>
        </w:numPr>
        <w:spacing w:line="360" w:lineRule="auto"/>
        <w:ind w:left="1134" w:hanging="283"/>
        <w:rPr>
          <w:rFonts w:ascii="Arial" w:hAnsi="Arial" w:cs="Arial"/>
          <w:lang w:val="en-GB"/>
        </w:rPr>
      </w:pPr>
      <w:r w:rsidRPr="00A412E9">
        <w:rPr>
          <w:rFonts w:ascii="Arial" w:hAnsi="Arial" w:cs="Arial"/>
          <w:lang w:val="en-GB"/>
        </w:rPr>
        <w:t xml:space="preserve"> European system of accounts, 1995 (ESA 1995), European Communities, 1996</w:t>
      </w:r>
    </w:p>
    <w:p w:rsidR="006F5F77" w:rsidRPr="00A412E9" w:rsidRDefault="00E14E2F" w:rsidP="006F5F77">
      <w:pPr>
        <w:pStyle w:val="ListParagraph"/>
        <w:numPr>
          <w:ilvl w:val="0"/>
          <w:numId w:val="5"/>
        </w:numPr>
        <w:spacing w:line="360" w:lineRule="auto"/>
        <w:ind w:left="1134" w:hanging="283"/>
        <w:rPr>
          <w:rFonts w:ascii="Arial" w:hAnsi="Arial" w:cs="Arial"/>
          <w:lang w:val="en-GB"/>
        </w:rPr>
      </w:pPr>
      <w:proofErr w:type="spellStart"/>
      <w:r w:rsidRPr="00A412E9">
        <w:rPr>
          <w:rFonts w:ascii="Arial" w:hAnsi="Arial" w:cs="Arial"/>
          <w:lang w:val="en-GB"/>
        </w:rPr>
        <w:t>Eurostat</w:t>
      </w:r>
      <w:proofErr w:type="spellEnd"/>
      <w:r w:rsidRPr="00A412E9">
        <w:rPr>
          <w:rFonts w:ascii="Arial" w:hAnsi="Arial" w:cs="Arial"/>
          <w:lang w:val="en-GB"/>
        </w:rPr>
        <w:t xml:space="preserve"> </w:t>
      </w:r>
      <w:r w:rsidR="006F5F77" w:rsidRPr="00A412E9">
        <w:rPr>
          <w:rFonts w:ascii="Arial" w:hAnsi="Arial" w:cs="Arial"/>
          <w:lang w:val="en-GB"/>
        </w:rPr>
        <w:t>Manual of Supply, use and Input-outpu</w:t>
      </w:r>
      <w:r w:rsidRPr="00A412E9">
        <w:rPr>
          <w:rFonts w:ascii="Arial" w:hAnsi="Arial" w:cs="Arial"/>
          <w:lang w:val="en-GB"/>
        </w:rPr>
        <w:t>t tables -  European Commission -</w:t>
      </w:r>
      <w:r w:rsidR="006F5F77" w:rsidRPr="00A412E9">
        <w:rPr>
          <w:rFonts w:ascii="Arial" w:hAnsi="Arial" w:cs="Arial"/>
          <w:lang w:val="en-GB"/>
        </w:rPr>
        <w:t xml:space="preserve"> </w:t>
      </w:r>
      <w:proofErr w:type="spellStart"/>
      <w:r w:rsidR="006F5F77" w:rsidRPr="00A412E9">
        <w:rPr>
          <w:rFonts w:ascii="Arial" w:hAnsi="Arial" w:cs="Arial"/>
          <w:lang w:val="en-GB"/>
        </w:rPr>
        <w:t>Eurostat</w:t>
      </w:r>
      <w:proofErr w:type="spellEnd"/>
      <w:r w:rsidR="006F5F77" w:rsidRPr="00A412E9">
        <w:rPr>
          <w:rFonts w:ascii="Arial" w:hAnsi="Arial" w:cs="Arial"/>
          <w:lang w:val="en-GB"/>
        </w:rPr>
        <w:t>, 2008 edition</w:t>
      </w:r>
    </w:p>
    <w:p w:rsidR="006F5F77" w:rsidRPr="00A412E9" w:rsidRDefault="006F5F77" w:rsidP="006F5F77">
      <w:pPr>
        <w:pStyle w:val="ListParagraph"/>
        <w:numPr>
          <w:ilvl w:val="0"/>
          <w:numId w:val="5"/>
        </w:numPr>
        <w:spacing w:line="360" w:lineRule="auto"/>
        <w:ind w:left="1134" w:hanging="283"/>
        <w:rPr>
          <w:rFonts w:ascii="Arial" w:hAnsi="Arial" w:cs="Arial"/>
        </w:rPr>
      </w:pPr>
      <w:r w:rsidRPr="00A412E9">
        <w:rPr>
          <w:rFonts w:ascii="Arial" w:hAnsi="Arial" w:cs="Arial"/>
        </w:rPr>
        <w:t>O Rendimento Nacional Português - Instituto Nacional de Estatística, 1960</w:t>
      </w:r>
    </w:p>
    <w:p w:rsidR="006F5F77" w:rsidRPr="00A412E9" w:rsidRDefault="006F5F77" w:rsidP="006F5F77">
      <w:pPr>
        <w:pStyle w:val="ListParagraph"/>
        <w:numPr>
          <w:ilvl w:val="0"/>
          <w:numId w:val="5"/>
        </w:numPr>
        <w:spacing w:line="360" w:lineRule="auto"/>
        <w:ind w:left="1134" w:hanging="283"/>
        <w:rPr>
          <w:rFonts w:ascii="Arial" w:hAnsi="Arial" w:cs="Arial"/>
        </w:rPr>
      </w:pPr>
      <w:r w:rsidRPr="00A412E9">
        <w:rPr>
          <w:rFonts w:ascii="Arial" w:hAnsi="Arial" w:cs="Arial"/>
        </w:rPr>
        <w:t>Contas Nacionais - 1977 a 1981 - INE, setembro de 1982</w:t>
      </w:r>
    </w:p>
    <w:p w:rsidR="006F5F77" w:rsidRPr="00A412E9" w:rsidRDefault="00E14E2F" w:rsidP="006F5F77">
      <w:pPr>
        <w:pStyle w:val="ListParagraph"/>
        <w:numPr>
          <w:ilvl w:val="0"/>
          <w:numId w:val="5"/>
        </w:numPr>
        <w:spacing w:line="360" w:lineRule="auto"/>
        <w:ind w:left="1134" w:hanging="283"/>
        <w:rPr>
          <w:rFonts w:ascii="Arial" w:hAnsi="Arial" w:cs="Arial"/>
        </w:rPr>
      </w:pPr>
      <w:r w:rsidRPr="00A412E9">
        <w:rPr>
          <w:rFonts w:ascii="Arial" w:hAnsi="Arial" w:cs="Arial"/>
        </w:rPr>
        <w:t xml:space="preserve">Contas Nacionais - SEC 1995, Base 2006 </w:t>
      </w:r>
      <w:hyperlink r:id="rId14" w:history="1">
        <w:r w:rsidRPr="00A412E9">
          <w:rPr>
            <w:rStyle w:val="Hyperlink"/>
            <w:rFonts w:ascii="Arial" w:hAnsi="Arial" w:cs="Arial"/>
          </w:rPr>
          <w:t>http://www.ine.pt/xportal/xmain?xpid=INE&amp;xpgid=ine_cnacionais</w:t>
        </w:r>
      </w:hyperlink>
    </w:p>
    <w:p w:rsidR="00CF633E" w:rsidRDefault="00CF633E" w:rsidP="006F5F77">
      <w:pPr>
        <w:pStyle w:val="ListParagraph"/>
        <w:numPr>
          <w:ilvl w:val="0"/>
          <w:numId w:val="5"/>
        </w:numPr>
        <w:spacing w:line="360" w:lineRule="auto"/>
        <w:ind w:left="1134" w:hanging="283"/>
        <w:rPr>
          <w:rFonts w:ascii="Arial" w:hAnsi="Arial" w:cs="Arial"/>
          <w:lang w:val="en-GB"/>
        </w:rPr>
      </w:pPr>
      <w:r>
        <w:rPr>
          <w:rFonts w:ascii="Arial" w:hAnsi="Arial" w:cs="Arial"/>
          <w:lang w:val="en-GB"/>
        </w:rPr>
        <w:t>Supply and Use tables for Belgium: 1995-2002 Methodology of Compilation - EU KLEMS - March 2007</w:t>
      </w:r>
    </w:p>
    <w:p w:rsidR="00973054" w:rsidRPr="006123B8" w:rsidRDefault="00C67DC0" w:rsidP="006123B8">
      <w:pPr>
        <w:pStyle w:val="ListParagraph"/>
        <w:numPr>
          <w:ilvl w:val="0"/>
          <w:numId w:val="5"/>
        </w:numPr>
        <w:spacing w:line="360" w:lineRule="auto"/>
        <w:ind w:left="1134" w:hanging="283"/>
        <w:rPr>
          <w:rFonts w:ascii="Arial" w:hAnsi="Arial" w:cs="Arial"/>
          <w:lang w:val="en-GB"/>
        </w:rPr>
      </w:pPr>
      <w:r w:rsidRPr="00C67DC0">
        <w:rPr>
          <w:rFonts w:ascii="Arial" w:hAnsi="Arial" w:cs="Arial"/>
          <w:lang w:val="en-GB"/>
        </w:rPr>
        <w:t>Sources for National Supply and Use Table input files</w:t>
      </w:r>
      <w:r>
        <w:rPr>
          <w:rFonts w:ascii="Arial" w:hAnsi="Arial" w:cs="Arial"/>
          <w:lang w:val="en-GB"/>
        </w:rPr>
        <w:t xml:space="preserve"> -  </w:t>
      </w:r>
      <w:r w:rsidR="00CF633E">
        <w:rPr>
          <w:rFonts w:ascii="Arial" w:hAnsi="Arial" w:cs="Arial"/>
          <w:lang w:val="en-GB"/>
        </w:rPr>
        <w:t xml:space="preserve">Abdul </w:t>
      </w:r>
      <w:proofErr w:type="spellStart"/>
      <w:r w:rsidR="00CF633E">
        <w:rPr>
          <w:rFonts w:ascii="Arial" w:hAnsi="Arial" w:cs="Arial"/>
          <w:lang w:val="en-GB"/>
        </w:rPr>
        <w:t>Azeez</w:t>
      </w:r>
      <w:proofErr w:type="spellEnd"/>
      <w:r w:rsidR="00CF633E">
        <w:rPr>
          <w:rFonts w:ascii="Arial" w:hAnsi="Arial" w:cs="Arial"/>
          <w:lang w:val="en-GB"/>
        </w:rPr>
        <w:t xml:space="preserve"> </w:t>
      </w:r>
      <w:proofErr w:type="spellStart"/>
      <w:r w:rsidR="00CF633E">
        <w:rPr>
          <w:rFonts w:ascii="Arial" w:hAnsi="Arial" w:cs="Arial"/>
          <w:lang w:val="en-GB"/>
        </w:rPr>
        <w:t>Erumban</w:t>
      </w:r>
      <w:proofErr w:type="spellEnd"/>
      <w:r w:rsidR="00CF633E">
        <w:rPr>
          <w:rFonts w:ascii="Arial" w:hAnsi="Arial" w:cs="Arial"/>
          <w:lang w:val="en-GB"/>
        </w:rPr>
        <w:t xml:space="preserve">, </w:t>
      </w:r>
      <w:proofErr w:type="spellStart"/>
      <w:r w:rsidR="00CF633E">
        <w:rPr>
          <w:rFonts w:ascii="Arial" w:hAnsi="Arial" w:cs="Arial"/>
          <w:lang w:val="en-GB"/>
        </w:rPr>
        <w:t>R</w:t>
      </w:r>
      <w:r>
        <w:rPr>
          <w:rFonts w:ascii="Arial" w:hAnsi="Arial" w:cs="Arial"/>
          <w:lang w:val="en-GB"/>
        </w:rPr>
        <w:t>eitze</w:t>
      </w:r>
      <w:proofErr w:type="spellEnd"/>
      <w:r>
        <w:rPr>
          <w:rFonts w:ascii="Arial" w:hAnsi="Arial" w:cs="Arial"/>
          <w:lang w:val="en-GB"/>
        </w:rPr>
        <w:t xml:space="preserve"> </w:t>
      </w:r>
      <w:proofErr w:type="spellStart"/>
      <w:r>
        <w:rPr>
          <w:rFonts w:ascii="Arial" w:hAnsi="Arial" w:cs="Arial"/>
          <w:lang w:val="en-GB"/>
        </w:rPr>
        <w:t>Gouma</w:t>
      </w:r>
      <w:proofErr w:type="spellEnd"/>
      <w:r>
        <w:rPr>
          <w:rFonts w:ascii="Arial" w:hAnsi="Arial" w:cs="Arial"/>
          <w:lang w:val="en-GB"/>
        </w:rPr>
        <w:t xml:space="preserve">, </w:t>
      </w:r>
      <w:proofErr w:type="spellStart"/>
      <w:r>
        <w:rPr>
          <w:rFonts w:ascii="Arial" w:hAnsi="Arial" w:cs="Arial"/>
          <w:lang w:val="en-GB"/>
        </w:rPr>
        <w:t>Gaaitzen</w:t>
      </w:r>
      <w:proofErr w:type="spellEnd"/>
      <w:r>
        <w:rPr>
          <w:rFonts w:ascii="Arial" w:hAnsi="Arial" w:cs="Arial"/>
          <w:lang w:val="en-GB"/>
        </w:rPr>
        <w:t xml:space="preserve"> de </w:t>
      </w:r>
      <w:proofErr w:type="spellStart"/>
      <w:r>
        <w:rPr>
          <w:rFonts w:ascii="Arial" w:hAnsi="Arial" w:cs="Arial"/>
          <w:lang w:val="en-GB"/>
        </w:rPr>
        <w:t>Vries</w:t>
      </w:r>
      <w:proofErr w:type="spellEnd"/>
      <w:r>
        <w:rPr>
          <w:rFonts w:ascii="Arial" w:hAnsi="Arial" w:cs="Arial"/>
          <w:lang w:val="en-GB"/>
        </w:rPr>
        <w:t xml:space="preserve">, </w:t>
      </w:r>
      <w:proofErr w:type="spellStart"/>
      <w:r>
        <w:rPr>
          <w:rFonts w:ascii="Arial" w:hAnsi="Arial" w:cs="Arial"/>
          <w:lang w:val="en-GB"/>
        </w:rPr>
        <w:t>Klaas</w:t>
      </w:r>
      <w:proofErr w:type="spellEnd"/>
      <w:r>
        <w:rPr>
          <w:rFonts w:ascii="Arial" w:hAnsi="Arial" w:cs="Arial"/>
          <w:lang w:val="en-GB"/>
        </w:rPr>
        <w:t xml:space="preserve"> de </w:t>
      </w:r>
      <w:proofErr w:type="spellStart"/>
      <w:r>
        <w:rPr>
          <w:rFonts w:ascii="Arial" w:hAnsi="Arial" w:cs="Arial"/>
          <w:lang w:val="en-GB"/>
        </w:rPr>
        <w:t>Vries</w:t>
      </w:r>
      <w:proofErr w:type="spellEnd"/>
      <w:r>
        <w:rPr>
          <w:rFonts w:ascii="Arial" w:hAnsi="Arial" w:cs="Arial"/>
          <w:lang w:val="en-GB"/>
        </w:rPr>
        <w:t xml:space="preserve">, Marcel </w:t>
      </w:r>
      <w:proofErr w:type="spellStart"/>
      <w:r>
        <w:rPr>
          <w:rFonts w:ascii="Arial" w:hAnsi="Arial" w:cs="Arial"/>
          <w:lang w:val="en-GB"/>
        </w:rPr>
        <w:t>Timmer</w:t>
      </w:r>
      <w:proofErr w:type="spellEnd"/>
      <w:r w:rsidR="00CF633E">
        <w:rPr>
          <w:rFonts w:ascii="Arial" w:hAnsi="Arial" w:cs="Arial"/>
          <w:lang w:val="en-GB"/>
        </w:rPr>
        <w:t>, World Input-output Database (WIOD), April 2012</w:t>
      </w:r>
    </w:p>
    <w:p w:rsidR="00973054" w:rsidRPr="00F90805" w:rsidRDefault="00973054" w:rsidP="002F1F00">
      <w:pPr>
        <w:pStyle w:val="ListParagraph"/>
        <w:spacing w:line="360" w:lineRule="auto"/>
        <w:ind w:left="1134"/>
        <w:rPr>
          <w:rFonts w:ascii="Arial" w:hAnsi="Arial" w:cs="Arial"/>
          <w:lang w:val="en-GB"/>
        </w:rPr>
      </w:pPr>
    </w:p>
    <w:p w:rsidR="006F5F77" w:rsidRPr="00F90805" w:rsidRDefault="006F5F77" w:rsidP="006F5F77">
      <w:pPr>
        <w:rPr>
          <w:rFonts w:ascii="Arial" w:hAnsi="Arial" w:cs="Arial"/>
          <w:u w:val="single"/>
          <w:lang w:val="en-GB"/>
        </w:rPr>
      </w:pPr>
    </w:p>
    <w:p w:rsidR="00973054" w:rsidRPr="00A412E9" w:rsidRDefault="00973054">
      <w:pPr>
        <w:rPr>
          <w:rFonts w:ascii="Arial" w:hAnsi="Arial" w:cs="Arial"/>
          <w:u w:val="single"/>
          <w:lang w:val="en-GB"/>
        </w:rPr>
      </w:pPr>
      <w:r w:rsidRPr="00A412E9">
        <w:rPr>
          <w:rFonts w:ascii="Arial" w:hAnsi="Arial" w:cs="Arial"/>
          <w:u w:val="single"/>
          <w:lang w:val="en-GB"/>
        </w:rPr>
        <w:br w:type="page"/>
      </w:r>
    </w:p>
    <w:p w:rsidR="00FC6188" w:rsidRDefault="00FC6188" w:rsidP="00973054">
      <w:pPr>
        <w:rPr>
          <w:rFonts w:ascii="Arial" w:hAnsi="Arial" w:cs="Arial"/>
          <w:u w:val="single"/>
          <w:lang w:val="en-GB"/>
        </w:rPr>
      </w:pPr>
    </w:p>
    <w:p w:rsidR="00973054" w:rsidRPr="00A412E9" w:rsidRDefault="00973054" w:rsidP="00973054">
      <w:pPr>
        <w:rPr>
          <w:rFonts w:ascii="Arial" w:hAnsi="Arial" w:cs="Arial"/>
          <w:u w:val="single"/>
          <w:lang w:val="en-GB"/>
        </w:rPr>
      </w:pPr>
      <w:r w:rsidRPr="00A412E9">
        <w:rPr>
          <w:rFonts w:ascii="Arial" w:hAnsi="Arial" w:cs="Arial"/>
          <w:u w:val="single"/>
          <w:lang w:val="en-GB"/>
        </w:rPr>
        <w:t>ANNEXES:</w:t>
      </w:r>
    </w:p>
    <w:p w:rsidR="002F1F00" w:rsidRDefault="002F1F00" w:rsidP="00641D4C">
      <w:pPr>
        <w:rPr>
          <w:rFonts w:ascii="Arial" w:hAnsi="Arial" w:cs="Arial"/>
          <w:u w:val="single"/>
          <w:lang w:val="en-GB"/>
        </w:rPr>
      </w:pPr>
    </w:p>
    <w:p w:rsidR="00466A87" w:rsidRDefault="00466A87" w:rsidP="00641D4C">
      <w:pPr>
        <w:rPr>
          <w:rFonts w:ascii="Arial" w:hAnsi="Arial" w:cs="Arial"/>
          <w:u w:val="single"/>
          <w:lang w:val="en-GB"/>
        </w:rPr>
      </w:pPr>
      <w:r w:rsidRPr="00A412E9">
        <w:rPr>
          <w:rFonts w:ascii="Arial" w:hAnsi="Arial" w:cs="Arial"/>
          <w:u w:val="single"/>
          <w:lang w:val="en-GB"/>
        </w:rPr>
        <w:t>ABBREVIATIONS AND ACRONYMS</w:t>
      </w:r>
    </w:p>
    <w:p w:rsidR="002F1F00" w:rsidRDefault="002F1F00" w:rsidP="00641D4C">
      <w:pPr>
        <w:rPr>
          <w:rFonts w:ascii="Arial" w:hAnsi="Arial" w:cs="Arial"/>
          <w:u w:val="single"/>
          <w:lang w:val="en-GB"/>
        </w:rPr>
      </w:pPr>
    </w:p>
    <w:tbl>
      <w:tblPr>
        <w:tblStyle w:val="LightShading-Accent1"/>
        <w:tblW w:w="0" w:type="auto"/>
        <w:tblLayout w:type="fixed"/>
        <w:tblLook w:val="04A0"/>
      </w:tblPr>
      <w:tblGrid>
        <w:gridCol w:w="1809"/>
        <w:gridCol w:w="6599"/>
      </w:tblGrid>
      <w:tr w:rsidR="00203E06" w:rsidTr="00203E06">
        <w:trPr>
          <w:cnfStyle w:val="100000000000"/>
        </w:trPr>
        <w:tc>
          <w:tcPr>
            <w:cnfStyle w:val="001000000000"/>
            <w:tcW w:w="1809" w:type="dxa"/>
          </w:tcPr>
          <w:p w:rsidR="00203E06" w:rsidRDefault="00203E06" w:rsidP="00641D4C">
            <w:pPr>
              <w:rPr>
                <w:rFonts w:ascii="Arial" w:hAnsi="Arial" w:cs="Arial"/>
                <w:u w:val="single"/>
                <w:lang w:val="en-GB"/>
              </w:rPr>
            </w:pPr>
          </w:p>
        </w:tc>
        <w:tc>
          <w:tcPr>
            <w:tcW w:w="6599" w:type="dxa"/>
          </w:tcPr>
          <w:p w:rsidR="00203E06" w:rsidRDefault="00203E06" w:rsidP="00641D4C">
            <w:pPr>
              <w:cnfStyle w:val="100000000000"/>
              <w:rPr>
                <w:rFonts w:ascii="Arial" w:hAnsi="Arial" w:cs="Arial"/>
                <w:u w:val="single"/>
                <w:lang w:val="en-GB"/>
              </w:rPr>
            </w:pPr>
          </w:p>
        </w:tc>
      </w:tr>
      <w:tr w:rsidR="00203E06" w:rsidRPr="00BD5715" w:rsidTr="00C171EA">
        <w:trPr>
          <w:cnfStyle w:val="000000100000"/>
          <w:trHeight w:hRule="exact" w:val="284"/>
        </w:trPr>
        <w:tc>
          <w:tcPr>
            <w:cnfStyle w:val="001000000000"/>
            <w:tcW w:w="1809" w:type="dxa"/>
          </w:tcPr>
          <w:p w:rsidR="00203E06" w:rsidRPr="002F1F00" w:rsidRDefault="00203E06" w:rsidP="00641D4C">
            <w:pPr>
              <w:rPr>
                <w:rFonts w:ascii="Arial" w:hAnsi="Arial" w:cs="Arial"/>
                <w:sz w:val="18"/>
                <w:szCs w:val="18"/>
                <w:lang w:val="en-GB"/>
              </w:rPr>
            </w:pPr>
            <w:r w:rsidRPr="002F1F00">
              <w:rPr>
                <w:rFonts w:ascii="Arial" w:hAnsi="Arial" w:cs="Arial"/>
                <w:sz w:val="18"/>
                <w:szCs w:val="18"/>
                <w:lang w:val="en-GB"/>
              </w:rPr>
              <w:t>ACOV</w:t>
            </w:r>
          </w:p>
        </w:tc>
        <w:tc>
          <w:tcPr>
            <w:tcW w:w="6599" w:type="dxa"/>
          </w:tcPr>
          <w:p w:rsidR="00203E06" w:rsidRPr="002F1F00" w:rsidRDefault="00203E06" w:rsidP="00641D4C">
            <w:pPr>
              <w:cnfStyle w:val="000000100000"/>
              <w:rPr>
                <w:rFonts w:ascii="Arial" w:hAnsi="Arial" w:cs="Arial"/>
                <w:sz w:val="18"/>
                <w:szCs w:val="18"/>
                <w:lang w:val="en-GB"/>
              </w:rPr>
            </w:pPr>
            <w:r w:rsidRPr="002F1F00">
              <w:rPr>
                <w:rFonts w:ascii="Arial" w:hAnsi="Arial" w:cs="Arial"/>
                <w:sz w:val="18"/>
                <w:szCs w:val="18"/>
                <w:lang w:val="en-GB"/>
              </w:rPr>
              <w:t>N</w:t>
            </w:r>
            <w:r>
              <w:rPr>
                <w:rFonts w:ascii="Arial" w:hAnsi="Arial" w:cs="Arial"/>
                <w:sz w:val="18"/>
                <w:szCs w:val="18"/>
                <w:lang w:val="en-GB"/>
              </w:rPr>
              <w:t>et acquisition of valuables (Portuguese acronym)</w:t>
            </w:r>
          </w:p>
        </w:tc>
      </w:tr>
      <w:tr w:rsidR="00203E06" w:rsidTr="00C171EA">
        <w:trPr>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CIF</w:t>
            </w:r>
          </w:p>
        </w:tc>
        <w:tc>
          <w:tcPr>
            <w:tcW w:w="6599" w:type="dxa"/>
          </w:tcPr>
          <w:p w:rsidR="00203E06" w:rsidRPr="002F1F00" w:rsidRDefault="00203E06" w:rsidP="00641D4C">
            <w:pPr>
              <w:cnfStyle w:val="000000000000"/>
              <w:rPr>
                <w:rFonts w:ascii="Arial" w:hAnsi="Arial" w:cs="Arial"/>
                <w:sz w:val="18"/>
                <w:szCs w:val="18"/>
                <w:lang w:val="en-GB"/>
              </w:rPr>
            </w:pPr>
            <w:r>
              <w:rPr>
                <w:rFonts w:ascii="Arial" w:hAnsi="Arial" w:cs="Arial"/>
                <w:sz w:val="18"/>
                <w:szCs w:val="18"/>
                <w:lang w:val="en-GB"/>
              </w:rPr>
              <w:t>Cost, Insurance, Freight</w:t>
            </w:r>
          </w:p>
        </w:tc>
      </w:tr>
      <w:tr w:rsidR="00203E06" w:rsidRPr="00BD5715" w:rsidTr="00C171EA">
        <w:trPr>
          <w:cnfStyle w:val="000000100000"/>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ERE</w:t>
            </w:r>
          </w:p>
        </w:tc>
        <w:tc>
          <w:tcPr>
            <w:tcW w:w="6599" w:type="dxa"/>
          </w:tcPr>
          <w:p w:rsidR="00203E06" w:rsidRPr="002F1F00" w:rsidRDefault="00203E06" w:rsidP="00641D4C">
            <w:pPr>
              <w:cnfStyle w:val="000000100000"/>
              <w:rPr>
                <w:rFonts w:ascii="Arial" w:hAnsi="Arial" w:cs="Arial"/>
                <w:sz w:val="18"/>
                <w:szCs w:val="18"/>
                <w:lang w:val="en-GB"/>
              </w:rPr>
            </w:pPr>
            <w:r>
              <w:rPr>
                <w:rFonts w:ascii="Arial" w:hAnsi="Arial" w:cs="Arial"/>
                <w:sz w:val="18"/>
                <w:szCs w:val="18"/>
                <w:lang w:val="en-GB"/>
              </w:rPr>
              <w:t>Supply and Use Balance (Portuguese acronym)</w:t>
            </w:r>
          </w:p>
        </w:tc>
      </w:tr>
      <w:tr w:rsidR="00203E06" w:rsidRPr="00BD5715" w:rsidTr="00C171EA">
        <w:trPr>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ESA</w:t>
            </w:r>
          </w:p>
        </w:tc>
        <w:tc>
          <w:tcPr>
            <w:tcW w:w="6599" w:type="dxa"/>
          </w:tcPr>
          <w:p w:rsidR="00203E06" w:rsidRPr="002F1F00" w:rsidRDefault="00203E06" w:rsidP="00641D4C">
            <w:pPr>
              <w:cnfStyle w:val="000000000000"/>
              <w:rPr>
                <w:rFonts w:ascii="Arial" w:hAnsi="Arial" w:cs="Arial"/>
                <w:sz w:val="18"/>
                <w:szCs w:val="18"/>
                <w:lang w:val="en-GB"/>
              </w:rPr>
            </w:pPr>
            <w:r>
              <w:rPr>
                <w:rFonts w:ascii="Arial" w:hAnsi="Arial" w:cs="Arial"/>
                <w:sz w:val="18"/>
                <w:szCs w:val="18"/>
                <w:lang w:val="en-GB"/>
              </w:rPr>
              <w:t>European System of National Accounts</w:t>
            </w:r>
          </w:p>
        </w:tc>
      </w:tr>
      <w:tr w:rsidR="00203E06" w:rsidRPr="00BD5715" w:rsidTr="00C171EA">
        <w:trPr>
          <w:cnfStyle w:val="000000100000"/>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ESA 1995 / 95</w:t>
            </w:r>
          </w:p>
        </w:tc>
        <w:tc>
          <w:tcPr>
            <w:tcW w:w="6599" w:type="dxa"/>
          </w:tcPr>
          <w:p w:rsidR="00203E06" w:rsidRPr="002F1F00" w:rsidRDefault="00203E06" w:rsidP="00641D4C">
            <w:pPr>
              <w:cnfStyle w:val="000000100000"/>
              <w:rPr>
                <w:rFonts w:ascii="Arial" w:hAnsi="Arial" w:cs="Arial"/>
                <w:sz w:val="18"/>
                <w:szCs w:val="18"/>
                <w:lang w:val="en-GB"/>
              </w:rPr>
            </w:pPr>
            <w:r>
              <w:rPr>
                <w:rFonts w:ascii="Arial" w:hAnsi="Arial" w:cs="Arial"/>
                <w:sz w:val="18"/>
                <w:szCs w:val="18"/>
                <w:lang w:val="en-GB"/>
              </w:rPr>
              <w:t>European System of National and Regional Accounts, 1995</w:t>
            </w:r>
          </w:p>
        </w:tc>
      </w:tr>
      <w:tr w:rsidR="00203E06" w:rsidRPr="00BD5715" w:rsidTr="00C171EA">
        <w:trPr>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ESA 2010</w:t>
            </w:r>
          </w:p>
        </w:tc>
        <w:tc>
          <w:tcPr>
            <w:tcW w:w="6599" w:type="dxa"/>
          </w:tcPr>
          <w:p w:rsidR="00203E06" w:rsidRPr="002F1F00" w:rsidRDefault="00203E06" w:rsidP="00641D4C">
            <w:pPr>
              <w:cnfStyle w:val="000000000000"/>
              <w:rPr>
                <w:rFonts w:ascii="Arial" w:hAnsi="Arial" w:cs="Arial"/>
                <w:sz w:val="18"/>
                <w:szCs w:val="18"/>
                <w:lang w:val="en-GB"/>
              </w:rPr>
            </w:pPr>
            <w:r>
              <w:rPr>
                <w:rFonts w:ascii="Arial" w:hAnsi="Arial" w:cs="Arial"/>
                <w:sz w:val="18"/>
                <w:szCs w:val="18"/>
                <w:lang w:val="en-GB"/>
              </w:rPr>
              <w:t>European System of National and Regional Accounts, 2010</w:t>
            </w:r>
          </w:p>
        </w:tc>
      </w:tr>
      <w:tr w:rsidR="00203E06" w:rsidTr="00C171EA">
        <w:trPr>
          <w:cnfStyle w:val="000000100000"/>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EU</w:t>
            </w:r>
          </w:p>
        </w:tc>
        <w:tc>
          <w:tcPr>
            <w:tcW w:w="6599" w:type="dxa"/>
          </w:tcPr>
          <w:p w:rsidR="00203E06" w:rsidRPr="002F1F00" w:rsidRDefault="00203E06" w:rsidP="00641D4C">
            <w:pPr>
              <w:cnfStyle w:val="000000100000"/>
              <w:rPr>
                <w:rFonts w:ascii="Arial" w:hAnsi="Arial" w:cs="Arial"/>
                <w:sz w:val="18"/>
                <w:szCs w:val="18"/>
                <w:lang w:val="en-GB"/>
              </w:rPr>
            </w:pPr>
            <w:r>
              <w:rPr>
                <w:rFonts w:ascii="Arial" w:hAnsi="Arial" w:cs="Arial"/>
                <w:sz w:val="18"/>
                <w:szCs w:val="18"/>
                <w:lang w:val="en-GB"/>
              </w:rPr>
              <w:t>European Union</w:t>
            </w:r>
          </w:p>
        </w:tc>
      </w:tr>
      <w:tr w:rsidR="00203E06" w:rsidTr="00C171EA">
        <w:trPr>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FOB</w:t>
            </w:r>
          </w:p>
        </w:tc>
        <w:tc>
          <w:tcPr>
            <w:tcW w:w="6599" w:type="dxa"/>
          </w:tcPr>
          <w:p w:rsidR="00203E06" w:rsidRPr="002F1F00" w:rsidRDefault="00203E06" w:rsidP="00641D4C">
            <w:pPr>
              <w:cnfStyle w:val="000000000000"/>
              <w:rPr>
                <w:rFonts w:ascii="Arial" w:hAnsi="Arial" w:cs="Arial"/>
                <w:sz w:val="18"/>
                <w:szCs w:val="18"/>
                <w:lang w:val="en-GB"/>
              </w:rPr>
            </w:pPr>
            <w:r>
              <w:rPr>
                <w:rFonts w:ascii="Arial" w:hAnsi="Arial" w:cs="Arial"/>
                <w:sz w:val="18"/>
                <w:szCs w:val="18"/>
                <w:lang w:val="en-GB"/>
              </w:rPr>
              <w:t>Free on Board</w:t>
            </w:r>
          </w:p>
        </w:tc>
      </w:tr>
      <w:tr w:rsidR="00203E06" w:rsidTr="00C171EA">
        <w:trPr>
          <w:cnfStyle w:val="000000100000"/>
          <w:trHeight w:hRule="exact" w:val="284"/>
        </w:trPr>
        <w:tc>
          <w:tcPr>
            <w:cnfStyle w:val="001000000000"/>
            <w:tcW w:w="1809" w:type="dxa"/>
          </w:tcPr>
          <w:p w:rsidR="00203E06" w:rsidRPr="002F1F00" w:rsidRDefault="00203E06" w:rsidP="00641D4C">
            <w:pPr>
              <w:rPr>
                <w:rFonts w:ascii="Arial" w:hAnsi="Arial" w:cs="Arial"/>
                <w:sz w:val="18"/>
                <w:szCs w:val="18"/>
                <w:lang w:val="en-GB"/>
              </w:rPr>
            </w:pPr>
            <w:r>
              <w:rPr>
                <w:rFonts w:ascii="Arial" w:hAnsi="Arial" w:cs="Arial"/>
                <w:sz w:val="18"/>
                <w:szCs w:val="18"/>
                <w:lang w:val="en-GB"/>
              </w:rPr>
              <w:t>GDP</w:t>
            </w:r>
          </w:p>
        </w:tc>
        <w:tc>
          <w:tcPr>
            <w:tcW w:w="6599" w:type="dxa"/>
          </w:tcPr>
          <w:p w:rsidR="00203E06" w:rsidRPr="002F1F00" w:rsidRDefault="00203E06" w:rsidP="00641D4C">
            <w:pPr>
              <w:cnfStyle w:val="000000100000"/>
              <w:rPr>
                <w:rFonts w:ascii="Arial" w:hAnsi="Arial" w:cs="Arial"/>
                <w:sz w:val="18"/>
                <w:szCs w:val="18"/>
                <w:lang w:val="en-GB"/>
              </w:rPr>
            </w:pPr>
            <w:r>
              <w:rPr>
                <w:rFonts w:ascii="Arial" w:hAnsi="Arial" w:cs="Arial"/>
                <w:sz w:val="18"/>
                <w:szCs w:val="18"/>
                <w:lang w:val="en-GB"/>
              </w:rPr>
              <w:t>Gross Domestic Product</w:t>
            </w:r>
          </w:p>
        </w:tc>
      </w:tr>
      <w:tr w:rsidR="00315621" w:rsidTr="00C171EA">
        <w:trPr>
          <w:trHeight w:hRule="exact" w:val="284"/>
        </w:trPr>
        <w:tc>
          <w:tcPr>
            <w:cnfStyle w:val="001000000000"/>
            <w:tcW w:w="1809" w:type="dxa"/>
          </w:tcPr>
          <w:p w:rsidR="00315621" w:rsidRPr="002F1F00" w:rsidRDefault="00315621" w:rsidP="001D6EC5">
            <w:pPr>
              <w:rPr>
                <w:rFonts w:ascii="Arial" w:hAnsi="Arial" w:cs="Arial"/>
                <w:sz w:val="18"/>
                <w:szCs w:val="18"/>
                <w:lang w:val="en-GB"/>
              </w:rPr>
            </w:pPr>
            <w:r>
              <w:rPr>
                <w:rFonts w:ascii="Arial" w:hAnsi="Arial" w:cs="Arial"/>
                <w:sz w:val="18"/>
                <w:szCs w:val="18"/>
                <w:lang w:val="en-GB"/>
              </w:rPr>
              <w:t>GCF</w:t>
            </w:r>
          </w:p>
        </w:tc>
        <w:tc>
          <w:tcPr>
            <w:tcW w:w="6599" w:type="dxa"/>
          </w:tcPr>
          <w:p w:rsidR="00315621" w:rsidRPr="002F1F00" w:rsidRDefault="00315621" w:rsidP="001D6EC5">
            <w:pPr>
              <w:cnfStyle w:val="000000000000"/>
              <w:rPr>
                <w:rFonts w:ascii="Arial" w:hAnsi="Arial" w:cs="Arial"/>
                <w:sz w:val="18"/>
                <w:szCs w:val="18"/>
                <w:lang w:val="en-GB"/>
              </w:rPr>
            </w:pPr>
            <w:r>
              <w:rPr>
                <w:rFonts w:ascii="Arial" w:hAnsi="Arial" w:cs="Arial"/>
                <w:sz w:val="18"/>
                <w:szCs w:val="18"/>
                <w:lang w:val="en-GB"/>
              </w:rPr>
              <w:t>Gross Capital Formation</w:t>
            </w:r>
          </w:p>
        </w:tc>
      </w:tr>
      <w:tr w:rsidR="00315621"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GFCF</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Gross Fixed Capital Formation</w:t>
            </w:r>
          </w:p>
        </w:tc>
      </w:tr>
      <w:tr w:rsidR="00315621"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GG</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General Government</w:t>
            </w:r>
          </w:p>
        </w:tc>
      </w:tr>
      <w:tr w:rsidR="00315621"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GOS</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Gross Operating Surplus</w:t>
            </w:r>
          </w:p>
        </w:tc>
      </w:tr>
      <w:tr w:rsidR="00315621"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GVA</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Gross Value-Added</w:t>
            </w:r>
          </w:p>
        </w:tc>
      </w:tr>
      <w:tr w:rsidR="00315621" w:rsidRPr="00BD5715" w:rsidTr="00C171EA">
        <w:trPr>
          <w:cnfStyle w:val="000000100000"/>
          <w:trHeight w:hRule="exact" w:val="284"/>
        </w:trPr>
        <w:tc>
          <w:tcPr>
            <w:cnfStyle w:val="001000000000"/>
            <w:tcW w:w="1809" w:type="dxa"/>
          </w:tcPr>
          <w:p w:rsidR="00315621" w:rsidRDefault="00315621" w:rsidP="00641D4C">
            <w:pPr>
              <w:rPr>
                <w:rFonts w:ascii="Arial" w:hAnsi="Arial" w:cs="Arial"/>
                <w:sz w:val="18"/>
                <w:szCs w:val="18"/>
                <w:lang w:val="en-GB"/>
              </w:rPr>
            </w:pPr>
            <w:r>
              <w:rPr>
                <w:rFonts w:ascii="Arial" w:hAnsi="Arial" w:cs="Arial"/>
                <w:sz w:val="18"/>
                <w:szCs w:val="18"/>
                <w:lang w:val="en-GB"/>
              </w:rPr>
              <w:t>IES</w:t>
            </w:r>
          </w:p>
        </w:tc>
        <w:tc>
          <w:tcPr>
            <w:tcW w:w="6599" w:type="dxa"/>
          </w:tcPr>
          <w:p w:rsidR="00315621" w:rsidRDefault="00315621" w:rsidP="00641D4C">
            <w:pPr>
              <w:cnfStyle w:val="000000100000"/>
              <w:rPr>
                <w:rFonts w:ascii="Arial" w:hAnsi="Arial" w:cs="Arial"/>
                <w:sz w:val="18"/>
                <w:szCs w:val="18"/>
                <w:lang w:val="en-GB"/>
              </w:rPr>
            </w:pPr>
            <w:r>
              <w:rPr>
                <w:rFonts w:ascii="Arial" w:hAnsi="Arial" w:cs="Arial"/>
                <w:sz w:val="18"/>
                <w:szCs w:val="18"/>
                <w:lang w:val="en-GB"/>
              </w:rPr>
              <w:t>Simplified business information (Portuguese acronym)</w:t>
            </w:r>
          </w:p>
        </w:tc>
      </w:tr>
      <w:tr w:rsidR="00315621"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IC</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Intermediate Consumption</w:t>
            </w:r>
          </w:p>
        </w:tc>
      </w:tr>
      <w:tr w:rsidR="00315621"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INE</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Statistics Portugal</w:t>
            </w:r>
          </w:p>
        </w:tc>
      </w:tr>
      <w:tr w:rsidR="00315621" w:rsidRPr="00BD5715"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KAU</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Kind of Economic Activity Unit</w:t>
            </w:r>
          </w:p>
        </w:tc>
      </w:tr>
      <w:tr w:rsidR="00315621"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NA</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National Accounts</w:t>
            </w:r>
          </w:p>
        </w:tc>
      </w:tr>
      <w:tr w:rsidR="00315621" w:rsidRPr="00BD5715"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NPISH</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Non-Profit Institutions Serving Households</w:t>
            </w:r>
          </w:p>
        </w:tc>
      </w:tr>
      <w:tr w:rsidR="00315621" w:rsidRPr="00BD5715"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QCEI</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Integrated Economic Accounts Table (Portuguese Acronym)</w:t>
            </w:r>
          </w:p>
        </w:tc>
      </w:tr>
      <w:tr w:rsidR="00315621" w:rsidRPr="00BD5715"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QES</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Input output Table (Portuguese Acronym)</w:t>
            </w:r>
          </w:p>
        </w:tc>
      </w:tr>
      <w:tr w:rsidR="00315621" w:rsidRPr="00BD5715"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QRE</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Supply and Use Table (Portuguese Acronym)</w:t>
            </w:r>
          </w:p>
        </w:tc>
      </w:tr>
      <w:tr w:rsidR="00315621" w:rsidTr="00C171EA">
        <w:trPr>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SAM</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Social Accounting Matrices</w:t>
            </w:r>
          </w:p>
        </w:tc>
      </w:tr>
      <w:tr w:rsidR="00315621" w:rsidTr="00C171EA">
        <w:trPr>
          <w:cnfStyle w:val="000000100000"/>
          <w:trHeight w:hRule="exact" w:val="284"/>
        </w:trPr>
        <w:tc>
          <w:tcPr>
            <w:cnfStyle w:val="001000000000"/>
            <w:tcW w:w="1809" w:type="dxa"/>
          </w:tcPr>
          <w:p w:rsidR="00315621" w:rsidRPr="002F1F00" w:rsidRDefault="00315621" w:rsidP="00641D4C">
            <w:pPr>
              <w:rPr>
                <w:rFonts w:ascii="Arial" w:hAnsi="Arial" w:cs="Arial"/>
                <w:sz w:val="18"/>
                <w:szCs w:val="18"/>
                <w:lang w:val="en-GB"/>
              </w:rPr>
            </w:pPr>
            <w:r>
              <w:rPr>
                <w:rFonts w:ascii="Arial" w:hAnsi="Arial" w:cs="Arial"/>
                <w:sz w:val="18"/>
                <w:szCs w:val="18"/>
                <w:lang w:val="en-GB"/>
              </w:rPr>
              <w:t>SUT</w:t>
            </w:r>
          </w:p>
        </w:tc>
        <w:tc>
          <w:tcPr>
            <w:tcW w:w="6599" w:type="dxa"/>
          </w:tcPr>
          <w:p w:rsidR="00315621" w:rsidRPr="002F1F00" w:rsidRDefault="00315621" w:rsidP="00641D4C">
            <w:pPr>
              <w:cnfStyle w:val="000000100000"/>
              <w:rPr>
                <w:rFonts w:ascii="Arial" w:hAnsi="Arial" w:cs="Arial"/>
                <w:sz w:val="18"/>
                <w:szCs w:val="18"/>
                <w:lang w:val="en-GB"/>
              </w:rPr>
            </w:pPr>
            <w:r>
              <w:rPr>
                <w:rFonts w:ascii="Arial" w:hAnsi="Arial" w:cs="Arial"/>
                <w:sz w:val="18"/>
                <w:szCs w:val="18"/>
                <w:lang w:val="en-GB"/>
              </w:rPr>
              <w:t>Supply and Use Table</w:t>
            </w:r>
          </w:p>
        </w:tc>
      </w:tr>
      <w:tr w:rsidR="00315621" w:rsidTr="00C171EA">
        <w:trPr>
          <w:trHeight w:hRule="exact" w:val="284"/>
        </w:trPr>
        <w:tc>
          <w:tcPr>
            <w:cnfStyle w:val="001000000000"/>
            <w:tcW w:w="1809" w:type="dxa"/>
          </w:tcPr>
          <w:p w:rsidR="00315621" w:rsidRDefault="00315621" w:rsidP="00641D4C">
            <w:pPr>
              <w:rPr>
                <w:rFonts w:ascii="Arial" w:hAnsi="Arial" w:cs="Arial"/>
                <w:sz w:val="18"/>
                <w:szCs w:val="18"/>
                <w:lang w:val="en-GB"/>
              </w:rPr>
            </w:pPr>
            <w:r>
              <w:rPr>
                <w:rFonts w:ascii="Arial" w:hAnsi="Arial" w:cs="Arial"/>
                <w:sz w:val="18"/>
                <w:szCs w:val="18"/>
                <w:lang w:val="en-GB"/>
              </w:rPr>
              <w:t>VAT</w:t>
            </w:r>
          </w:p>
        </w:tc>
        <w:tc>
          <w:tcPr>
            <w:tcW w:w="6599" w:type="dxa"/>
          </w:tcPr>
          <w:p w:rsidR="00315621" w:rsidRPr="002F1F00" w:rsidRDefault="00315621" w:rsidP="00641D4C">
            <w:pPr>
              <w:cnfStyle w:val="000000000000"/>
              <w:rPr>
                <w:rFonts w:ascii="Arial" w:hAnsi="Arial" w:cs="Arial"/>
                <w:sz w:val="18"/>
                <w:szCs w:val="18"/>
                <w:lang w:val="en-GB"/>
              </w:rPr>
            </w:pPr>
            <w:r>
              <w:rPr>
                <w:rFonts w:ascii="Arial" w:hAnsi="Arial" w:cs="Arial"/>
                <w:sz w:val="18"/>
                <w:szCs w:val="18"/>
                <w:lang w:val="en-GB"/>
              </w:rPr>
              <w:t>Value-added Taxes</w:t>
            </w:r>
          </w:p>
        </w:tc>
      </w:tr>
      <w:tr w:rsidR="00315621" w:rsidTr="00203E06">
        <w:trPr>
          <w:cnfStyle w:val="000000100000"/>
        </w:trPr>
        <w:tc>
          <w:tcPr>
            <w:cnfStyle w:val="001000000000"/>
            <w:tcW w:w="1809" w:type="dxa"/>
          </w:tcPr>
          <w:p w:rsidR="00315621" w:rsidRDefault="00315621" w:rsidP="00641D4C">
            <w:pPr>
              <w:rPr>
                <w:rFonts w:ascii="Arial" w:hAnsi="Arial" w:cs="Arial"/>
                <w:u w:val="single"/>
                <w:lang w:val="en-GB"/>
              </w:rPr>
            </w:pPr>
          </w:p>
        </w:tc>
        <w:tc>
          <w:tcPr>
            <w:tcW w:w="6599" w:type="dxa"/>
          </w:tcPr>
          <w:p w:rsidR="00315621" w:rsidRDefault="00315621" w:rsidP="00641D4C">
            <w:pPr>
              <w:cnfStyle w:val="000000100000"/>
              <w:rPr>
                <w:rFonts w:ascii="Arial" w:hAnsi="Arial" w:cs="Arial"/>
                <w:u w:val="single"/>
                <w:lang w:val="en-GB"/>
              </w:rPr>
            </w:pPr>
          </w:p>
        </w:tc>
      </w:tr>
    </w:tbl>
    <w:p w:rsidR="002F1F00" w:rsidRPr="00A412E9" w:rsidRDefault="002F1F00" w:rsidP="00641D4C">
      <w:pPr>
        <w:rPr>
          <w:rFonts w:ascii="Arial" w:hAnsi="Arial" w:cs="Arial"/>
          <w:u w:val="single"/>
          <w:lang w:val="en-GB"/>
        </w:rPr>
      </w:pPr>
    </w:p>
    <w:sectPr w:rsidR="002F1F00" w:rsidRPr="00A412E9" w:rsidSect="00A728C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BA" w:rsidRDefault="002A45BA" w:rsidP="00FB6CF0">
      <w:pPr>
        <w:spacing w:after="0" w:line="240" w:lineRule="auto"/>
      </w:pPr>
      <w:r>
        <w:separator/>
      </w:r>
    </w:p>
  </w:endnote>
  <w:endnote w:type="continuationSeparator" w:id="0">
    <w:p w:rsidR="002A45BA" w:rsidRDefault="002A45BA" w:rsidP="00FB6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D2" w:rsidRPr="00FB6CF0" w:rsidRDefault="00FC0BD2" w:rsidP="00FB6CF0">
    <w:pPr>
      <w:pStyle w:val="Footer"/>
      <w:pBdr>
        <w:top w:val="thinThickSmallGap" w:sz="24" w:space="1" w:color="622423" w:themeColor="accent2" w:themeShade="7F"/>
      </w:pBdr>
      <w:rPr>
        <w:rFonts w:asciiTheme="majorHAnsi" w:hAnsiTheme="majorHAnsi"/>
        <w:lang w:val="en-GB"/>
      </w:rPr>
    </w:pPr>
    <w:r w:rsidRPr="00FB6CF0">
      <w:rPr>
        <w:rFonts w:ascii="Arial" w:hAnsi="Arial" w:cs="Arial"/>
        <w:smallCaps/>
        <w:sz w:val="18"/>
        <w:szCs w:val="18"/>
        <w:lang w:val="en-GB"/>
      </w:rPr>
      <w:t>Compilation of Supply and Use Table (SUT) at previous years prices in Portugal</w:t>
    </w:r>
    <w:r>
      <w:rPr>
        <w:rFonts w:ascii="Arial" w:hAnsi="Arial" w:cs="Arial"/>
        <w:smallCaps/>
        <w:sz w:val="18"/>
        <w:szCs w:val="18"/>
        <w:lang w:val="en-GB"/>
      </w:rPr>
      <w:t xml:space="preserve"> - </w:t>
    </w:r>
    <w:r w:rsidRPr="00FB6CF0">
      <w:rPr>
        <w:rFonts w:ascii="Arial" w:hAnsi="Arial" w:cs="Arial"/>
        <w:smallCaps/>
        <w:sz w:val="18"/>
        <w:szCs w:val="18"/>
        <w:lang w:val="en-GB"/>
      </w:rPr>
      <w:t>INE</w:t>
    </w:r>
    <w:r w:rsidRPr="00FB6CF0">
      <w:rPr>
        <w:rFonts w:ascii="Arial" w:hAnsi="Arial" w:cs="Arial"/>
        <w:smallCaps/>
        <w:sz w:val="18"/>
        <w:szCs w:val="18"/>
      </w:rPr>
      <w:ptab w:relativeTo="margin" w:alignment="right" w:leader="none"/>
    </w:r>
    <w:r w:rsidRPr="00FB6CF0">
      <w:rPr>
        <w:rFonts w:ascii="Arial" w:hAnsi="Arial" w:cs="Arial"/>
        <w:smallCaps/>
        <w:sz w:val="18"/>
        <w:szCs w:val="18"/>
        <w:lang w:val="en-GB"/>
      </w:rPr>
      <w:t>Page</w:t>
    </w:r>
    <w:r w:rsidRPr="00FB6CF0">
      <w:rPr>
        <w:rFonts w:ascii="Arial" w:hAnsi="Arial" w:cs="Arial"/>
        <w:sz w:val="18"/>
        <w:szCs w:val="18"/>
        <w:lang w:val="en-GB"/>
      </w:rPr>
      <w:t xml:space="preserve"> </w:t>
    </w:r>
    <w:r w:rsidR="00B527C3" w:rsidRPr="00FB6CF0">
      <w:rPr>
        <w:rFonts w:ascii="Arial" w:hAnsi="Arial" w:cs="Arial"/>
        <w:sz w:val="18"/>
        <w:szCs w:val="18"/>
      </w:rPr>
      <w:fldChar w:fldCharType="begin"/>
    </w:r>
    <w:r w:rsidRPr="00FB6CF0">
      <w:rPr>
        <w:rFonts w:ascii="Arial" w:hAnsi="Arial" w:cs="Arial"/>
        <w:sz w:val="18"/>
        <w:szCs w:val="18"/>
        <w:lang w:val="en-GB"/>
      </w:rPr>
      <w:instrText xml:space="preserve"> PAGE   \* MERGEFORMAT </w:instrText>
    </w:r>
    <w:r w:rsidR="00B527C3" w:rsidRPr="00FB6CF0">
      <w:rPr>
        <w:rFonts w:ascii="Arial" w:hAnsi="Arial" w:cs="Arial"/>
        <w:sz w:val="18"/>
        <w:szCs w:val="18"/>
      </w:rPr>
      <w:fldChar w:fldCharType="separate"/>
    </w:r>
    <w:r w:rsidR="00157ACD">
      <w:rPr>
        <w:rFonts w:ascii="Arial" w:hAnsi="Arial" w:cs="Arial"/>
        <w:noProof/>
        <w:sz w:val="18"/>
        <w:szCs w:val="18"/>
        <w:lang w:val="en-GB"/>
      </w:rPr>
      <w:t>20</w:t>
    </w:r>
    <w:r w:rsidR="00B527C3" w:rsidRPr="00FB6CF0">
      <w:rPr>
        <w:rFonts w:ascii="Arial" w:hAnsi="Arial" w:cs="Arial"/>
        <w:sz w:val="18"/>
        <w:szCs w:val="18"/>
      </w:rPr>
      <w:fldChar w:fldCharType="end"/>
    </w:r>
  </w:p>
  <w:p w:rsidR="00FC0BD2" w:rsidRPr="00FB6CF0" w:rsidRDefault="00FC0BD2">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BA" w:rsidRDefault="002A45BA" w:rsidP="00FB6CF0">
      <w:pPr>
        <w:spacing w:after="0" w:line="240" w:lineRule="auto"/>
      </w:pPr>
      <w:r>
        <w:separator/>
      </w:r>
    </w:p>
  </w:footnote>
  <w:footnote w:type="continuationSeparator" w:id="0">
    <w:p w:rsidR="002A45BA" w:rsidRDefault="002A45BA" w:rsidP="00FB6CF0">
      <w:pPr>
        <w:spacing w:after="0" w:line="240" w:lineRule="auto"/>
      </w:pPr>
      <w:r>
        <w:continuationSeparator/>
      </w:r>
    </w:p>
  </w:footnote>
  <w:footnote w:id="1">
    <w:p w:rsidR="00FC0BD2" w:rsidRDefault="00FC0BD2">
      <w:pPr>
        <w:pStyle w:val="FootnoteText"/>
        <w:jc w:val="both"/>
        <w:rPr>
          <w:rFonts w:ascii="Arial" w:hAnsi="Arial" w:cs="Arial"/>
          <w:sz w:val="18"/>
          <w:szCs w:val="18"/>
          <w:lang w:val="en-GB"/>
        </w:rPr>
      </w:pPr>
      <w:r w:rsidRPr="00B81A1E">
        <w:rPr>
          <w:rStyle w:val="FootnoteReference"/>
          <w:rFonts w:ascii="Arial" w:hAnsi="Arial" w:cs="Arial"/>
          <w:sz w:val="18"/>
          <w:szCs w:val="18"/>
        </w:rPr>
        <w:footnoteRef/>
      </w:r>
      <w:r>
        <w:rPr>
          <w:rFonts w:ascii="Arial" w:hAnsi="Arial" w:cs="Arial"/>
          <w:sz w:val="18"/>
          <w:szCs w:val="18"/>
          <w:lang w:val="en-GB"/>
        </w:rPr>
        <w:t xml:space="preserve">  </w:t>
      </w:r>
      <w:proofErr w:type="gramStart"/>
      <w:r>
        <w:rPr>
          <w:rFonts w:ascii="Arial" w:hAnsi="Arial" w:cs="Arial"/>
          <w:sz w:val="18"/>
          <w:szCs w:val="18"/>
          <w:lang w:val="en-GB"/>
        </w:rPr>
        <w:t xml:space="preserve">ESA 1995; </w:t>
      </w:r>
      <w:proofErr w:type="spellStart"/>
      <w:r>
        <w:rPr>
          <w:rFonts w:ascii="Arial" w:hAnsi="Arial" w:cs="Arial"/>
          <w:sz w:val="18"/>
          <w:szCs w:val="18"/>
          <w:lang w:val="en-GB"/>
        </w:rPr>
        <w:t>Eurostat</w:t>
      </w:r>
      <w:proofErr w:type="spellEnd"/>
      <w:r>
        <w:rPr>
          <w:rFonts w:ascii="Arial" w:hAnsi="Arial" w:cs="Arial"/>
          <w:sz w:val="18"/>
          <w:szCs w:val="18"/>
          <w:lang w:val="en-GB"/>
        </w:rPr>
        <w:t xml:space="preserve"> Manual o</w:t>
      </w:r>
      <w:r w:rsidRPr="00B81A1E">
        <w:rPr>
          <w:rFonts w:ascii="Arial" w:hAnsi="Arial" w:cs="Arial"/>
          <w:sz w:val="18"/>
          <w:szCs w:val="18"/>
          <w:lang w:val="en-GB"/>
        </w:rPr>
        <w:t>f Supply, Use and Input-Output Tables - see Bib</w:t>
      </w:r>
      <w:r>
        <w:rPr>
          <w:rFonts w:ascii="Arial" w:hAnsi="Arial" w:cs="Arial"/>
          <w:sz w:val="18"/>
          <w:szCs w:val="18"/>
          <w:lang w:val="en-GB"/>
        </w:rPr>
        <w:t>l</w:t>
      </w:r>
      <w:r w:rsidRPr="00B81A1E">
        <w:rPr>
          <w:rFonts w:ascii="Arial" w:hAnsi="Arial" w:cs="Arial"/>
          <w:sz w:val="18"/>
          <w:szCs w:val="18"/>
          <w:lang w:val="en-GB"/>
        </w:rPr>
        <w:t>iography, in annex.</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E5E"/>
    <w:multiLevelType w:val="hybridMultilevel"/>
    <w:tmpl w:val="799E254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E0D05A3"/>
    <w:multiLevelType w:val="hybridMultilevel"/>
    <w:tmpl w:val="5156B224"/>
    <w:lvl w:ilvl="0" w:tplc="08160013">
      <w:start w:val="1"/>
      <w:numFmt w:val="upperRoman"/>
      <w:lvlText w:val="%1."/>
      <w:lvlJc w:val="right"/>
      <w:pPr>
        <w:ind w:left="3587" w:hanging="360"/>
      </w:pPr>
    </w:lvl>
    <w:lvl w:ilvl="1" w:tplc="08160019" w:tentative="1">
      <w:start w:val="1"/>
      <w:numFmt w:val="lowerLetter"/>
      <w:lvlText w:val="%2."/>
      <w:lvlJc w:val="left"/>
      <w:pPr>
        <w:ind w:left="4307" w:hanging="360"/>
      </w:pPr>
    </w:lvl>
    <w:lvl w:ilvl="2" w:tplc="0816001B" w:tentative="1">
      <w:start w:val="1"/>
      <w:numFmt w:val="lowerRoman"/>
      <w:lvlText w:val="%3."/>
      <w:lvlJc w:val="right"/>
      <w:pPr>
        <w:ind w:left="5027" w:hanging="180"/>
      </w:pPr>
    </w:lvl>
    <w:lvl w:ilvl="3" w:tplc="0816000F" w:tentative="1">
      <w:start w:val="1"/>
      <w:numFmt w:val="decimal"/>
      <w:lvlText w:val="%4."/>
      <w:lvlJc w:val="left"/>
      <w:pPr>
        <w:ind w:left="5747" w:hanging="360"/>
      </w:pPr>
    </w:lvl>
    <w:lvl w:ilvl="4" w:tplc="08160019" w:tentative="1">
      <w:start w:val="1"/>
      <w:numFmt w:val="lowerLetter"/>
      <w:lvlText w:val="%5."/>
      <w:lvlJc w:val="left"/>
      <w:pPr>
        <w:ind w:left="6467" w:hanging="360"/>
      </w:pPr>
    </w:lvl>
    <w:lvl w:ilvl="5" w:tplc="0816001B" w:tentative="1">
      <w:start w:val="1"/>
      <w:numFmt w:val="lowerRoman"/>
      <w:lvlText w:val="%6."/>
      <w:lvlJc w:val="right"/>
      <w:pPr>
        <w:ind w:left="7187" w:hanging="180"/>
      </w:pPr>
    </w:lvl>
    <w:lvl w:ilvl="6" w:tplc="0816000F" w:tentative="1">
      <w:start w:val="1"/>
      <w:numFmt w:val="decimal"/>
      <w:lvlText w:val="%7."/>
      <w:lvlJc w:val="left"/>
      <w:pPr>
        <w:ind w:left="7907" w:hanging="360"/>
      </w:pPr>
    </w:lvl>
    <w:lvl w:ilvl="7" w:tplc="08160019" w:tentative="1">
      <w:start w:val="1"/>
      <w:numFmt w:val="lowerLetter"/>
      <w:lvlText w:val="%8."/>
      <w:lvlJc w:val="left"/>
      <w:pPr>
        <w:ind w:left="8627" w:hanging="360"/>
      </w:pPr>
    </w:lvl>
    <w:lvl w:ilvl="8" w:tplc="0816001B" w:tentative="1">
      <w:start w:val="1"/>
      <w:numFmt w:val="lowerRoman"/>
      <w:lvlText w:val="%9."/>
      <w:lvlJc w:val="right"/>
      <w:pPr>
        <w:ind w:left="9347" w:hanging="180"/>
      </w:pPr>
    </w:lvl>
  </w:abstractNum>
  <w:abstractNum w:abstractNumId="2">
    <w:nsid w:val="3B806842"/>
    <w:multiLevelType w:val="hybridMultilevel"/>
    <w:tmpl w:val="7D0CBBAA"/>
    <w:lvl w:ilvl="0" w:tplc="83D029C2">
      <w:start w:val="1"/>
      <w:numFmt w:val="bullet"/>
      <w:lvlText w:val="-"/>
      <w:lvlJc w:val="left"/>
      <w:pPr>
        <w:ind w:left="390" w:hanging="360"/>
      </w:pPr>
      <w:rPr>
        <w:rFonts w:ascii="Arial" w:eastAsia="Calibri" w:hAnsi="Arial" w:cs="Arial" w:hint="default"/>
        <w:b/>
        <w:color w:val="FFFFFF"/>
        <w:sz w:val="18"/>
      </w:rPr>
    </w:lvl>
    <w:lvl w:ilvl="1" w:tplc="08160003" w:tentative="1">
      <w:start w:val="1"/>
      <w:numFmt w:val="bullet"/>
      <w:lvlText w:val="o"/>
      <w:lvlJc w:val="left"/>
      <w:pPr>
        <w:ind w:left="1110" w:hanging="360"/>
      </w:pPr>
      <w:rPr>
        <w:rFonts w:ascii="Courier New" w:hAnsi="Courier New" w:cs="Courier New" w:hint="default"/>
      </w:rPr>
    </w:lvl>
    <w:lvl w:ilvl="2" w:tplc="08160005" w:tentative="1">
      <w:start w:val="1"/>
      <w:numFmt w:val="bullet"/>
      <w:lvlText w:val=""/>
      <w:lvlJc w:val="left"/>
      <w:pPr>
        <w:ind w:left="1830" w:hanging="360"/>
      </w:pPr>
      <w:rPr>
        <w:rFonts w:ascii="Wingdings" w:hAnsi="Wingdings" w:hint="default"/>
      </w:rPr>
    </w:lvl>
    <w:lvl w:ilvl="3" w:tplc="08160001" w:tentative="1">
      <w:start w:val="1"/>
      <w:numFmt w:val="bullet"/>
      <w:lvlText w:val=""/>
      <w:lvlJc w:val="left"/>
      <w:pPr>
        <w:ind w:left="2550" w:hanging="360"/>
      </w:pPr>
      <w:rPr>
        <w:rFonts w:ascii="Symbol" w:hAnsi="Symbol" w:hint="default"/>
      </w:rPr>
    </w:lvl>
    <w:lvl w:ilvl="4" w:tplc="08160003" w:tentative="1">
      <w:start w:val="1"/>
      <w:numFmt w:val="bullet"/>
      <w:lvlText w:val="o"/>
      <w:lvlJc w:val="left"/>
      <w:pPr>
        <w:ind w:left="3270" w:hanging="360"/>
      </w:pPr>
      <w:rPr>
        <w:rFonts w:ascii="Courier New" w:hAnsi="Courier New" w:cs="Courier New" w:hint="default"/>
      </w:rPr>
    </w:lvl>
    <w:lvl w:ilvl="5" w:tplc="08160005" w:tentative="1">
      <w:start w:val="1"/>
      <w:numFmt w:val="bullet"/>
      <w:lvlText w:val=""/>
      <w:lvlJc w:val="left"/>
      <w:pPr>
        <w:ind w:left="3990" w:hanging="360"/>
      </w:pPr>
      <w:rPr>
        <w:rFonts w:ascii="Wingdings" w:hAnsi="Wingdings" w:hint="default"/>
      </w:rPr>
    </w:lvl>
    <w:lvl w:ilvl="6" w:tplc="08160001" w:tentative="1">
      <w:start w:val="1"/>
      <w:numFmt w:val="bullet"/>
      <w:lvlText w:val=""/>
      <w:lvlJc w:val="left"/>
      <w:pPr>
        <w:ind w:left="4710" w:hanging="360"/>
      </w:pPr>
      <w:rPr>
        <w:rFonts w:ascii="Symbol" w:hAnsi="Symbol" w:hint="default"/>
      </w:rPr>
    </w:lvl>
    <w:lvl w:ilvl="7" w:tplc="08160003" w:tentative="1">
      <w:start w:val="1"/>
      <w:numFmt w:val="bullet"/>
      <w:lvlText w:val="o"/>
      <w:lvlJc w:val="left"/>
      <w:pPr>
        <w:ind w:left="5430" w:hanging="360"/>
      </w:pPr>
      <w:rPr>
        <w:rFonts w:ascii="Courier New" w:hAnsi="Courier New" w:cs="Courier New" w:hint="default"/>
      </w:rPr>
    </w:lvl>
    <w:lvl w:ilvl="8" w:tplc="08160005" w:tentative="1">
      <w:start w:val="1"/>
      <w:numFmt w:val="bullet"/>
      <w:lvlText w:val=""/>
      <w:lvlJc w:val="left"/>
      <w:pPr>
        <w:ind w:left="6150" w:hanging="360"/>
      </w:pPr>
      <w:rPr>
        <w:rFonts w:ascii="Wingdings" w:hAnsi="Wingdings" w:hint="default"/>
      </w:rPr>
    </w:lvl>
  </w:abstractNum>
  <w:abstractNum w:abstractNumId="3">
    <w:nsid w:val="5E98346C"/>
    <w:multiLevelType w:val="hybridMultilevel"/>
    <w:tmpl w:val="1C240340"/>
    <w:lvl w:ilvl="0" w:tplc="3948DFB0">
      <w:start w:val="2"/>
      <w:numFmt w:val="bullet"/>
      <w:lvlText w:val=""/>
      <w:lvlJc w:val="left"/>
      <w:pPr>
        <w:ind w:left="1069" w:hanging="360"/>
      </w:pPr>
      <w:rPr>
        <w:rFonts w:ascii="Arial" w:eastAsia="Calibri"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4">
    <w:nsid w:val="7056670B"/>
    <w:multiLevelType w:val="hybridMultilevel"/>
    <w:tmpl w:val="74369500"/>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4305" w:hanging="360"/>
      </w:pPr>
      <w:rPr>
        <w:rFonts w:ascii="Courier New" w:hAnsi="Courier New" w:cs="Courier New" w:hint="default"/>
      </w:rPr>
    </w:lvl>
    <w:lvl w:ilvl="2" w:tplc="08160005" w:tentative="1">
      <w:start w:val="1"/>
      <w:numFmt w:val="bullet"/>
      <w:lvlText w:val=""/>
      <w:lvlJc w:val="left"/>
      <w:pPr>
        <w:ind w:left="5025" w:hanging="360"/>
      </w:pPr>
      <w:rPr>
        <w:rFonts w:ascii="Wingdings" w:hAnsi="Wingdings" w:hint="default"/>
      </w:rPr>
    </w:lvl>
    <w:lvl w:ilvl="3" w:tplc="08160001" w:tentative="1">
      <w:start w:val="1"/>
      <w:numFmt w:val="bullet"/>
      <w:lvlText w:val=""/>
      <w:lvlJc w:val="left"/>
      <w:pPr>
        <w:ind w:left="5745" w:hanging="360"/>
      </w:pPr>
      <w:rPr>
        <w:rFonts w:ascii="Symbol" w:hAnsi="Symbol" w:hint="default"/>
      </w:rPr>
    </w:lvl>
    <w:lvl w:ilvl="4" w:tplc="08160003" w:tentative="1">
      <w:start w:val="1"/>
      <w:numFmt w:val="bullet"/>
      <w:lvlText w:val="o"/>
      <w:lvlJc w:val="left"/>
      <w:pPr>
        <w:ind w:left="6465" w:hanging="360"/>
      </w:pPr>
      <w:rPr>
        <w:rFonts w:ascii="Courier New" w:hAnsi="Courier New" w:cs="Courier New" w:hint="default"/>
      </w:rPr>
    </w:lvl>
    <w:lvl w:ilvl="5" w:tplc="08160005" w:tentative="1">
      <w:start w:val="1"/>
      <w:numFmt w:val="bullet"/>
      <w:lvlText w:val=""/>
      <w:lvlJc w:val="left"/>
      <w:pPr>
        <w:ind w:left="7185" w:hanging="360"/>
      </w:pPr>
      <w:rPr>
        <w:rFonts w:ascii="Wingdings" w:hAnsi="Wingdings" w:hint="default"/>
      </w:rPr>
    </w:lvl>
    <w:lvl w:ilvl="6" w:tplc="08160001" w:tentative="1">
      <w:start w:val="1"/>
      <w:numFmt w:val="bullet"/>
      <w:lvlText w:val=""/>
      <w:lvlJc w:val="left"/>
      <w:pPr>
        <w:ind w:left="7905" w:hanging="360"/>
      </w:pPr>
      <w:rPr>
        <w:rFonts w:ascii="Symbol" w:hAnsi="Symbol" w:hint="default"/>
      </w:rPr>
    </w:lvl>
    <w:lvl w:ilvl="7" w:tplc="08160003" w:tentative="1">
      <w:start w:val="1"/>
      <w:numFmt w:val="bullet"/>
      <w:lvlText w:val="o"/>
      <w:lvlJc w:val="left"/>
      <w:pPr>
        <w:ind w:left="8625" w:hanging="360"/>
      </w:pPr>
      <w:rPr>
        <w:rFonts w:ascii="Courier New" w:hAnsi="Courier New" w:cs="Courier New" w:hint="default"/>
      </w:rPr>
    </w:lvl>
    <w:lvl w:ilvl="8" w:tplc="08160005" w:tentative="1">
      <w:start w:val="1"/>
      <w:numFmt w:val="bullet"/>
      <w:lvlText w:val=""/>
      <w:lvlJc w:val="left"/>
      <w:pPr>
        <w:ind w:left="9345" w:hanging="360"/>
      </w:pPr>
      <w:rPr>
        <w:rFonts w:ascii="Wingdings" w:hAnsi="Wingdings" w:hint="default"/>
      </w:rPr>
    </w:lvl>
  </w:abstractNum>
  <w:abstractNum w:abstractNumId="5">
    <w:nsid w:val="75C8449A"/>
    <w:multiLevelType w:val="hybridMultilevel"/>
    <w:tmpl w:val="2A0E9F44"/>
    <w:lvl w:ilvl="0" w:tplc="0816001B">
      <w:start w:val="1"/>
      <w:numFmt w:val="lowerRoman"/>
      <w:lvlText w:val="%1."/>
      <w:lvlJc w:val="righ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6">
    <w:nsid w:val="7FAA78EA"/>
    <w:multiLevelType w:val="hybridMultilevel"/>
    <w:tmpl w:val="C3BCA3E2"/>
    <w:lvl w:ilvl="0" w:tplc="1006FFA4">
      <w:start w:val="1"/>
      <w:numFmt w:val="bullet"/>
      <w:lvlText w:val="-"/>
      <w:lvlJc w:val="left"/>
      <w:pPr>
        <w:ind w:left="1080" w:hanging="360"/>
      </w:pPr>
      <w:rPr>
        <w:rFonts w:ascii="Arial" w:eastAsia="Calibri" w:hAnsi="Arial" w:cs="Aria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F0454"/>
    <w:rsid w:val="000018BD"/>
    <w:rsid w:val="000020C3"/>
    <w:rsid w:val="00006B15"/>
    <w:rsid w:val="00011369"/>
    <w:rsid w:val="000235DE"/>
    <w:rsid w:val="00024A2F"/>
    <w:rsid w:val="0002636D"/>
    <w:rsid w:val="000303FE"/>
    <w:rsid w:val="000330B3"/>
    <w:rsid w:val="00037420"/>
    <w:rsid w:val="000442BE"/>
    <w:rsid w:val="00047C73"/>
    <w:rsid w:val="00052751"/>
    <w:rsid w:val="00056082"/>
    <w:rsid w:val="00057CBD"/>
    <w:rsid w:val="000672E1"/>
    <w:rsid w:val="0007339C"/>
    <w:rsid w:val="00081D63"/>
    <w:rsid w:val="00082056"/>
    <w:rsid w:val="00086769"/>
    <w:rsid w:val="00093902"/>
    <w:rsid w:val="00093D81"/>
    <w:rsid w:val="000A073F"/>
    <w:rsid w:val="000B452E"/>
    <w:rsid w:val="000C194C"/>
    <w:rsid w:val="000C5579"/>
    <w:rsid w:val="000E2633"/>
    <w:rsid w:val="000E2696"/>
    <w:rsid w:val="000F16BF"/>
    <w:rsid w:val="000F3706"/>
    <w:rsid w:val="000F465A"/>
    <w:rsid w:val="000F7CC0"/>
    <w:rsid w:val="0010005F"/>
    <w:rsid w:val="001034FB"/>
    <w:rsid w:val="0010477B"/>
    <w:rsid w:val="0010773B"/>
    <w:rsid w:val="001210D2"/>
    <w:rsid w:val="001244AA"/>
    <w:rsid w:val="00131ED4"/>
    <w:rsid w:val="001320CC"/>
    <w:rsid w:val="00135132"/>
    <w:rsid w:val="00137474"/>
    <w:rsid w:val="0014189C"/>
    <w:rsid w:val="00141CA9"/>
    <w:rsid w:val="0014265D"/>
    <w:rsid w:val="001440FD"/>
    <w:rsid w:val="00151984"/>
    <w:rsid w:val="0015239B"/>
    <w:rsid w:val="00152889"/>
    <w:rsid w:val="00155D07"/>
    <w:rsid w:val="00157ACD"/>
    <w:rsid w:val="0016465A"/>
    <w:rsid w:val="00166B00"/>
    <w:rsid w:val="001825ED"/>
    <w:rsid w:val="00184CF0"/>
    <w:rsid w:val="0019040F"/>
    <w:rsid w:val="0019623B"/>
    <w:rsid w:val="00197C65"/>
    <w:rsid w:val="001A5C6F"/>
    <w:rsid w:val="001B5DFB"/>
    <w:rsid w:val="001B6ACE"/>
    <w:rsid w:val="001B7B68"/>
    <w:rsid w:val="001C0937"/>
    <w:rsid w:val="001C1613"/>
    <w:rsid w:val="001C403F"/>
    <w:rsid w:val="001C5064"/>
    <w:rsid w:val="001C6FE9"/>
    <w:rsid w:val="001D6EC5"/>
    <w:rsid w:val="001D7F33"/>
    <w:rsid w:val="001E6D32"/>
    <w:rsid w:val="001F0454"/>
    <w:rsid w:val="001F0E3B"/>
    <w:rsid w:val="001F57F4"/>
    <w:rsid w:val="001F6602"/>
    <w:rsid w:val="002006C3"/>
    <w:rsid w:val="002034C3"/>
    <w:rsid w:val="00203E06"/>
    <w:rsid w:val="00206353"/>
    <w:rsid w:val="0021031C"/>
    <w:rsid w:val="00212FF9"/>
    <w:rsid w:val="00215603"/>
    <w:rsid w:val="00224753"/>
    <w:rsid w:val="0022572E"/>
    <w:rsid w:val="00227177"/>
    <w:rsid w:val="002272DB"/>
    <w:rsid w:val="00231D0D"/>
    <w:rsid w:val="00233078"/>
    <w:rsid w:val="00233941"/>
    <w:rsid w:val="002379B3"/>
    <w:rsid w:val="002619C0"/>
    <w:rsid w:val="00265F47"/>
    <w:rsid w:val="00271DEF"/>
    <w:rsid w:val="00284B39"/>
    <w:rsid w:val="00286BF8"/>
    <w:rsid w:val="00287131"/>
    <w:rsid w:val="00287CA8"/>
    <w:rsid w:val="00292C1D"/>
    <w:rsid w:val="00295996"/>
    <w:rsid w:val="00296CA0"/>
    <w:rsid w:val="002A113B"/>
    <w:rsid w:val="002A45BA"/>
    <w:rsid w:val="002A5854"/>
    <w:rsid w:val="002A65A8"/>
    <w:rsid w:val="002A6A1C"/>
    <w:rsid w:val="002A6E4A"/>
    <w:rsid w:val="002B02E4"/>
    <w:rsid w:val="002B2421"/>
    <w:rsid w:val="002B3FD3"/>
    <w:rsid w:val="002B4195"/>
    <w:rsid w:val="002B4A57"/>
    <w:rsid w:val="002B56D0"/>
    <w:rsid w:val="002B79CE"/>
    <w:rsid w:val="002C40DE"/>
    <w:rsid w:val="002C5DA7"/>
    <w:rsid w:val="002E0DAD"/>
    <w:rsid w:val="002E624E"/>
    <w:rsid w:val="002F1F00"/>
    <w:rsid w:val="002F7239"/>
    <w:rsid w:val="00303563"/>
    <w:rsid w:val="00311FE6"/>
    <w:rsid w:val="00315621"/>
    <w:rsid w:val="0031795A"/>
    <w:rsid w:val="00317B9B"/>
    <w:rsid w:val="0033530F"/>
    <w:rsid w:val="00335E5D"/>
    <w:rsid w:val="003364AD"/>
    <w:rsid w:val="00337680"/>
    <w:rsid w:val="00344D93"/>
    <w:rsid w:val="00345930"/>
    <w:rsid w:val="00346B57"/>
    <w:rsid w:val="00350121"/>
    <w:rsid w:val="00350893"/>
    <w:rsid w:val="00356644"/>
    <w:rsid w:val="00365960"/>
    <w:rsid w:val="00381569"/>
    <w:rsid w:val="00383380"/>
    <w:rsid w:val="00387716"/>
    <w:rsid w:val="00391184"/>
    <w:rsid w:val="0039552F"/>
    <w:rsid w:val="003976D3"/>
    <w:rsid w:val="003A5095"/>
    <w:rsid w:val="003A5C37"/>
    <w:rsid w:val="003A6DB8"/>
    <w:rsid w:val="003B00B5"/>
    <w:rsid w:val="003B04D0"/>
    <w:rsid w:val="003C329B"/>
    <w:rsid w:val="003D0275"/>
    <w:rsid w:val="003D0764"/>
    <w:rsid w:val="003E0B60"/>
    <w:rsid w:val="003F2675"/>
    <w:rsid w:val="00402455"/>
    <w:rsid w:val="004024F3"/>
    <w:rsid w:val="00403E07"/>
    <w:rsid w:val="00407B42"/>
    <w:rsid w:val="00422FF9"/>
    <w:rsid w:val="0042376F"/>
    <w:rsid w:val="004241C3"/>
    <w:rsid w:val="00427DBF"/>
    <w:rsid w:val="00436219"/>
    <w:rsid w:val="004433EC"/>
    <w:rsid w:val="004520B3"/>
    <w:rsid w:val="00453668"/>
    <w:rsid w:val="00455F2D"/>
    <w:rsid w:val="00456C10"/>
    <w:rsid w:val="00457A03"/>
    <w:rsid w:val="0046116A"/>
    <w:rsid w:val="00463370"/>
    <w:rsid w:val="00466A87"/>
    <w:rsid w:val="0047041E"/>
    <w:rsid w:val="004730EB"/>
    <w:rsid w:val="00474731"/>
    <w:rsid w:val="00484F7E"/>
    <w:rsid w:val="004900B0"/>
    <w:rsid w:val="004902A0"/>
    <w:rsid w:val="004A28E7"/>
    <w:rsid w:val="004A60EB"/>
    <w:rsid w:val="004B7C0F"/>
    <w:rsid w:val="004C062C"/>
    <w:rsid w:val="004C128E"/>
    <w:rsid w:val="004D069E"/>
    <w:rsid w:val="004D170B"/>
    <w:rsid w:val="004D3210"/>
    <w:rsid w:val="004E0CE6"/>
    <w:rsid w:val="004E10F3"/>
    <w:rsid w:val="004E3BC0"/>
    <w:rsid w:val="00502C1D"/>
    <w:rsid w:val="00505A2E"/>
    <w:rsid w:val="00507E03"/>
    <w:rsid w:val="00513588"/>
    <w:rsid w:val="005305AC"/>
    <w:rsid w:val="00530EAD"/>
    <w:rsid w:val="00535AC1"/>
    <w:rsid w:val="00540E48"/>
    <w:rsid w:val="00542867"/>
    <w:rsid w:val="0055269F"/>
    <w:rsid w:val="00556308"/>
    <w:rsid w:val="0056536C"/>
    <w:rsid w:val="00567858"/>
    <w:rsid w:val="00570CCF"/>
    <w:rsid w:val="005716F5"/>
    <w:rsid w:val="00571A07"/>
    <w:rsid w:val="00575047"/>
    <w:rsid w:val="00575448"/>
    <w:rsid w:val="00575518"/>
    <w:rsid w:val="0057664D"/>
    <w:rsid w:val="00581A96"/>
    <w:rsid w:val="00583A6A"/>
    <w:rsid w:val="005A5C79"/>
    <w:rsid w:val="005C38B4"/>
    <w:rsid w:val="005C57FE"/>
    <w:rsid w:val="005C63C7"/>
    <w:rsid w:val="005D0D4B"/>
    <w:rsid w:val="005D7A3B"/>
    <w:rsid w:val="005D7C1B"/>
    <w:rsid w:val="005E3821"/>
    <w:rsid w:val="005E5C6B"/>
    <w:rsid w:val="005E5EA4"/>
    <w:rsid w:val="005F0800"/>
    <w:rsid w:val="005F5B61"/>
    <w:rsid w:val="006003C7"/>
    <w:rsid w:val="00606BB7"/>
    <w:rsid w:val="00610B57"/>
    <w:rsid w:val="006123B8"/>
    <w:rsid w:val="00623E05"/>
    <w:rsid w:val="0062739A"/>
    <w:rsid w:val="00630E5F"/>
    <w:rsid w:val="00633294"/>
    <w:rsid w:val="006339DE"/>
    <w:rsid w:val="006365F0"/>
    <w:rsid w:val="00641D4C"/>
    <w:rsid w:val="00650B0E"/>
    <w:rsid w:val="00651946"/>
    <w:rsid w:val="006544E1"/>
    <w:rsid w:val="006554E9"/>
    <w:rsid w:val="00655E3C"/>
    <w:rsid w:val="00660D37"/>
    <w:rsid w:val="006640CF"/>
    <w:rsid w:val="006671B5"/>
    <w:rsid w:val="00671567"/>
    <w:rsid w:val="006718E0"/>
    <w:rsid w:val="00673061"/>
    <w:rsid w:val="006776C2"/>
    <w:rsid w:val="00683610"/>
    <w:rsid w:val="00691569"/>
    <w:rsid w:val="00697D43"/>
    <w:rsid w:val="006A0578"/>
    <w:rsid w:val="006A1844"/>
    <w:rsid w:val="006C30D5"/>
    <w:rsid w:val="006C4B4A"/>
    <w:rsid w:val="006C65DD"/>
    <w:rsid w:val="006D0319"/>
    <w:rsid w:val="006D3661"/>
    <w:rsid w:val="006D4974"/>
    <w:rsid w:val="006D5ACE"/>
    <w:rsid w:val="006E2EC7"/>
    <w:rsid w:val="006F4008"/>
    <w:rsid w:val="006F5F77"/>
    <w:rsid w:val="007245AE"/>
    <w:rsid w:val="00746371"/>
    <w:rsid w:val="0074663C"/>
    <w:rsid w:val="00754AA2"/>
    <w:rsid w:val="00755A64"/>
    <w:rsid w:val="007653FE"/>
    <w:rsid w:val="00770AE5"/>
    <w:rsid w:val="007717C7"/>
    <w:rsid w:val="007724F5"/>
    <w:rsid w:val="0077700B"/>
    <w:rsid w:val="007831FA"/>
    <w:rsid w:val="007904D9"/>
    <w:rsid w:val="007916CD"/>
    <w:rsid w:val="007928F0"/>
    <w:rsid w:val="00795D87"/>
    <w:rsid w:val="007A37DA"/>
    <w:rsid w:val="007B4A5F"/>
    <w:rsid w:val="007C3736"/>
    <w:rsid w:val="007C5A4B"/>
    <w:rsid w:val="007D7511"/>
    <w:rsid w:val="007E6B89"/>
    <w:rsid w:val="007E7781"/>
    <w:rsid w:val="007F6ECA"/>
    <w:rsid w:val="00801117"/>
    <w:rsid w:val="00801E38"/>
    <w:rsid w:val="0080678F"/>
    <w:rsid w:val="00815238"/>
    <w:rsid w:val="00815D1F"/>
    <w:rsid w:val="0082320E"/>
    <w:rsid w:val="0082648F"/>
    <w:rsid w:val="00830167"/>
    <w:rsid w:val="00832693"/>
    <w:rsid w:val="00833C0F"/>
    <w:rsid w:val="00836342"/>
    <w:rsid w:val="0084317F"/>
    <w:rsid w:val="008435CA"/>
    <w:rsid w:val="008440AD"/>
    <w:rsid w:val="008444EF"/>
    <w:rsid w:val="00855F46"/>
    <w:rsid w:val="0086226F"/>
    <w:rsid w:val="00862A0E"/>
    <w:rsid w:val="008637D6"/>
    <w:rsid w:val="008706DA"/>
    <w:rsid w:val="00873792"/>
    <w:rsid w:val="008757A4"/>
    <w:rsid w:val="00880DA3"/>
    <w:rsid w:val="00880E4E"/>
    <w:rsid w:val="00884E75"/>
    <w:rsid w:val="00895059"/>
    <w:rsid w:val="008A55B9"/>
    <w:rsid w:val="008A62BE"/>
    <w:rsid w:val="008A6673"/>
    <w:rsid w:val="008B6E3C"/>
    <w:rsid w:val="008B7F65"/>
    <w:rsid w:val="008C4188"/>
    <w:rsid w:val="008C4547"/>
    <w:rsid w:val="008E3347"/>
    <w:rsid w:val="008E706C"/>
    <w:rsid w:val="008F2CE2"/>
    <w:rsid w:val="008F6DA3"/>
    <w:rsid w:val="009068C9"/>
    <w:rsid w:val="00910257"/>
    <w:rsid w:val="00911F57"/>
    <w:rsid w:val="00921D6F"/>
    <w:rsid w:val="00923127"/>
    <w:rsid w:val="00924A4C"/>
    <w:rsid w:val="00926FC1"/>
    <w:rsid w:val="009310B1"/>
    <w:rsid w:val="00933912"/>
    <w:rsid w:val="0093744B"/>
    <w:rsid w:val="00942DF3"/>
    <w:rsid w:val="00944E5C"/>
    <w:rsid w:val="0096020C"/>
    <w:rsid w:val="0096168F"/>
    <w:rsid w:val="00962790"/>
    <w:rsid w:val="00963412"/>
    <w:rsid w:val="009674B5"/>
    <w:rsid w:val="009677D9"/>
    <w:rsid w:val="00967BB2"/>
    <w:rsid w:val="00973054"/>
    <w:rsid w:val="00981DB3"/>
    <w:rsid w:val="00985E76"/>
    <w:rsid w:val="00991B53"/>
    <w:rsid w:val="009929F5"/>
    <w:rsid w:val="00994B2A"/>
    <w:rsid w:val="00997C64"/>
    <w:rsid w:val="009A2F53"/>
    <w:rsid w:val="009A435F"/>
    <w:rsid w:val="009A4B0F"/>
    <w:rsid w:val="009B01D0"/>
    <w:rsid w:val="009C011C"/>
    <w:rsid w:val="009C28FF"/>
    <w:rsid w:val="009C5643"/>
    <w:rsid w:val="009C5BE4"/>
    <w:rsid w:val="009E1316"/>
    <w:rsid w:val="009E156E"/>
    <w:rsid w:val="009E6861"/>
    <w:rsid w:val="009F330E"/>
    <w:rsid w:val="009F5A49"/>
    <w:rsid w:val="009F5ABE"/>
    <w:rsid w:val="009F78C6"/>
    <w:rsid w:val="00A03E04"/>
    <w:rsid w:val="00A07F57"/>
    <w:rsid w:val="00A12FBC"/>
    <w:rsid w:val="00A15808"/>
    <w:rsid w:val="00A162FE"/>
    <w:rsid w:val="00A17EB8"/>
    <w:rsid w:val="00A34FB8"/>
    <w:rsid w:val="00A412E9"/>
    <w:rsid w:val="00A41CB2"/>
    <w:rsid w:val="00A43FA2"/>
    <w:rsid w:val="00A545D9"/>
    <w:rsid w:val="00A638CD"/>
    <w:rsid w:val="00A65E11"/>
    <w:rsid w:val="00A6633A"/>
    <w:rsid w:val="00A665B5"/>
    <w:rsid w:val="00A728C8"/>
    <w:rsid w:val="00A76786"/>
    <w:rsid w:val="00A81794"/>
    <w:rsid w:val="00A82FD0"/>
    <w:rsid w:val="00A8540A"/>
    <w:rsid w:val="00A90090"/>
    <w:rsid w:val="00AA66FD"/>
    <w:rsid w:val="00AB0059"/>
    <w:rsid w:val="00AB1C59"/>
    <w:rsid w:val="00AB7988"/>
    <w:rsid w:val="00AC1850"/>
    <w:rsid w:val="00AC219F"/>
    <w:rsid w:val="00AC4A7F"/>
    <w:rsid w:val="00AC4C85"/>
    <w:rsid w:val="00AD0DC9"/>
    <w:rsid w:val="00AD0F42"/>
    <w:rsid w:val="00AE32F9"/>
    <w:rsid w:val="00AF4AAD"/>
    <w:rsid w:val="00AF7E33"/>
    <w:rsid w:val="00B00C31"/>
    <w:rsid w:val="00B06B0E"/>
    <w:rsid w:val="00B12E8A"/>
    <w:rsid w:val="00B20A5A"/>
    <w:rsid w:val="00B26752"/>
    <w:rsid w:val="00B301F0"/>
    <w:rsid w:val="00B340A8"/>
    <w:rsid w:val="00B41990"/>
    <w:rsid w:val="00B41C85"/>
    <w:rsid w:val="00B441D9"/>
    <w:rsid w:val="00B46730"/>
    <w:rsid w:val="00B47221"/>
    <w:rsid w:val="00B4750F"/>
    <w:rsid w:val="00B47DCC"/>
    <w:rsid w:val="00B505FA"/>
    <w:rsid w:val="00B50E99"/>
    <w:rsid w:val="00B527C3"/>
    <w:rsid w:val="00B54160"/>
    <w:rsid w:val="00B55033"/>
    <w:rsid w:val="00B60555"/>
    <w:rsid w:val="00B644DE"/>
    <w:rsid w:val="00B70575"/>
    <w:rsid w:val="00B80F65"/>
    <w:rsid w:val="00B81A1E"/>
    <w:rsid w:val="00B82B98"/>
    <w:rsid w:val="00B85BF3"/>
    <w:rsid w:val="00BA3EF1"/>
    <w:rsid w:val="00BC6295"/>
    <w:rsid w:val="00BD0C7D"/>
    <w:rsid w:val="00BD5715"/>
    <w:rsid w:val="00BD7268"/>
    <w:rsid w:val="00BE067A"/>
    <w:rsid w:val="00BE1A72"/>
    <w:rsid w:val="00BE5269"/>
    <w:rsid w:val="00BE5535"/>
    <w:rsid w:val="00BE6103"/>
    <w:rsid w:val="00BE679A"/>
    <w:rsid w:val="00BF5CCC"/>
    <w:rsid w:val="00C00B81"/>
    <w:rsid w:val="00C01C20"/>
    <w:rsid w:val="00C024BB"/>
    <w:rsid w:val="00C0752F"/>
    <w:rsid w:val="00C1316C"/>
    <w:rsid w:val="00C152C9"/>
    <w:rsid w:val="00C1591B"/>
    <w:rsid w:val="00C171EA"/>
    <w:rsid w:val="00C17BB5"/>
    <w:rsid w:val="00C208D9"/>
    <w:rsid w:val="00C22502"/>
    <w:rsid w:val="00C23F1E"/>
    <w:rsid w:val="00C257A6"/>
    <w:rsid w:val="00C25C4F"/>
    <w:rsid w:val="00C277FE"/>
    <w:rsid w:val="00C30319"/>
    <w:rsid w:val="00C31032"/>
    <w:rsid w:val="00C33B0F"/>
    <w:rsid w:val="00C425D3"/>
    <w:rsid w:val="00C4727A"/>
    <w:rsid w:val="00C47C73"/>
    <w:rsid w:val="00C5089E"/>
    <w:rsid w:val="00C60795"/>
    <w:rsid w:val="00C67DC0"/>
    <w:rsid w:val="00C765CD"/>
    <w:rsid w:val="00C8089B"/>
    <w:rsid w:val="00C81643"/>
    <w:rsid w:val="00C81A79"/>
    <w:rsid w:val="00C84CEF"/>
    <w:rsid w:val="00C87A75"/>
    <w:rsid w:val="00C9015C"/>
    <w:rsid w:val="00C95DEA"/>
    <w:rsid w:val="00CA5D53"/>
    <w:rsid w:val="00CA5DC9"/>
    <w:rsid w:val="00CB3135"/>
    <w:rsid w:val="00CE1818"/>
    <w:rsid w:val="00CE20B5"/>
    <w:rsid w:val="00CE5C44"/>
    <w:rsid w:val="00CF0313"/>
    <w:rsid w:val="00CF5DD2"/>
    <w:rsid w:val="00CF633E"/>
    <w:rsid w:val="00D03924"/>
    <w:rsid w:val="00D252B8"/>
    <w:rsid w:val="00D25F96"/>
    <w:rsid w:val="00D30492"/>
    <w:rsid w:val="00D33490"/>
    <w:rsid w:val="00D338AF"/>
    <w:rsid w:val="00D411BE"/>
    <w:rsid w:val="00D42548"/>
    <w:rsid w:val="00D45CEF"/>
    <w:rsid w:val="00D47365"/>
    <w:rsid w:val="00D53CA3"/>
    <w:rsid w:val="00D54921"/>
    <w:rsid w:val="00D570ED"/>
    <w:rsid w:val="00D65839"/>
    <w:rsid w:val="00D65FBC"/>
    <w:rsid w:val="00D723FC"/>
    <w:rsid w:val="00D8024F"/>
    <w:rsid w:val="00D9155F"/>
    <w:rsid w:val="00D95C7F"/>
    <w:rsid w:val="00DA1E08"/>
    <w:rsid w:val="00DA64D7"/>
    <w:rsid w:val="00DA7172"/>
    <w:rsid w:val="00DB3199"/>
    <w:rsid w:val="00DB63A4"/>
    <w:rsid w:val="00DF18E8"/>
    <w:rsid w:val="00DF4B2F"/>
    <w:rsid w:val="00E02436"/>
    <w:rsid w:val="00E03048"/>
    <w:rsid w:val="00E057AE"/>
    <w:rsid w:val="00E12FC2"/>
    <w:rsid w:val="00E14E2F"/>
    <w:rsid w:val="00E16CA1"/>
    <w:rsid w:val="00E32530"/>
    <w:rsid w:val="00E37CEE"/>
    <w:rsid w:val="00E43B3C"/>
    <w:rsid w:val="00E70E3F"/>
    <w:rsid w:val="00E73B36"/>
    <w:rsid w:val="00E81762"/>
    <w:rsid w:val="00E83340"/>
    <w:rsid w:val="00E83EC2"/>
    <w:rsid w:val="00E9197F"/>
    <w:rsid w:val="00E9280A"/>
    <w:rsid w:val="00E95519"/>
    <w:rsid w:val="00E96566"/>
    <w:rsid w:val="00EA10DA"/>
    <w:rsid w:val="00EA5E6B"/>
    <w:rsid w:val="00EA70C9"/>
    <w:rsid w:val="00EB02C6"/>
    <w:rsid w:val="00EB2BE5"/>
    <w:rsid w:val="00EB40B4"/>
    <w:rsid w:val="00EC29D5"/>
    <w:rsid w:val="00EC4464"/>
    <w:rsid w:val="00EC58EE"/>
    <w:rsid w:val="00EC5969"/>
    <w:rsid w:val="00ED2271"/>
    <w:rsid w:val="00EE0D92"/>
    <w:rsid w:val="00EE47D9"/>
    <w:rsid w:val="00EE5AD1"/>
    <w:rsid w:val="00EF0B2E"/>
    <w:rsid w:val="00EF3914"/>
    <w:rsid w:val="00F152FC"/>
    <w:rsid w:val="00F2677B"/>
    <w:rsid w:val="00F30783"/>
    <w:rsid w:val="00F446E5"/>
    <w:rsid w:val="00F47F53"/>
    <w:rsid w:val="00F5137F"/>
    <w:rsid w:val="00F57964"/>
    <w:rsid w:val="00F62195"/>
    <w:rsid w:val="00F628EF"/>
    <w:rsid w:val="00F637A5"/>
    <w:rsid w:val="00F66B1F"/>
    <w:rsid w:val="00F755FA"/>
    <w:rsid w:val="00F75913"/>
    <w:rsid w:val="00F75BDC"/>
    <w:rsid w:val="00F760EB"/>
    <w:rsid w:val="00F81C78"/>
    <w:rsid w:val="00F82CA8"/>
    <w:rsid w:val="00F83DCC"/>
    <w:rsid w:val="00F87E4F"/>
    <w:rsid w:val="00F90805"/>
    <w:rsid w:val="00F90B90"/>
    <w:rsid w:val="00F96D28"/>
    <w:rsid w:val="00F96F94"/>
    <w:rsid w:val="00FA2B75"/>
    <w:rsid w:val="00FA3332"/>
    <w:rsid w:val="00FB03FA"/>
    <w:rsid w:val="00FB6CF0"/>
    <w:rsid w:val="00FB78E7"/>
    <w:rsid w:val="00FC0BD2"/>
    <w:rsid w:val="00FC292B"/>
    <w:rsid w:val="00FC6188"/>
    <w:rsid w:val="00FD1AAE"/>
    <w:rsid w:val="00FD70AB"/>
    <w:rsid w:val="00FE187E"/>
    <w:rsid w:val="00FE2BC5"/>
    <w:rsid w:val="00FE524C"/>
    <w:rsid w:val="00FF0778"/>
    <w:rsid w:val="00FF1A9F"/>
    <w:rsid w:val="00FF2E19"/>
    <w:rsid w:val="00FF77E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CD"/>
    <w:rPr>
      <w:rFonts w:ascii="Tahoma" w:eastAsia="Calibri" w:hAnsi="Tahoma" w:cs="Tahoma"/>
      <w:sz w:val="16"/>
      <w:szCs w:val="16"/>
    </w:rPr>
  </w:style>
  <w:style w:type="paragraph" w:styleId="ListParagraph">
    <w:name w:val="List Paragraph"/>
    <w:basedOn w:val="Normal"/>
    <w:uiPriority w:val="34"/>
    <w:qFormat/>
    <w:rsid w:val="0022572E"/>
    <w:pPr>
      <w:ind w:left="720"/>
      <w:contextualSpacing/>
    </w:pPr>
  </w:style>
  <w:style w:type="table" w:styleId="TableGrid">
    <w:name w:val="Table Grid"/>
    <w:basedOn w:val="TableNormal"/>
    <w:uiPriority w:val="59"/>
    <w:rsid w:val="00196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
    <w:name w:val="corpo de texto"/>
    <w:basedOn w:val="Normal"/>
    <w:link w:val="StylecorpodetextoBlueChar"/>
    <w:rsid w:val="004E0CE6"/>
    <w:pPr>
      <w:widowControl w:val="0"/>
      <w:adjustRightInd w:val="0"/>
      <w:spacing w:after="0" w:line="360" w:lineRule="auto"/>
      <w:jc w:val="both"/>
      <w:textAlignment w:val="baseline"/>
    </w:pPr>
    <w:rPr>
      <w:rFonts w:ascii="Times New Roman" w:eastAsia="Times New Roman" w:hAnsi="Times New Roman"/>
      <w:snapToGrid w:val="0"/>
      <w:sz w:val="24"/>
      <w:szCs w:val="24"/>
    </w:rPr>
  </w:style>
  <w:style w:type="character" w:customStyle="1" w:styleId="StylecorpodetextoBlueChar">
    <w:name w:val="Style corpo de texto + Blue Char"/>
    <w:basedOn w:val="DefaultParagraphFont"/>
    <w:link w:val="corpodetexto"/>
    <w:locked/>
    <w:rsid w:val="004E0CE6"/>
    <w:rPr>
      <w:rFonts w:ascii="Times New Roman" w:eastAsia="Times New Roman" w:hAnsi="Times New Roman" w:cs="Times New Roman"/>
      <w:snapToGrid w:val="0"/>
      <w:sz w:val="24"/>
      <w:szCs w:val="24"/>
    </w:rPr>
  </w:style>
  <w:style w:type="paragraph" w:styleId="Header">
    <w:name w:val="header"/>
    <w:basedOn w:val="Normal"/>
    <w:link w:val="HeaderChar"/>
    <w:uiPriority w:val="99"/>
    <w:semiHidden/>
    <w:unhideWhenUsed/>
    <w:rsid w:val="00FB6CF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B6CF0"/>
    <w:rPr>
      <w:rFonts w:ascii="Calibri" w:eastAsia="Calibri" w:hAnsi="Calibri" w:cs="Times New Roman"/>
    </w:rPr>
  </w:style>
  <w:style w:type="paragraph" w:styleId="Footer">
    <w:name w:val="footer"/>
    <w:basedOn w:val="Normal"/>
    <w:link w:val="FooterChar"/>
    <w:uiPriority w:val="99"/>
    <w:unhideWhenUsed/>
    <w:rsid w:val="00FB6CF0"/>
    <w:pPr>
      <w:tabs>
        <w:tab w:val="center" w:pos="4252"/>
        <w:tab w:val="right" w:pos="8504"/>
      </w:tabs>
      <w:spacing w:after="0" w:line="240" w:lineRule="auto"/>
    </w:pPr>
  </w:style>
  <w:style w:type="character" w:customStyle="1" w:styleId="FooterChar">
    <w:name w:val="Footer Char"/>
    <w:basedOn w:val="DefaultParagraphFont"/>
    <w:link w:val="Footer"/>
    <w:uiPriority w:val="99"/>
    <w:rsid w:val="00FB6CF0"/>
    <w:rPr>
      <w:rFonts w:ascii="Calibri" w:eastAsia="Calibri" w:hAnsi="Calibri" w:cs="Times New Roman"/>
    </w:rPr>
  </w:style>
  <w:style w:type="character" w:styleId="Hyperlink">
    <w:name w:val="Hyperlink"/>
    <w:basedOn w:val="DefaultParagraphFont"/>
    <w:uiPriority w:val="99"/>
    <w:unhideWhenUsed/>
    <w:rsid w:val="00E14E2F"/>
    <w:rPr>
      <w:color w:val="0000FF" w:themeColor="hyperlink"/>
      <w:u w:val="single"/>
    </w:rPr>
  </w:style>
  <w:style w:type="table" w:styleId="LightShading-Accent1">
    <w:name w:val="Light Shading Accent 1"/>
    <w:basedOn w:val="TableNormal"/>
    <w:uiPriority w:val="60"/>
    <w:rsid w:val="00967B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F75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91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5913"/>
    <w:rPr>
      <w:vertAlign w:val="superscript"/>
    </w:rPr>
  </w:style>
</w:styles>
</file>

<file path=word/webSettings.xml><?xml version="1.0" encoding="utf-8"?>
<w:webSettings xmlns:r="http://schemas.openxmlformats.org/officeDocument/2006/relationships" xmlns:w="http://schemas.openxmlformats.org/wordprocessingml/2006/main">
  <w:divs>
    <w:div w:id="1569879006">
      <w:bodyDiv w:val="1"/>
      <w:marLeft w:val="0"/>
      <w:marRight w:val="0"/>
      <w:marTop w:val="0"/>
      <w:marBottom w:val="0"/>
      <w:divBdr>
        <w:top w:val="none" w:sz="0" w:space="0" w:color="auto"/>
        <w:left w:val="none" w:sz="0" w:space="0" w:color="auto"/>
        <w:bottom w:val="none" w:sz="0" w:space="0" w:color="auto"/>
        <w:right w:val="none" w:sz="0" w:space="0" w:color="auto"/>
      </w:divBdr>
    </w:div>
    <w:div w:id="17428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ne.pt/xportal/xmain?xpid=INE&amp;xpgid=ine_cnacion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FEAF2-AEC4-4E60-AB74-D829D7BE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20</Pages>
  <Words>4971</Words>
  <Characters>26846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INE</Company>
  <LinksUpToDate>false</LinksUpToDate>
  <CharactersWithSpaces>31754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INE</cp:lastModifiedBy>
  <cp:revision>11</cp:revision>
  <cp:lastPrinted>2014-05-21T14:55:00Z</cp:lastPrinted>
  <dcterms:created xsi:type="dcterms:W3CDTF">2014-05-21T14:15:00Z</dcterms:created>
  <dcterms:modified xsi:type="dcterms:W3CDTF">2014-05-21T19:05:00Z</dcterms:modified>
</cp:coreProperties>
</file>