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685" w:rsidRPr="00B84859" w:rsidRDefault="00704685" w:rsidP="00704685">
      <w:pPr>
        <w:autoSpaceDE w:val="0"/>
        <w:autoSpaceDN w:val="0"/>
        <w:adjustRightInd w:val="0"/>
        <w:spacing w:after="0" w:line="240" w:lineRule="auto"/>
        <w:jc w:val="center"/>
        <w:rPr>
          <w:rFonts w:ascii="Calibri" w:hAnsi="Calibri" w:cs="Calibri"/>
          <w:b/>
          <w:sz w:val="36"/>
          <w:szCs w:val="36"/>
        </w:rPr>
      </w:pPr>
      <w:bookmarkStart w:id="0" w:name="_GoBack"/>
      <w:bookmarkEnd w:id="0"/>
      <w:r>
        <w:rPr>
          <w:rFonts w:ascii="Calibri" w:hAnsi="Calibri" w:cs="Calibri"/>
          <w:b/>
          <w:sz w:val="36"/>
          <w:szCs w:val="36"/>
        </w:rPr>
        <w:t>The Arts and Cultural Production Satellite Account (ACPSA)</w:t>
      </w:r>
    </w:p>
    <w:p w:rsidR="00704685" w:rsidRDefault="00704685" w:rsidP="00704685">
      <w:pPr>
        <w:autoSpaceDE w:val="0"/>
        <w:autoSpaceDN w:val="0"/>
        <w:adjustRightInd w:val="0"/>
        <w:spacing w:after="0" w:line="240" w:lineRule="auto"/>
        <w:jc w:val="center"/>
        <w:rPr>
          <w:rFonts w:ascii="Calibri" w:hAnsi="Calibri" w:cs="Calibri"/>
          <w:b/>
          <w:sz w:val="36"/>
          <w:szCs w:val="36"/>
        </w:rPr>
      </w:pPr>
    </w:p>
    <w:p w:rsidR="00704685" w:rsidRDefault="00704685" w:rsidP="00704685">
      <w:pPr>
        <w:autoSpaceDE w:val="0"/>
        <w:autoSpaceDN w:val="0"/>
        <w:adjustRightInd w:val="0"/>
        <w:spacing w:after="0" w:line="240" w:lineRule="auto"/>
        <w:jc w:val="center"/>
        <w:rPr>
          <w:rFonts w:ascii="Calibri" w:hAnsi="Calibri" w:cs="Calibri"/>
          <w:b/>
          <w:sz w:val="36"/>
          <w:szCs w:val="36"/>
        </w:rPr>
      </w:pPr>
    </w:p>
    <w:p w:rsidR="00704685" w:rsidRPr="00704685" w:rsidRDefault="00704685" w:rsidP="00704685">
      <w:pPr>
        <w:autoSpaceDE w:val="0"/>
        <w:autoSpaceDN w:val="0"/>
        <w:adjustRightInd w:val="0"/>
        <w:spacing w:after="0" w:line="240" w:lineRule="auto"/>
        <w:jc w:val="center"/>
        <w:rPr>
          <w:rFonts w:ascii="Calibri" w:hAnsi="Calibri" w:cs="Calibri"/>
          <w:b/>
          <w:sz w:val="32"/>
          <w:szCs w:val="32"/>
        </w:rPr>
      </w:pPr>
      <w:r w:rsidRPr="00704685">
        <w:rPr>
          <w:rFonts w:ascii="Calibri" w:hAnsi="Calibri" w:cs="Calibri"/>
          <w:b/>
          <w:sz w:val="32"/>
          <w:szCs w:val="32"/>
        </w:rPr>
        <w:t>Paul V. Kern, David B. Wasshausen, and Steven L. Zemanek</w:t>
      </w:r>
    </w:p>
    <w:p w:rsidR="00704685" w:rsidRPr="00704685" w:rsidRDefault="00704685" w:rsidP="00704685">
      <w:pPr>
        <w:autoSpaceDE w:val="0"/>
        <w:autoSpaceDN w:val="0"/>
        <w:adjustRightInd w:val="0"/>
        <w:spacing w:after="0" w:line="240" w:lineRule="auto"/>
        <w:jc w:val="center"/>
        <w:rPr>
          <w:rFonts w:ascii="Calibri" w:hAnsi="Calibri" w:cs="Calibri"/>
          <w:b/>
          <w:sz w:val="32"/>
          <w:szCs w:val="32"/>
        </w:rPr>
      </w:pPr>
    </w:p>
    <w:p w:rsidR="003F186A" w:rsidRDefault="003F186A" w:rsidP="00704685">
      <w:pPr>
        <w:autoSpaceDE w:val="0"/>
        <w:autoSpaceDN w:val="0"/>
        <w:adjustRightInd w:val="0"/>
        <w:spacing w:after="0" w:line="240" w:lineRule="auto"/>
        <w:jc w:val="center"/>
        <w:rPr>
          <w:rFonts w:ascii="Calibri" w:hAnsi="Calibri" w:cs="Calibri"/>
          <w:b/>
          <w:sz w:val="32"/>
          <w:szCs w:val="32"/>
        </w:rPr>
      </w:pPr>
    </w:p>
    <w:p w:rsidR="00704685" w:rsidRPr="00704685" w:rsidRDefault="00704685" w:rsidP="00704685">
      <w:pPr>
        <w:autoSpaceDE w:val="0"/>
        <w:autoSpaceDN w:val="0"/>
        <w:adjustRightInd w:val="0"/>
        <w:spacing w:after="0" w:line="240" w:lineRule="auto"/>
        <w:jc w:val="center"/>
        <w:rPr>
          <w:rFonts w:ascii="Calibri" w:hAnsi="Calibri" w:cs="Calibri"/>
          <w:b/>
          <w:sz w:val="32"/>
          <w:szCs w:val="32"/>
        </w:rPr>
      </w:pPr>
      <w:r w:rsidRPr="00704685">
        <w:rPr>
          <w:rFonts w:ascii="Calibri" w:hAnsi="Calibri" w:cs="Calibri"/>
          <w:b/>
          <w:sz w:val="32"/>
          <w:szCs w:val="32"/>
        </w:rPr>
        <w:t>22nd International Input-Output Conference</w:t>
      </w:r>
    </w:p>
    <w:p w:rsidR="00704685" w:rsidRDefault="00704685" w:rsidP="00704685">
      <w:pPr>
        <w:autoSpaceDE w:val="0"/>
        <w:autoSpaceDN w:val="0"/>
        <w:adjustRightInd w:val="0"/>
        <w:spacing w:after="0" w:line="240" w:lineRule="auto"/>
        <w:jc w:val="center"/>
        <w:rPr>
          <w:rFonts w:ascii="Calibri" w:hAnsi="Calibri" w:cs="Calibri"/>
          <w:b/>
          <w:sz w:val="36"/>
          <w:szCs w:val="36"/>
        </w:rPr>
      </w:pPr>
      <w:r w:rsidRPr="00704685">
        <w:rPr>
          <w:rFonts w:ascii="Calibri" w:hAnsi="Calibri" w:cs="Calibri"/>
          <w:b/>
          <w:sz w:val="32"/>
          <w:szCs w:val="32"/>
        </w:rPr>
        <w:t>14-18 July 2014, Lisbon, Portugal</w:t>
      </w:r>
    </w:p>
    <w:p w:rsidR="00704685" w:rsidRDefault="00704685" w:rsidP="00704685">
      <w:pPr>
        <w:autoSpaceDE w:val="0"/>
        <w:autoSpaceDN w:val="0"/>
        <w:adjustRightInd w:val="0"/>
        <w:spacing w:after="0" w:line="240" w:lineRule="auto"/>
        <w:jc w:val="center"/>
        <w:rPr>
          <w:rFonts w:ascii="Calibri" w:hAnsi="Calibri" w:cs="Calibri"/>
          <w:sz w:val="24"/>
          <w:szCs w:val="24"/>
        </w:rPr>
      </w:pPr>
    </w:p>
    <w:p w:rsidR="00704685" w:rsidRDefault="00704685" w:rsidP="00704685">
      <w:pPr>
        <w:autoSpaceDE w:val="0"/>
        <w:autoSpaceDN w:val="0"/>
        <w:adjustRightInd w:val="0"/>
        <w:spacing w:after="0" w:line="240" w:lineRule="auto"/>
        <w:jc w:val="center"/>
        <w:rPr>
          <w:rFonts w:ascii="Calibri" w:hAnsi="Calibri" w:cs="Calibri"/>
          <w:sz w:val="24"/>
          <w:szCs w:val="24"/>
        </w:rPr>
      </w:pPr>
    </w:p>
    <w:p w:rsidR="003F186A" w:rsidRDefault="003F186A" w:rsidP="00704685">
      <w:pPr>
        <w:autoSpaceDE w:val="0"/>
        <w:autoSpaceDN w:val="0"/>
        <w:adjustRightInd w:val="0"/>
        <w:spacing w:after="0" w:line="240" w:lineRule="auto"/>
        <w:jc w:val="center"/>
        <w:rPr>
          <w:rFonts w:ascii="Calibri" w:hAnsi="Calibri" w:cs="Calibri"/>
          <w:sz w:val="24"/>
          <w:szCs w:val="24"/>
        </w:rPr>
      </w:pPr>
    </w:p>
    <w:p w:rsidR="00704685" w:rsidRDefault="00704685" w:rsidP="00704685">
      <w:pPr>
        <w:autoSpaceDE w:val="0"/>
        <w:autoSpaceDN w:val="0"/>
        <w:adjustRightInd w:val="0"/>
        <w:spacing w:after="0" w:line="240" w:lineRule="auto"/>
        <w:jc w:val="center"/>
        <w:rPr>
          <w:rFonts w:ascii="Calibri" w:hAnsi="Calibri" w:cs="Calibri"/>
          <w:sz w:val="24"/>
          <w:szCs w:val="24"/>
        </w:rPr>
      </w:pPr>
      <w:r w:rsidRPr="00704685">
        <w:rPr>
          <w:rFonts w:ascii="Calibri" w:hAnsi="Calibri" w:cs="Calibri"/>
          <w:sz w:val="24"/>
          <w:szCs w:val="24"/>
        </w:rPr>
        <w:t>Abstract</w:t>
      </w:r>
    </w:p>
    <w:p w:rsidR="00704685" w:rsidRPr="00704685" w:rsidRDefault="00704685" w:rsidP="00704685">
      <w:pPr>
        <w:autoSpaceDE w:val="0"/>
        <w:autoSpaceDN w:val="0"/>
        <w:adjustRightInd w:val="0"/>
        <w:spacing w:after="0" w:line="240" w:lineRule="auto"/>
        <w:jc w:val="center"/>
        <w:rPr>
          <w:rFonts w:ascii="Calibri" w:hAnsi="Calibri" w:cs="Calibri"/>
          <w:sz w:val="24"/>
          <w:szCs w:val="24"/>
        </w:rPr>
      </w:pPr>
    </w:p>
    <w:p w:rsidR="00704685" w:rsidRPr="003F186A" w:rsidRDefault="00C76D12" w:rsidP="00704685">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On </w:t>
      </w:r>
      <w:r w:rsidRPr="003F186A">
        <w:rPr>
          <w:rFonts w:ascii="Calibri" w:hAnsi="Calibri" w:cs="Calibri"/>
          <w:sz w:val="24"/>
          <w:szCs w:val="24"/>
        </w:rPr>
        <w:t>December 5, 2013</w:t>
      </w:r>
      <w:r>
        <w:rPr>
          <w:rFonts w:ascii="Calibri" w:hAnsi="Calibri" w:cs="Calibri"/>
          <w:sz w:val="24"/>
          <w:szCs w:val="24"/>
        </w:rPr>
        <w:t>, t</w:t>
      </w:r>
      <w:r w:rsidR="00704685" w:rsidRPr="003F186A">
        <w:rPr>
          <w:rFonts w:ascii="Calibri" w:hAnsi="Calibri" w:cs="Calibri"/>
          <w:sz w:val="24"/>
          <w:szCs w:val="24"/>
        </w:rPr>
        <w:t xml:space="preserve">he U.S. Bureau of Economic Analysis (BEA) and the National Endowment for the Arts (NEA) released, for the first time, prototype estimates from the new Arts and Cultural Production Satellite Account (ACPSA).  In this satellite account, we used an input-output (I-O) framework to conduct an in‐depth analysis of the arts and cultural sector's contributions to current‐dollar gross domestic product (GDP).  </w:t>
      </w:r>
    </w:p>
    <w:p w:rsidR="00704685" w:rsidRPr="003F186A" w:rsidRDefault="00704685" w:rsidP="00704685">
      <w:pPr>
        <w:autoSpaceDE w:val="0"/>
        <w:autoSpaceDN w:val="0"/>
        <w:adjustRightInd w:val="0"/>
        <w:spacing w:after="0" w:line="240" w:lineRule="auto"/>
        <w:rPr>
          <w:rFonts w:ascii="Calibri" w:hAnsi="Calibri" w:cs="Calibri"/>
          <w:sz w:val="24"/>
          <w:szCs w:val="24"/>
        </w:rPr>
      </w:pPr>
    </w:p>
    <w:p w:rsidR="00704685" w:rsidRPr="003F186A" w:rsidRDefault="00704685" w:rsidP="00704685">
      <w:pPr>
        <w:autoSpaceDE w:val="0"/>
        <w:autoSpaceDN w:val="0"/>
        <w:adjustRightInd w:val="0"/>
        <w:spacing w:after="0" w:line="240" w:lineRule="auto"/>
        <w:rPr>
          <w:rFonts w:ascii="Calibri" w:hAnsi="Calibri" w:cs="Calibri"/>
          <w:sz w:val="24"/>
          <w:szCs w:val="24"/>
        </w:rPr>
      </w:pPr>
      <w:r w:rsidRPr="003F186A">
        <w:rPr>
          <w:rFonts w:ascii="Calibri" w:hAnsi="Calibri" w:cs="Calibri"/>
          <w:sz w:val="24"/>
          <w:szCs w:val="24"/>
        </w:rPr>
        <w:t>Culture can be defined in a variety of ways to include language, traditions, beliefs, and values.  For this new account, we defined arts and cultural production to be largely consistent with definitions used by the United Nations and the European Union.  The I‐O framework provides the necessary tools to identify and then estimate the value of the "creative chain" associated with arts and cultural production.  This chain captures the economic value as we move from the creation of a cultural product (composing a symphony) to its production (the performance being recorded in a studio), then the distribution (by various modes), and finally the consumption (by the listener).  In this paper, we explore the processes and methods used to identify and estimate the value of arts and cultural production, including key findings that enable us to quantify the impact of arts and culture on GDP for the first time.</w:t>
      </w:r>
    </w:p>
    <w:p w:rsidR="00704685" w:rsidRPr="00B84859" w:rsidRDefault="00704685" w:rsidP="00704685">
      <w:pPr>
        <w:autoSpaceDE w:val="0"/>
        <w:autoSpaceDN w:val="0"/>
        <w:adjustRightInd w:val="0"/>
        <w:spacing w:after="0" w:line="240" w:lineRule="auto"/>
        <w:ind w:left="864" w:right="864"/>
        <w:jc w:val="both"/>
        <w:rPr>
          <w:rFonts w:ascii="Calibri" w:hAnsi="Calibri" w:cs="Calibri"/>
          <w:b/>
          <w:sz w:val="28"/>
          <w:szCs w:val="28"/>
        </w:rPr>
      </w:pPr>
    </w:p>
    <w:p w:rsidR="00704685" w:rsidRDefault="00704685" w:rsidP="00704685">
      <w:pPr>
        <w:autoSpaceDE w:val="0"/>
        <w:autoSpaceDN w:val="0"/>
        <w:adjustRightInd w:val="0"/>
        <w:spacing w:after="0" w:line="240" w:lineRule="auto"/>
        <w:jc w:val="center"/>
        <w:rPr>
          <w:rFonts w:ascii="Calibri" w:hAnsi="Calibri" w:cs="Calibri"/>
          <w:b/>
          <w:sz w:val="36"/>
          <w:szCs w:val="36"/>
        </w:rPr>
      </w:pPr>
    </w:p>
    <w:p w:rsidR="00704685" w:rsidRDefault="00704685" w:rsidP="00704685">
      <w:pPr>
        <w:autoSpaceDE w:val="0"/>
        <w:autoSpaceDN w:val="0"/>
        <w:adjustRightInd w:val="0"/>
        <w:spacing w:after="0" w:line="240" w:lineRule="auto"/>
        <w:jc w:val="center"/>
        <w:rPr>
          <w:rFonts w:ascii="Calibri" w:hAnsi="Calibri" w:cs="Calibri"/>
          <w:b/>
          <w:sz w:val="36"/>
          <w:szCs w:val="36"/>
        </w:rPr>
      </w:pPr>
    </w:p>
    <w:p w:rsidR="00704685" w:rsidRDefault="00704685" w:rsidP="00704685">
      <w:pPr>
        <w:autoSpaceDE w:val="0"/>
        <w:autoSpaceDN w:val="0"/>
        <w:adjustRightInd w:val="0"/>
        <w:spacing w:after="0" w:line="240" w:lineRule="auto"/>
        <w:jc w:val="center"/>
        <w:rPr>
          <w:rFonts w:ascii="Calibri" w:hAnsi="Calibri" w:cs="Calibri"/>
          <w:b/>
          <w:sz w:val="36"/>
          <w:szCs w:val="36"/>
        </w:rPr>
      </w:pPr>
    </w:p>
    <w:p w:rsidR="00704685" w:rsidRDefault="00704685" w:rsidP="00704685">
      <w:pPr>
        <w:autoSpaceDE w:val="0"/>
        <w:autoSpaceDN w:val="0"/>
        <w:adjustRightInd w:val="0"/>
        <w:spacing w:after="0" w:line="240" w:lineRule="auto"/>
        <w:jc w:val="center"/>
        <w:rPr>
          <w:rFonts w:ascii="Calibri" w:hAnsi="Calibri" w:cs="Calibri"/>
          <w:b/>
          <w:sz w:val="36"/>
          <w:szCs w:val="36"/>
        </w:rPr>
      </w:pPr>
    </w:p>
    <w:p w:rsidR="00704685" w:rsidRDefault="00704685">
      <w:pPr>
        <w:rPr>
          <w:rFonts w:ascii="Calibri" w:hAnsi="Calibri" w:cs="Calibri"/>
          <w:b/>
          <w:sz w:val="28"/>
          <w:szCs w:val="28"/>
        </w:rPr>
      </w:pPr>
      <w:r>
        <w:rPr>
          <w:rFonts w:ascii="Calibri" w:hAnsi="Calibri" w:cs="Calibri"/>
          <w:b/>
          <w:sz w:val="28"/>
          <w:szCs w:val="28"/>
        </w:rPr>
        <w:br w:type="page"/>
      </w:r>
    </w:p>
    <w:p w:rsidR="000341ED" w:rsidRPr="00A260FB" w:rsidRDefault="00E97ADF" w:rsidP="00357719">
      <w:pPr>
        <w:autoSpaceDE w:val="0"/>
        <w:autoSpaceDN w:val="0"/>
        <w:adjustRightInd w:val="0"/>
        <w:spacing w:after="0" w:line="240" w:lineRule="auto"/>
        <w:rPr>
          <w:rFonts w:ascii="Calibri" w:hAnsi="Calibri" w:cs="Calibri"/>
          <w:b/>
          <w:sz w:val="28"/>
          <w:szCs w:val="28"/>
        </w:rPr>
      </w:pPr>
      <w:r w:rsidRPr="00A260FB">
        <w:rPr>
          <w:rFonts w:ascii="Calibri" w:hAnsi="Calibri" w:cs="Calibri"/>
          <w:b/>
          <w:sz w:val="28"/>
          <w:szCs w:val="28"/>
        </w:rPr>
        <w:lastRenderedPageBreak/>
        <w:t xml:space="preserve">1. </w:t>
      </w:r>
      <w:r w:rsidR="000341ED" w:rsidRPr="00A260FB">
        <w:rPr>
          <w:rFonts w:ascii="Calibri" w:hAnsi="Calibri" w:cs="Calibri"/>
          <w:b/>
          <w:sz w:val="28"/>
          <w:szCs w:val="28"/>
        </w:rPr>
        <w:t>Introduction</w:t>
      </w:r>
    </w:p>
    <w:p w:rsidR="00F26920" w:rsidRDefault="00A34758" w:rsidP="00A34758">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On </w:t>
      </w:r>
      <w:r w:rsidRPr="00A260FB">
        <w:rPr>
          <w:rFonts w:ascii="Calibri" w:hAnsi="Calibri" w:cs="Calibri"/>
          <w:sz w:val="24"/>
          <w:szCs w:val="24"/>
        </w:rPr>
        <w:t>December 5, 2013</w:t>
      </w:r>
      <w:r>
        <w:rPr>
          <w:rFonts w:ascii="Calibri" w:hAnsi="Calibri" w:cs="Calibri"/>
          <w:sz w:val="24"/>
          <w:szCs w:val="24"/>
        </w:rPr>
        <w:t>,</w:t>
      </w:r>
      <w:r w:rsidRPr="00A260FB">
        <w:rPr>
          <w:rFonts w:ascii="Calibri" w:hAnsi="Calibri" w:cs="Calibri"/>
          <w:sz w:val="24"/>
          <w:szCs w:val="24"/>
        </w:rPr>
        <w:t xml:space="preserve"> </w:t>
      </w:r>
      <w:r>
        <w:rPr>
          <w:rFonts w:ascii="Calibri" w:hAnsi="Calibri" w:cs="Calibri"/>
          <w:sz w:val="24"/>
          <w:szCs w:val="24"/>
        </w:rPr>
        <w:t>t</w:t>
      </w:r>
      <w:r w:rsidR="002B71BE" w:rsidRPr="00A260FB">
        <w:rPr>
          <w:rFonts w:ascii="Calibri" w:hAnsi="Calibri" w:cs="Calibri"/>
          <w:sz w:val="24"/>
          <w:szCs w:val="24"/>
        </w:rPr>
        <w:t xml:space="preserve">he U.S. Bureau of Economic Analysis (BEA) and the National Endowment for the Arts (NEA) released prototype estimates from the new Arts and Cultural Production Satellite Account (ACPSA).  </w:t>
      </w:r>
      <w:r>
        <w:rPr>
          <w:rFonts w:ascii="Calibri" w:hAnsi="Calibri" w:cs="Calibri"/>
          <w:sz w:val="24"/>
          <w:szCs w:val="24"/>
        </w:rPr>
        <w:t>This wa</w:t>
      </w:r>
      <w:r w:rsidRPr="00A34758">
        <w:rPr>
          <w:rFonts w:ascii="Calibri" w:hAnsi="Calibri" w:cs="Calibri"/>
          <w:sz w:val="24"/>
          <w:szCs w:val="24"/>
        </w:rPr>
        <w:t xml:space="preserve">s the first </w:t>
      </w:r>
      <w:r>
        <w:rPr>
          <w:rFonts w:ascii="Calibri" w:hAnsi="Calibri" w:cs="Calibri"/>
          <w:sz w:val="24"/>
          <w:szCs w:val="24"/>
        </w:rPr>
        <w:t xml:space="preserve">U.S. </w:t>
      </w:r>
      <w:r w:rsidRPr="00A34758">
        <w:rPr>
          <w:rFonts w:ascii="Calibri" w:hAnsi="Calibri" w:cs="Calibri"/>
          <w:sz w:val="24"/>
          <w:szCs w:val="24"/>
        </w:rPr>
        <w:t>federal</w:t>
      </w:r>
      <w:r>
        <w:rPr>
          <w:rFonts w:ascii="Calibri" w:hAnsi="Calibri" w:cs="Calibri"/>
          <w:sz w:val="24"/>
          <w:szCs w:val="24"/>
        </w:rPr>
        <w:t xml:space="preserve"> government </w:t>
      </w:r>
      <w:r w:rsidRPr="00A34758">
        <w:rPr>
          <w:rFonts w:ascii="Calibri" w:hAnsi="Calibri" w:cs="Calibri"/>
          <w:sz w:val="24"/>
          <w:szCs w:val="24"/>
        </w:rPr>
        <w:t xml:space="preserve">effort to provide </w:t>
      </w:r>
      <w:r>
        <w:rPr>
          <w:rFonts w:ascii="Calibri" w:hAnsi="Calibri" w:cs="Calibri"/>
          <w:sz w:val="24"/>
          <w:szCs w:val="24"/>
        </w:rPr>
        <w:t xml:space="preserve">an </w:t>
      </w:r>
      <w:r w:rsidRPr="00A34758">
        <w:rPr>
          <w:rFonts w:ascii="Calibri" w:hAnsi="Calibri" w:cs="Calibri"/>
          <w:sz w:val="24"/>
          <w:szCs w:val="24"/>
        </w:rPr>
        <w:t>in‐depth analysis of the arts and cultural sector's contributions to current‐dollar gross domestic product</w:t>
      </w:r>
      <w:r>
        <w:rPr>
          <w:rFonts w:ascii="Calibri" w:hAnsi="Calibri" w:cs="Calibri"/>
          <w:sz w:val="24"/>
          <w:szCs w:val="24"/>
        </w:rPr>
        <w:t xml:space="preserve"> </w:t>
      </w:r>
      <w:r w:rsidRPr="00A34758">
        <w:rPr>
          <w:rFonts w:ascii="Calibri" w:hAnsi="Calibri" w:cs="Calibri"/>
          <w:sz w:val="24"/>
          <w:szCs w:val="24"/>
        </w:rPr>
        <w:t>(GDP) in the United States.</w:t>
      </w:r>
      <w:r>
        <w:rPr>
          <w:rFonts w:ascii="Calibri" w:hAnsi="Calibri" w:cs="Calibri"/>
          <w:sz w:val="24"/>
          <w:szCs w:val="24"/>
        </w:rPr>
        <w:t xml:space="preserve">  </w:t>
      </w:r>
      <w:r w:rsidR="006D042E">
        <w:rPr>
          <w:rFonts w:ascii="Calibri" w:hAnsi="Calibri" w:cs="Calibri"/>
          <w:sz w:val="24"/>
          <w:szCs w:val="24"/>
        </w:rPr>
        <w:t>This new</w:t>
      </w:r>
      <w:r w:rsidR="002B71BE" w:rsidRPr="00A260FB">
        <w:rPr>
          <w:rFonts w:ascii="Calibri" w:hAnsi="Calibri" w:cs="Calibri"/>
          <w:sz w:val="24"/>
          <w:szCs w:val="24"/>
        </w:rPr>
        <w:t xml:space="preserve"> satellite account</w:t>
      </w:r>
      <w:r>
        <w:rPr>
          <w:rFonts w:ascii="Calibri" w:hAnsi="Calibri" w:cs="Calibri"/>
          <w:sz w:val="24"/>
          <w:szCs w:val="24"/>
        </w:rPr>
        <w:t>, which</w:t>
      </w:r>
      <w:r w:rsidR="002B71BE" w:rsidRPr="00A260FB">
        <w:rPr>
          <w:rFonts w:ascii="Calibri" w:hAnsi="Calibri" w:cs="Calibri"/>
          <w:sz w:val="24"/>
          <w:szCs w:val="24"/>
        </w:rPr>
        <w:t xml:space="preserve"> used an input-output (I-O) framework</w:t>
      </w:r>
      <w:r>
        <w:rPr>
          <w:rFonts w:ascii="Calibri" w:hAnsi="Calibri" w:cs="Calibri"/>
          <w:sz w:val="24"/>
          <w:szCs w:val="24"/>
        </w:rPr>
        <w:t>,</w:t>
      </w:r>
      <w:r w:rsidR="002B71BE" w:rsidRPr="00A260FB">
        <w:rPr>
          <w:rFonts w:ascii="Calibri" w:hAnsi="Calibri" w:cs="Calibri"/>
          <w:sz w:val="24"/>
          <w:szCs w:val="24"/>
        </w:rPr>
        <w:t xml:space="preserve"> found that, on average, arts and cultural production accounted for about 3.5% of GDP over the years 1998-2011.  </w:t>
      </w:r>
    </w:p>
    <w:p w:rsidR="00F26920" w:rsidRDefault="00F26920" w:rsidP="00A34758">
      <w:pPr>
        <w:autoSpaceDE w:val="0"/>
        <w:autoSpaceDN w:val="0"/>
        <w:adjustRightInd w:val="0"/>
        <w:spacing w:after="0" w:line="240" w:lineRule="auto"/>
        <w:rPr>
          <w:rFonts w:ascii="Calibri" w:hAnsi="Calibri" w:cs="Calibri"/>
          <w:sz w:val="24"/>
          <w:szCs w:val="24"/>
        </w:rPr>
      </w:pPr>
    </w:p>
    <w:p w:rsidR="006D042E" w:rsidRDefault="00F26920" w:rsidP="00A34758">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The development and subsequent release of preliminary statistics for this new account have been well received by many of BEA’s customers and is consistent with the U.S. Department of Commerce’s goal to provide more data in order to enhance decision-making and better understand the U.S. economy.   </w:t>
      </w:r>
    </w:p>
    <w:p w:rsidR="006D042E" w:rsidRDefault="006D042E" w:rsidP="00357719">
      <w:pPr>
        <w:autoSpaceDE w:val="0"/>
        <w:autoSpaceDN w:val="0"/>
        <w:adjustRightInd w:val="0"/>
        <w:spacing w:after="0" w:line="240" w:lineRule="auto"/>
        <w:rPr>
          <w:rFonts w:ascii="Calibri" w:hAnsi="Calibri" w:cs="Calibri"/>
          <w:sz w:val="24"/>
          <w:szCs w:val="24"/>
        </w:rPr>
      </w:pPr>
    </w:p>
    <w:p w:rsidR="00357719" w:rsidRPr="00A260FB" w:rsidRDefault="003E4381" w:rsidP="00193C35">
      <w:pPr>
        <w:autoSpaceDE w:val="0"/>
        <w:autoSpaceDN w:val="0"/>
        <w:adjustRightInd w:val="0"/>
        <w:spacing w:after="0" w:line="240" w:lineRule="auto"/>
        <w:ind w:left="720" w:right="720"/>
        <w:rPr>
          <w:rFonts w:ascii="Calibri" w:hAnsi="Calibri" w:cs="Calibri"/>
          <w:sz w:val="24"/>
          <w:szCs w:val="24"/>
        </w:rPr>
      </w:pPr>
      <w:r>
        <w:rPr>
          <w:rFonts w:ascii="Calibri" w:hAnsi="Calibri" w:cs="Calibri"/>
          <w:sz w:val="24"/>
          <w:szCs w:val="24"/>
        </w:rPr>
        <w:t>“</w:t>
      </w:r>
      <w:r w:rsidR="00357719" w:rsidRPr="00A260FB">
        <w:rPr>
          <w:rFonts w:ascii="Calibri" w:hAnsi="Calibri" w:cs="Calibri"/>
          <w:sz w:val="24"/>
          <w:szCs w:val="24"/>
        </w:rPr>
        <w:t>The positive value of arts and culture on society has been understood on a human level for millennia. With this new effort, we are now able to quantify the impact of arts and culture on GDP for the very first time.</w:t>
      </w:r>
      <w:r>
        <w:rPr>
          <w:rFonts w:ascii="Calibri" w:hAnsi="Calibri" w:cs="Calibri"/>
          <w:sz w:val="24"/>
          <w:szCs w:val="24"/>
        </w:rPr>
        <w:t>”</w:t>
      </w:r>
      <w:r w:rsidR="00357719" w:rsidRPr="00A260FB">
        <w:rPr>
          <w:rFonts w:ascii="Calibri" w:hAnsi="Calibri" w:cs="Calibri"/>
          <w:sz w:val="24"/>
          <w:szCs w:val="24"/>
        </w:rPr>
        <w:t xml:space="preserve"> </w:t>
      </w:r>
      <w:r>
        <w:rPr>
          <w:rFonts w:ascii="Calibri" w:hAnsi="Calibri" w:cs="Calibri"/>
          <w:sz w:val="24"/>
          <w:szCs w:val="24"/>
        </w:rPr>
        <w:t>-</w:t>
      </w:r>
      <w:r w:rsidR="00357719" w:rsidRPr="00A260FB">
        <w:rPr>
          <w:rFonts w:ascii="Calibri" w:hAnsi="Calibri" w:cs="Calibri"/>
          <w:sz w:val="24"/>
          <w:szCs w:val="24"/>
        </w:rPr>
        <w:t>U.S. Commerce Secretary Penny Pritzker</w:t>
      </w:r>
    </w:p>
    <w:p w:rsidR="00357719" w:rsidRPr="00A260FB" w:rsidRDefault="00357719" w:rsidP="002B71BE">
      <w:pPr>
        <w:autoSpaceDE w:val="0"/>
        <w:autoSpaceDN w:val="0"/>
        <w:adjustRightInd w:val="0"/>
        <w:spacing w:after="0" w:line="240" w:lineRule="auto"/>
        <w:rPr>
          <w:rFonts w:ascii="Calibri" w:hAnsi="Calibri" w:cs="Calibri"/>
          <w:sz w:val="24"/>
          <w:szCs w:val="24"/>
        </w:rPr>
      </w:pPr>
    </w:p>
    <w:p w:rsidR="002B71BE" w:rsidRPr="00A260FB" w:rsidRDefault="002B71BE" w:rsidP="00CF7A1A">
      <w:pPr>
        <w:autoSpaceDE w:val="0"/>
        <w:autoSpaceDN w:val="0"/>
        <w:adjustRightInd w:val="0"/>
        <w:spacing w:after="0" w:line="240" w:lineRule="auto"/>
        <w:rPr>
          <w:rFonts w:ascii="Calibri" w:hAnsi="Calibri" w:cs="Calibri"/>
          <w:sz w:val="24"/>
          <w:szCs w:val="24"/>
        </w:rPr>
      </w:pPr>
      <w:r w:rsidRPr="00A260FB">
        <w:rPr>
          <w:rFonts w:ascii="Calibri" w:hAnsi="Calibri" w:cs="Calibri"/>
          <w:sz w:val="24"/>
          <w:szCs w:val="24"/>
        </w:rPr>
        <w:t xml:space="preserve">In this paper, we </w:t>
      </w:r>
      <w:r w:rsidR="00357719" w:rsidRPr="00A260FB">
        <w:rPr>
          <w:rFonts w:ascii="Calibri" w:hAnsi="Calibri" w:cs="Calibri"/>
          <w:sz w:val="24"/>
          <w:szCs w:val="24"/>
        </w:rPr>
        <w:t xml:space="preserve">first </w:t>
      </w:r>
      <w:r w:rsidR="000341ED" w:rsidRPr="00A260FB">
        <w:rPr>
          <w:rFonts w:ascii="Calibri" w:hAnsi="Calibri" w:cs="Calibri"/>
          <w:sz w:val="24"/>
          <w:szCs w:val="24"/>
        </w:rPr>
        <w:t xml:space="preserve">broadly introduce the concept of satellite accounting </w:t>
      </w:r>
      <w:r w:rsidR="003673B6">
        <w:rPr>
          <w:rFonts w:ascii="Calibri" w:hAnsi="Calibri" w:cs="Calibri"/>
          <w:sz w:val="24"/>
          <w:szCs w:val="24"/>
        </w:rPr>
        <w:t xml:space="preserve">presently used </w:t>
      </w:r>
      <w:r w:rsidR="00891F14" w:rsidRPr="00A260FB">
        <w:rPr>
          <w:rFonts w:ascii="Calibri" w:hAnsi="Calibri" w:cs="Calibri"/>
          <w:sz w:val="24"/>
          <w:szCs w:val="24"/>
        </w:rPr>
        <w:t xml:space="preserve">in the U.S. economic accounts </w:t>
      </w:r>
      <w:r w:rsidR="000341ED" w:rsidRPr="00A260FB">
        <w:rPr>
          <w:rFonts w:ascii="Calibri" w:hAnsi="Calibri" w:cs="Calibri"/>
          <w:sz w:val="24"/>
          <w:szCs w:val="24"/>
        </w:rPr>
        <w:t>and the</w:t>
      </w:r>
      <w:r w:rsidR="00891F14" w:rsidRPr="00A260FB">
        <w:rPr>
          <w:rFonts w:ascii="Calibri" w:hAnsi="Calibri" w:cs="Calibri"/>
          <w:sz w:val="24"/>
          <w:szCs w:val="24"/>
        </w:rPr>
        <w:t>n</w:t>
      </w:r>
      <w:r w:rsidR="000341ED" w:rsidRPr="00A260FB">
        <w:rPr>
          <w:rFonts w:ascii="Calibri" w:hAnsi="Calibri" w:cs="Calibri"/>
          <w:sz w:val="24"/>
          <w:szCs w:val="24"/>
        </w:rPr>
        <w:t xml:space="preserve"> more thoroughly </w:t>
      </w:r>
      <w:r w:rsidRPr="00A260FB">
        <w:rPr>
          <w:rFonts w:ascii="Calibri" w:hAnsi="Calibri" w:cs="Calibri"/>
          <w:sz w:val="24"/>
          <w:szCs w:val="24"/>
        </w:rPr>
        <w:t>explore the processes and methods used to identify and estimate the value of arts and cultural production</w:t>
      </w:r>
      <w:r w:rsidR="000341ED" w:rsidRPr="00A260FB">
        <w:rPr>
          <w:rFonts w:ascii="Calibri" w:hAnsi="Calibri" w:cs="Calibri"/>
          <w:sz w:val="24"/>
          <w:szCs w:val="24"/>
        </w:rPr>
        <w:t xml:space="preserve"> in the ACPSA</w:t>
      </w:r>
      <w:r w:rsidR="00357719" w:rsidRPr="00A260FB">
        <w:rPr>
          <w:rFonts w:ascii="Calibri" w:hAnsi="Calibri" w:cs="Calibri"/>
          <w:sz w:val="24"/>
          <w:szCs w:val="24"/>
        </w:rPr>
        <w:t>.  Next</w:t>
      </w:r>
      <w:r w:rsidRPr="00A260FB">
        <w:rPr>
          <w:rFonts w:ascii="Calibri" w:hAnsi="Calibri" w:cs="Calibri"/>
          <w:sz w:val="24"/>
          <w:szCs w:val="24"/>
        </w:rPr>
        <w:t xml:space="preserve">, </w:t>
      </w:r>
      <w:r w:rsidR="00357719" w:rsidRPr="00A260FB">
        <w:rPr>
          <w:rFonts w:ascii="Calibri" w:hAnsi="Calibri" w:cs="Calibri"/>
          <w:sz w:val="24"/>
          <w:szCs w:val="24"/>
        </w:rPr>
        <w:t xml:space="preserve">an analysis of the results is presented, including a section comparing U.S. statistics to that of other countries.  In the final section, we present </w:t>
      </w:r>
      <w:r w:rsidR="007830ED">
        <w:rPr>
          <w:rFonts w:ascii="Calibri" w:hAnsi="Calibri" w:cs="Calibri"/>
          <w:sz w:val="24"/>
          <w:szCs w:val="24"/>
        </w:rPr>
        <w:t xml:space="preserve">future directions, including </w:t>
      </w:r>
      <w:r w:rsidR="00357719" w:rsidRPr="00A260FB">
        <w:rPr>
          <w:rFonts w:ascii="Calibri" w:hAnsi="Calibri" w:cs="Calibri"/>
          <w:sz w:val="24"/>
          <w:szCs w:val="24"/>
        </w:rPr>
        <w:t>planned expansions for the ACPSA</w:t>
      </w:r>
      <w:r w:rsidR="00CF7A1A" w:rsidRPr="00A260FB">
        <w:rPr>
          <w:rFonts w:ascii="Calibri" w:hAnsi="Calibri" w:cs="Calibri"/>
          <w:sz w:val="24"/>
          <w:szCs w:val="24"/>
        </w:rPr>
        <w:t>.</w:t>
      </w:r>
    </w:p>
    <w:p w:rsidR="002B71BE" w:rsidRPr="00A260FB" w:rsidRDefault="002B71BE" w:rsidP="00726D77">
      <w:pPr>
        <w:rPr>
          <w:sz w:val="24"/>
          <w:szCs w:val="24"/>
        </w:rPr>
      </w:pPr>
    </w:p>
    <w:p w:rsidR="00E97ADF" w:rsidRPr="00A260FB" w:rsidRDefault="00E97ADF" w:rsidP="00726D77">
      <w:pPr>
        <w:rPr>
          <w:b/>
          <w:sz w:val="28"/>
          <w:szCs w:val="28"/>
        </w:rPr>
      </w:pPr>
      <w:r w:rsidRPr="00A260FB">
        <w:rPr>
          <w:b/>
          <w:sz w:val="28"/>
          <w:szCs w:val="28"/>
        </w:rPr>
        <w:t xml:space="preserve">2. </w:t>
      </w:r>
      <w:r w:rsidR="003E4381">
        <w:rPr>
          <w:b/>
          <w:sz w:val="28"/>
          <w:szCs w:val="28"/>
        </w:rPr>
        <w:t xml:space="preserve">Satellite </w:t>
      </w:r>
      <w:r w:rsidR="00C76D12">
        <w:rPr>
          <w:b/>
          <w:sz w:val="28"/>
          <w:szCs w:val="28"/>
        </w:rPr>
        <w:t>a</w:t>
      </w:r>
      <w:r w:rsidR="003E4381">
        <w:rPr>
          <w:b/>
          <w:sz w:val="28"/>
          <w:szCs w:val="28"/>
        </w:rPr>
        <w:t>ccounts</w:t>
      </w:r>
      <w:r w:rsidR="004B2FEF">
        <w:rPr>
          <w:b/>
          <w:sz w:val="28"/>
          <w:szCs w:val="28"/>
        </w:rPr>
        <w:t xml:space="preserve"> </w:t>
      </w:r>
      <w:r w:rsidR="00C76D12">
        <w:rPr>
          <w:b/>
          <w:sz w:val="28"/>
          <w:szCs w:val="28"/>
        </w:rPr>
        <w:t>o</w:t>
      </w:r>
      <w:r w:rsidR="004B2FEF">
        <w:rPr>
          <w:b/>
          <w:sz w:val="28"/>
          <w:szCs w:val="28"/>
        </w:rPr>
        <w:t>verview</w:t>
      </w:r>
    </w:p>
    <w:p w:rsidR="00AD4B46" w:rsidRPr="00A260FB" w:rsidRDefault="00E97ADF" w:rsidP="00726D77">
      <w:pPr>
        <w:rPr>
          <w:sz w:val="24"/>
          <w:szCs w:val="24"/>
        </w:rPr>
      </w:pPr>
      <w:r w:rsidRPr="00A260FB">
        <w:rPr>
          <w:sz w:val="24"/>
          <w:szCs w:val="24"/>
        </w:rPr>
        <w:t>Satellite accounts are s</w:t>
      </w:r>
      <w:r w:rsidR="00891F14" w:rsidRPr="00A260FB">
        <w:rPr>
          <w:sz w:val="24"/>
          <w:szCs w:val="24"/>
        </w:rPr>
        <w:t>upplement</w:t>
      </w:r>
      <w:r w:rsidRPr="00A260FB">
        <w:rPr>
          <w:sz w:val="24"/>
          <w:szCs w:val="24"/>
        </w:rPr>
        <w:t>al</w:t>
      </w:r>
      <w:r w:rsidR="00891F14" w:rsidRPr="00A260FB">
        <w:rPr>
          <w:sz w:val="24"/>
          <w:szCs w:val="24"/>
        </w:rPr>
        <w:t xml:space="preserve"> accounts that expand the analytical capacity of the </w:t>
      </w:r>
      <w:r w:rsidR="00992BD2" w:rsidRPr="00A260FB">
        <w:rPr>
          <w:sz w:val="24"/>
          <w:szCs w:val="24"/>
        </w:rPr>
        <w:t xml:space="preserve">national and industry economic accounts </w:t>
      </w:r>
      <w:r w:rsidR="00891F14" w:rsidRPr="00A260FB">
        <w:rPr>
          <w:sz w:val="24"/>
          <w:szCs w:val="24"/>
        </w:rPr>
        <w:t xml:space="preserve">by focusing on a particular aspect of economic activity. </w:t>
      </w:r>
      <w:r w:rsidR="00992BD2" w:rsidRPr="00A260FB">
        <w:rPr>
          <w:sz w:val="24"/>
          <w:szCs w:val="24"/>
        </w:rPr>
        <w:t xml:space="preserve">  These </w:t>
      </w:r>
      <w:r w:rsidR="00891F14" w:rsidRPr="00A260FB">
        <w:rPr>
          <w:sz w:val="24"/>
          <w:szCs w:val="24"/>
        </w:rPr>
        <w:t>accounts are designed to provide more detailed information within a framework that is conceptually and statistically consistent with BEA’s principal economic accounts</w:t>
      </w:r>
      <w:r w:rsidR="00992BD2" w:rsidRPr="00A260FB">
        <w:rPr>
          <w:sz w:val="24"/>
          <w:szCs w:val="24"/>
        </w:rPr>
        <w:t>, while not interfering with the core accounts</w:t>
      </w:r>
      <w:r w:rsidR="00891F14" w:rsidRPr="00A260FB">
        <w:rPr>
          <w:sz w:val="24"/>
          <w:szCs w:val="24"/>
        </w:rPr>
        <w:t xml:space="preserve">. </w:t>
      </w:r>
      <w:r w:rsidR="00992BD2" w:rsidRPr="00A260FB">
        <w:rPr>
          <w:sz w:val="24"/>
          <w:szCs w:val="24"/>
        </w:rPr>
        <w:t xml:space="preserve">  </w:t>
      </w:r>
    </w:p>
    <w:p w:rsidR="003E4381" w:rsidRDefault="00992BD2" w:rsidP="00726D77">
      <w:pPr>
        <w:rPr>
          <w:sz w:val="24"/>
          <w:szCs w:val="24"/>
        </w:rPr>
      </w:pPr>
      <w:r w:rsidRPr="00A260FB">
        <w:rPr>
          <w:sz w:val="24"/>
          <w:szCs w:val="24"/>
        </w:rPr>
        <w:t xml:space="preserve">Satellite accounts may also provide a laboratory for experimenting and developing concepts and methodologies that are </w:t>
      </w:r>
      <w:r w:rsidR="003E4381" w:rsidRPr="00A260FB">
        <w:rPr>
          <w:sz w:val="24"/>
          <w:szCs w:val="24"/>
        </w:rPr>
        <w:t>not ready</w:t>
      </w:r>
      <w:r w:rsidR="007131D7" w:rsidRPr="00A260FB">
        <w:rPr>
          <w:sz w:val="24"/>
          <w:szCs w:val="24"/>
        </w:rPr>
        <w:t xml:space="preserve"> for implementation into the </w:t>
      </w:r>
      <w:r w:rsidRPr="00A260FB">
        <w:rPr>
          <w:sz w:val="24"/>
          <w:szCs w:val="24"/>
        </w:rPr>
        <w:t xml:space="preserve">core </w:t>
      </w:r>
      <w:r w:rsidR="003001E7">
        <w:rPr>
          <w:sz w:val="24"/>
          <w:szCs w:val="24"/>
        </w:rPr>
        <w:t>accounts</w:t>
      </w:r>
      <w:r w:rsidR="007131D7" w:rsidRPr="00A260FB">
        <w:rPr>
          <w:sz w:val="24"/>
          <w:szCs w:val="24"/>
        </w:rPr>
        <w:t xml:space="preserve">.  </w:t>
      </w:r>
      <w:r w:rsidRPr="00A260FB">
        <w:rPr>
          <w:sz w:val="24"/>
          <w:szCs w:val="24"/>
        </w:rPr>
        <w:t xml:space="preserve">For example, </w:t>
      </w:r>
      <w:r w:rsidR="00C76D12">
        <w:rPr>
          <w:sz w:val="24"/>
          <w:szCs w:val="24"/>
        </w:rPr>
        <w:t xml:space="preserve">in 1994 </w:t>
      </w:r>
      <w:r w:rsidRPr="00A260FB">
        <w:rPr>
          <w:sz w:val="24"/>
          <w:szCs w:val="24"/>
        </w:rPr>
        <w:t xml:space="preserve">BEA first began experimenting with the </w:t>
      </w:r>
      <w:r w:rsidR="003001E7">
        <w:rPr>
          <w:sz w:val="24"/>
          <w:szCs w:val="24"/>
        </w:rPr>
        <w:t>concept</w:t>
      </w:r>
      <w:r w:rsidRPr="00A260FB">
        <w:rPr>
          <w:sz w:val="24"/>
          <w:szCs w:val="24"/>
        </w:rPr>
        <w:t xml:space="preserve"> of recognizing research and development expenditures as capital </w:t>
      </w:r>
      <w:r w:rsidR="003001E7">
        <w:rPr>
          <w:sz w:val="24"/>
          <w:szCs w:val="24"/>
        </w:rPr>
        <w:t>using the satellite account concept</w:t>
      </w:r>
      <w:r w:rsidRPr="00A260FB">
        <w:rPr>
          <w:sz w:val="24"/>
          <w:szCs w:val="24"/>
        </w:rPr>
        <w:t>.</w:t>
      </w:r>
      <w:r w:rsidRPr="00A260FB">
        <w:rPr>
          <w:rStyle w:val="FootnoteReference"/>
          <w:sz w:val="24"/>
          <w:szCs w:val="24"/>
        </w:rPr>
        <w:footnoteReference w:id="1"/>
      </w:r>
      <w:r w:rsidR="007131D7" w:rsidRPr="00A260FB">
        <w:rPr>
          <w:sz w:val="24"/>
          <w:szCs w:val="24"/>
        </w:rPr>
        <w:t xml:space="preserve">  By first </w:t>
      </w:r>
      <w:r w:rsidR="003C73B6" w:rsidRPr="00A260FB">
        <w:rPr>
          <w:sz w:val="24"/>
          <w:szCs w:val="24"/>
        </w:rPr>
        <w:t xml:space="preserve">presenting these estimates </w:t>
      </w:r>
      <w:r w:rsidR="007131D7" w:rsidRPr="00A260FB">
        <w:rPr>
          <w:sz w:val="24"/>
          <w:szCs w:val="24"/>
        </w:rPr>
        <w:t xml:space="preserve">in </w:t>
      </w:r>
      <w:r w:rsidR="003001E7">
        <w:rPr>
          <w:sz w:val="24"/>
          <w:szCs w:val="24"/>
        </w:rPr>
        <w:t>this way</w:t>
      </w:r>
      <w:r w:rsidR="007131D7" w:rsidRPr="00A260FB">
        <w:rPr>
          <w:sz w:val="24"/>
          <w:szCs w:val="24"/>
        </w:rPr>
        <w:t xml:space="preserve">, BEA was able to </w:t>
      </w:r>
      <w:r w:rsidR="003C73B6" w:rsidRPr="00A260FB">
        <w:rPr>
          <w:sz w:val="24"/>
          <w:szCs w:val="24"/>
        </w:rPr>
        <w:t xml:space="preserve">publish statistics as “experimental” and </w:t>
      </w:r>
      <w:r w:rsidR="007131D7" w:rsidRPr="00A260FB">
        <w:rPr>
          <w:sz w:val="24"/>
          <w:szCs w:val="24"/>
        </w:rPr>
        <w:t xml:space="preserve">solicit </w:t>
      </w:r>
      <w:r w:rsidR="007131D7" w:rsidRPr="00A260FB">
        <w:rPr>
          <w:sz w:val="24"/>
          <w:szCs w:val="24"/>
        </w:rPr>
        <w:lastRenderedPageBreak/>
        <w:t xml:space="preserve">important </w:t>
      </w:r>
      <w:r w:rsidR="003C73B6" w:rsidRPr="00A260FB">
        <w:rPr>
          <w:sz w:val="24"/>
          <w:szCs w:val="24"/>
        </w:rPr>
        <w:t xml:space="preserve">conceptual and practical </w:t>
      </w:r>
      <w:r w:rsidR="007131D7" w:rsidRPr="00A260FB">
        <w:rPr>
          <w:sz w:val="24"/>
          <w:szCs w:val="24"/>
        </w:rPr>
        <w:t xml:space="preserve">feedback </w:t>
      </w:r>
      <w:r w:rsidR="003C73B6" w:rsidRPr="00A260FB">
        <w:rPr>
          <w:sz w:val="24"/>
          <w:szCs w:val="24"/>
        </w:rPr>
        <w:t xml:space="preserve">regarding </w:t>
      </w:r>
      <w:r w:rsidR="006B1C82">
        <w:rPr>
          <w:sz w:val="24"/>
          <w:szCs w:val="24"/>
        </w:rPr>
        <w:t xml:space="preserve">complex </w:t>
      </w:r>
      <w:r w:rsidR="007131D7" w:rsidRPr="00A260FB">
        <w:rPr>
          <w:sz w:val="24"/>
          <w:szCs w:val="24"/>
        </w:rPr>
        <w:t>measurement issues</w:t>
      </w:r>
      <w:r w:rsidR="003C73B6" w:rsidRPr="00A260FB">
        <w:rPr>
          <w:sz w:val="24"/>
          <w:szCs w:val="24"/>
        </w:rPr>
        <w:t xml:space="preserve">.  Based on both external and internal feedback, </w:t>
      </w:r>
      <w:r w:rsidR="007131D7" w:rsidRPr="00A260FB">
        <w:rPr>
          <w:sz w:val="24"/>
          <w:szCs w:val="24"/>
        </w:rPr>
        <w:t xml:space="preserve">the </w:t>
      </w:r>
      <w:r w:rsidR="003E4381" w:rsidRPr="00A260FB">
        <w:rPr>
          <w:sz w:val="24"/>
          <w:szCs w:val="24"/>
        </w:rPr>
        <w:t>methodology used</w:t>
      </w:r>
      <w:r w:rsidR="007131D7" w:rsidRPr="00A260FB">
        <w:rPr>
          <w:sz w:val="24"/>
          <w:szCs w:val="24"/>
        </w:rPr>
        <w:t xml:space="preserve"> to prepare these statistics </w:t>
      </w:r>
      <w:r w:rsidR="003001E7">
        <w:rPr>
          <w:sz w:val="24"/>
          <w:szCs w:val="24"/>
        </w:rPr>
        <w:t xml:space="preserve">was </w:t>
      </w:r>
      <w:r w:rsidR="003C73B6" w:rsidRPr="00A260FB">
        <w:rPr>
          <w:sz w:val="24"/>
          <w:szCs w:val="24"/>
        </w:rPr>
        <w:t>improved over</w:t>
      </w:r>
      <w:r w:rsidR="003001E7">
        <w:rPr>
          <w:sz w:val="24"/>
          <w:szCs w:val="24"/>
        </w:rPr>
        <w:t xml:space="preserve"> </w:t>
      </w:r>
      <w:r w:rsidR="003C73B6" w:rsidRPr="00A260FB">
        <w:rPr>
          <w:sz w:val="24"/>
          <w:szCs w:val="24"/>
        </w:rPr>
        <w:t xml:space="preserve">time </w:t>
      </w:r>
      <w:r w:rsidR="007131D7" w:rsidRPr="00A260FB">
        <w:rPr>
          <w:sz w:val="24"/>
          <w:szCs w:val="24"/>
        </w:rPr>
        <w:t xml:space="preserve">and </w:t>
      </w:r>
      <w:r w:rsidR="00313460">
        <w:rPr>
          <w:sz w:val="24"/>
          <w:szCs w:val="24"/>
        </w:rPr>
        <w:t xml:space="preserve">these statistics </w:t>
      </w:r>
      <w:r w:rsidR="003C73B6" w:rsidRPr="00A260FB">
        <w:rPr>
          <w:sz w:val="24"/>
          <w:szCs w:val="24"/>
        </w:rPr>
        <w:t xml:space="preserve">were </w:t>
      </w:r>
      <w:r w:rsidR="007131D7" w:rsidRPr="00A260FB">
        <w:rPr>
          <w:sz w:val="24"/>
          <w:szCs w:val="24"/>
        </w:rPr>
        <w:t>eventually fully implement</w:t>
      </w:r>
      <w:r w:rsidR="006B359D" w:rsidRPr="00A260FB">
        <w:rPr>
          <w:sz w:val="24"/>
          <w:szCs w:val="24"/>
        </w:rPr>
        <w:t>ed</w:t>
      </w:r>
      <w:r w:rsidR="007131D7" w:rsidRPr="00A260FB">
        <w:rPr>
          <w:sz w:val="24"/>
          <w:szCs w:val="24"/>
        </w:rPr>
        <w:t xml:space="preserve"> into the core U.S. economic accounts</w:t>
      </w:r>
      <w:r w:rsidR="003001E7">
        <w:rPr>
          <w:sz w:val="24"/>
          <w:szCs w:val="24"/>
        </w:rPr>
        <w:t xml:space="preserve"> during the lat</w:t>
      </w:r>
      <w:r w:rsidR="005F2760">
        <w:rPr>
          <w:sz w:val="24"/>
          <w:szCs w:val="24"/>
        </w:rPr>
        <w:t>est</w:t>
      </w:r>
      <w:r w:rsidR="003001E7">
        <w:rPr>
          <w:sz w:val="24"/>
          <w:szCs w:val="24"/>
        </w:rPr>
        <w:t xml:space="preserve"> comprehensive revision</w:t>
      </w:r>
      <w:r w:rsidR="005F2760">
        <w:rPr>
          <w:sz w:val="24"/>
          <w:szCs w:val="24"/>
        </w:rPr>
        <w:t xml:space="preserve"> of the</w:t>
      </w:r>
      <w:r w:rsidR="00907743">
        <w:rPr>
          <w:sz w:val="24"/>
          <w:szCs w:val="24"/>
        </w:rPr>
        <w:t xml:space="preserve"> a</w:t>
      </w:r>
      <w:r w:rsidR="005F2760">
        <w:rPr>
          <w:sz w:val="24"/>
          <w:szCs w:val="24"/>
        </w:rPr>
        <w:t>ccounts</w:t>
      </w:r>
      <w:r w:rsidR="003E4381">
        <w:rPr>
          <w:sz w:val="24"/>
          <w:szCs w:val="24"/>
        </w:rPr>
        <w:t xml:space="preserve">.  </w:t>
      </w:r>
    </w:p>
    <w:p w:rsidR="00A565AF" w:rsidRDefault="003E4381" w:rsidP="00726D77">
      <w:pPr>
        <w:rPr>
          <w:sz w:val="24"/>
          <w:szCs w:val="24"/>
        </w:rPr>
      </w:pPr>
      <w:r>
        <w:rPr>
          <w:sz w:val="24"/>
          <w:szCs w:val="24"/>
        </w:rPr>
        <w:t xml:space="preserve">Other examples where BEA has successfully developed satellite accounts include transportation, and travel and tourism.   The transportation satellite account was first </w:t>
      </w:r>
      <w:r w:rsidR="00A507C0">
        <w:rPr>
          <w:sz w:val="24"/>
          <w:szCs w:val="24"/>
        </w:rPr>
        <w:t>released by</w:t>
      </w:r>
      <w:r>
        <w:rPr>
          <w:sz w:val="24"/>
          <w:szCs w:val="24"/>
        </w:rPr>
        <w:t xml:space="preserve"> BEA in 1998</w:t>
      </w:r>
      <w:r w:rsidR="00A565AF">
        <w:rPr>
          <w:sz w:val="24"/>
          <w:szCs w:val="24"/>
        </w:rPr>
        <w:t xml:space="preserve"> with estimates for 1992</w:t>
      </w:r>
      <w:r>
        <w:rPr>
          <w:sz w:val="24"/>
          <w:szCs w:val="24"/>
        </w:rPr>
        <w:t xml:space="preserve"> and was eventually turned over to the Department of Transportation</w:t>
      </w:r>
      <w:r w:rsidR="003F6F34">
        <w:rPr>
          <w:sz w:val="24"/>
          <w:szCs w:val="24"/>
        </w:rPr>
        <w:t>’</w:t>
      </w:r>
      <w:r>
        <w:rPr>
          <w:sz w:val="24"/>
          <w:szCs w:val="24"/>
        </w:rPr>
        <w:t>s Bureau of Transportation Statistics.  This satellite account provided important details</w:t>
      </w:r>
      <w:r w:rsidR="003F6F34">
        <w:rPr>
          <w:sz w:val="24"/>
          <w:szCs w:val="24"/>
        </w:rPr>
        <w:t xml:space="preserve"> on how industries produce and consume this important service</w:t>
      </w:r>
      <w:r w:rsidR="00D755F8">
        <w:rPr>
          <w:sz w:val="24"/>
          <w:szCs w:val="24"/>
        </w:rPr>
        <w:t xml:space="preserve">, including </w:t>
      </w:r>
      <w:r w:rsidR="00A565AF">
        <w:rPr>
          <w:sz w:val="24"/>
          <w:szCs w:val="24"/>
        </w:rPr>
        <w:t>a more comprehensive measure of all transportation activities regardless of the industry that provided it.</w:t>
      </w:r>
      <w:r w:rsidR="00D755F8">
        <w:rPr>
          <w:rStyle w:val="FootnoteReference"/>
          <w:sz w:val="24"/>
          <w:szCs w:val="24"/>
        </w:rPr>
        <w:footnoteReference w:id="2"/>
      </w:r>
    </w:p>
    <w:p w:rsidR="002B71BE" w:rsidRDefault="003E4381" w:rsidP="00726D77">
      <w:pPr>
        <w:rPr>
          <w:sz w:val="24"/>
          <w:szCs w:val="24"/>
        </w:rPr>
      </w:pPr>
      <w:r>
        <w:rPr>
          <w:sz w:val="24"/>
          <w:szCs w:val="24"/>
        </w:rPr>
        <w:t xml:space="preserve">The travel and tourism satellite account </w:t>
      </w:r>
      <w:r w:rsidR="005F2760">
        <w:rPr>
          <w:sz w:val="24"/>
          <w:szCs w:val="24"/>
        </w:rPr>
        <w:t xml:space="preserve">(TTSA) </w:t>
      </w:r>
      <w:r>
        <w:rPr>
          <w:sz w:val="24"/>
          <w:szCs w:val="24"/>
        </w:rPr>
        <w:t xml:space="preserve">was first introduced in </w:t>
      </w:r>
      <w:r w:rsidR="003D07A9">
        <w:rPr>
          <w:sz w:val="24"/>
          <w:szCs w:val="24"/>
        </w:rPr>
        <w:t xml:space="preserve">1998 and has evolved </w:t>
      </w:r>
      <w:r w:rsidR="005F2760">
        <w:rPr>
          <w:sz w:val="24"/>
          <w:szCs w:val="24"/>
        </w:rPr>
        <w:t>significantly</w:t>
      </w:r>
      <w:r w:rsidR="003D07A9">
        <w:rPr>
          <w:sz w:val="24"/>
          <w:szCs w:val="24"/>
        </w:rPr>
        <w:t xml:space="preserve"> since then.  </w:t>
      </w:r>
      <w:r w:rsidR="00DF4523" w:rsidRPr="00DF4523">
        <w:rPr>
          <w:sz w:val="24"/>
          <w:szCs w:val="24"/>
        </w:rPr>
        <w:t xml:space="preserve"> </w:t>
      </w:r>
      <w:r w:rsidR="00D51EC5">
        <w:rPr>
          <w:sz w:val="24"/>
          <w:szCs w:val="24"/>
        </w:rPr>
        <w:t>Initially, t</w:t>
      </w:r>
      <w:r w:rsidR="00A15FF5">
        <w:rPr>
          <w:sz w:val="24"/>
          <w:szCs w:val="24"/>
        </w:rPr>
        <w:t xml:space="preserve">he </w:t>
      </w:r>
      <w:r w:rsidR="00DF4523" w:rsidRPr="00E2472B">
        <w:rPr>
          <w:sz w:val="24"/>
          <w:szCs w:val="24"/>
        </w:rPr>
        <w:t>TTSA</w:t>
      </w:r>
      <w:r w:rsidR="00A15FF5">
        <w:rPr>
          <w:sz w:val="24"/>
          <w:szCs w:val="24"/>
        </w:rPr>
        <w:t xml:space="preserve"> </w:t>
      </w:r>
      <w:r w:rsidR="00D51EC5">
        <w:rPr>
          <w:sz w:val="24"/>
          <w:szCs w:val="24"/>
        </w:rPr>
        <w:t>measures</w:t>
      </w:r>
      <w:r w:rsidR="00A15FF5">
        <w:rPr>
          <w:sz w:val="24"/>
          <w:szCs w:val="24"/>
        </w:rPr>
        <w:t xml:space="preserve"> were</w:t>
      </w:r>
      <w:r w:rsidR="00DF4523">
        <w:rPr>
          <w:sz w:val="24"/>
          <w:szCs w:val="24"/>
        </w:rPr>
        <w:t xml:space="preserve"> </w:t>
      </w:r>
      <w:r w:rsidR="00DF4523" w:rsidRPr="00E2472B">
        <w:rPr>
          <w:sz w:val="24"/>
          <w:szCs w:val="24"/>
        </w:rPr>
        <w:t xml:space="preserve">annual </w:t>
      </w:r>
      <w:r w:rsidR="00A15FF5">
        <w:rPr>
          <w:sz w:val="24"/>
          <w:szCs w:val="24"/>
        </w:rPr>
        <w:t xml:space="preserve">and </w:t>
      </w:r>
      <w:r w:rsidR="00DF4523">
        <w:rPr>
          <w:sz w:val="24"/>
          <w:szCs w:val="24"/>
        </w:rPr>
        <w:t xml:space="preserve">current-dollar only, and </w:t>
      </w:r>
      <w:r w:rsidR="005F2760">
        <w:rPr>
          <w:sz w:val="24"/>
          <w:szCs w:val="24"/>
        </w:rPr>
        <w:t xml:space="preserve">they </w:t>
      </w:r>
      <w:r w:rsidR="00DF4523">
        <w:rPr>
          <w:sz w:val="24"/>
          <w:szCs w:val="24"/>
        </w:rPr>
        <w:t xml:space="preserve">were not </w:t>
      </w:r>
      <w:r w:rsidR="00DF4523" w:rsidRPr="00E2472B">
        <w:rPr>
          <w:sz w:val="24"/>
          <w:szCs w:val="24"/>
        </w:rPr>
        <w:t>directly tied to the time-series of</w:t>
      </w:r>
      <w:r w:rsidR="00DF4523">
        <w:rPr>
          <w:sz w:val="24"/>
          <w:szCs w:val="24"/>
        </w:rPr>
        <w:t xml:space="preserve"> annual</w:t>
      </w:r>
      <w:r w:rsidR="00DF4523" w:rsidRPr="00E2472B">
        <w:rPr>
          <w:sz w:val="24"/>
          <w:szCs w:val="24"/>
        </w:rPr>
        <w:t xml:space="preserve"> I-O </w:t>
      </w:r>
      <w:r w:rsidR="00CA1EBF">
        <w:rPr>
          <w:sz w:val="24"/>
          <w:szCs w:val="24"/>
        </w:rPr>
        <w:t>tables</w:t>
      </w:r>
      <w:r w:rsidR="002378E1">
        <w:rPr>
          <w:sz w:val="24"/>
          <w:szCs w:val="24"/>
        </w:rPr>
        <w:t xml:space="preserve"> </w:t>
      </w:r>
      <w:r w:rsidR="006D2D8C">
        <w:rPr>
          <w:sz w:val="24"/>
          <w:szCs w:val="24"/>
        </w:rPr>
        <w:t xml:space="preserve">(i.e. </w:t>
      </w:r>
      <w:r w:rsidR="002378E1">
        <w:rPr>
          <w:sz w:val="24"/>
          <w:szCs w:val="24"/>
        </w:rPr>
        <w:t>not fully integrated</w:t>
      </w:r>
      <w:r w:rsidR="006D2D8C">
        <w:rPr>
          <w:sz w:val="24"/>
          <w:szCs w:val="24"/>
        </w:rPr>
        <w:t>)</w:t>
      </w:r>
      <w:r w:rsidR="00DF4523" w:rsidRPr="00E2472B">
        <w:rPr>
          <w:sz w:val="24"/>
          <w:szCs w:val="24"/>
        </w:rPr>
        <w:t xml:space="preserve">.  </w:t>
      </w:r>
      <w:r w:rsidR="00A15FF5">
        <w:rPr>
          <w:sz w:val="24"/>
          <w:szCs w:val="24"/>
        </w:rPr>
        <w:t>Several years later</w:t>
      </w:r>
      <w:r w:rsidR="0041259D">
        <w:rPr>
          <w:sz w:val="24"/>
          <w:szCs w:val="24"/>
        </w:rPr>
        <w:t>,</w:t>
      </w:r>
      <w:r w:rsidR="00A15FF5">
        <w:rPr>
          <w:sz w:val="24"/>
          <w:szCs w:val="24"/>
        </w:rPr>
        <w:t xml:space="preserve"> c</w:t>
      </w:r>
      <w:r w:rsidR="00DF4523" w:rsidRPr="00E2472B">
        <w:rPr>
          <w:sz w:val="24"/>
          <w:szCs w:val="24"/>
        </w:rPr>
        <w:t xml:space="preserve">oncordances were created to </w:t>
      </w:r>
      <w:r w:rsidR="006D2D8C">
        <w:rPr>
          <w:sz w:val="24"/>
          <w:szCs w:val="24"/>
        </w:rPr>
        <w:t xml:space="preserve">fully integrate </w:t>
      </w:r>
      <w:r w:rsidR="00DF4523" w:rsidRPr="00E2472B">
        <w:rPr>
          <w:sz w:val="24"/>
          <w:szCs w:val="24"/>
        </w:rPr>
        <w:t xml:space="preserve">the account </w:t>
      </w:r>
      <w:r w:rsidR="006D2D8C">
        <w:rPr>
          <w:sz w:val="24"/>
          <w:szCs w:val="24"/>
        </w:rPr>
        <w:t>in</w:t>
      </w:r>
      <w:r w:rsidR="00DF4523" w:rsidRPr="00E2472B">
        <w:rPr>
          <w:sz w:val="24"/>
          <w:szCs w:val="24"/>
        </w:rPr>
        <w:t xml:space="preserve">to the </w:t>
      </w:r>
      <w:r w:rsidR="006D2D8C">
        <w:rPr>
          <w:sz w:val="24"/>
          <w:szCs w:val="24"/>
        </w:rPr>
        <w:t>annual industry accounts</w:t>
      </w:r>
      <w:r w:rsidR="005C26DD">
        <w:rPr>
          <w:sz w:val="24"/>
          <w:szCs w:val="24"/>
        </w:rPr>
        <w:t xml:space="preserve"> rather t</w:t>
      </w:r>
      <w:r w:rsidR="00DF4523" w:rsidRPr="00E2472B">
        <w:rPr>
          <w:sz w:val="24"/>
          <w:szCs w:val="24"/>
        </w:rPr>
        <w:t xml:space="preserve">han </w:t>
      </w:r>
      <w:r w:rsidR="00D51EC5">
        <w:rPr>
          <w:sz w:val="24"/>
          <w:szCs w:val="24"/>
        </w:rPr>
        <w:t xml:space="preserve">to </w:t>
      </w:r>
      <w:r w:rsidR="00DF4523" w:rsidRPr="00E2472B">
        <w:rPr>
          <w:sz w:val="24"/>
          <w:szCs w:val="24"/>
        </w:rPr>
        <w:t xml:space="preserve">a single </w:t>
      </w:r>
      <w:r w:rsidR="00D51EC5">
        <w:rPr>
          <w:sz w:val="24"/>
          <w:szCs w:val="24"/>
        </w:rPr>
        <w:t>b</w:t>
      </w:r>
      <w:r w:rsidR="00DF4523" w:rsidRPr="00E2472B">
        <w:rPr>
          <w:sz w:val="24"/>
          <w:szCs w:val="24"/>
        </w:rPr>
        <w:t>enchmark</w:t>
      </w:r>
      <w:r w:rsidR="00D51EC5">
        <w:rPr>
          <w:sz w:val="24"/>
          <w:szCs w:val="24"/>
        </w:rPr>
        <w:t xml:space="preserve">-year </w:t>
      </w:r>
      <w:r w:rsidR="00DF4523" w:rsidRPr="00E2472B">
        <w:rPr>
          <w:sz w:val="24"/>
          <w:szCs w:val="24"/>
        </w:rPr>
        <w:t xml:space="preserve">I-O table. </w:t>
      </w:r>
      <w:r w:rsidR="00A15FF5">
        <w:rPr>
          <w:sz w:val="24"/>
          <w:szCs w:val="24"/>
        </w:rPr>
        <w:t xml:space="preserve"> </w:t>
      </w:r>
      <w:r w:rsidR="00D51EC5">
        <w:rPr>
          <w:sz w:val="24"/>
          <w:szCs w:val="24"/>
        </w:rPr>
        <w:t>Next, c</w:t>
      </w:r>
      <w:r w:rsidR="00DF4523" w:rsidRPr="00E2472B">
        <w:rPr>
          <w:sz w:val="24"/>
          <w:szCs w:val="24"/>
        </w:rPr>
        <w:t>hain</w:t>
      </w:r>
      <w:r w:rsidR="003366EA">
        <w:rPr>
          <w:sz w:val="24"/>
          <w:szCs w:val="24"/>
        </w:rPr>
        <w:t xml:space="preserve">-type </w:t>
      </w:r>
      <w:r w:rsidR="00DF4523">
        <w:rPr>
          <w:sz w:val="24"/>
          <w:szCs w:val="24"/>
        </w:rPr>
        <w:t xml:space="preserve">volume measures </w:t>
      </w:r>
      <w:r w:rsidR="00DF4523" w:rsidRPr="00E2472B">
        <w:rPr>
          <w:sz w:val="24"/>
          <w:szCs w:val="24"/>
        </w:rPr>
        <w:t>were</w:t>
      </w:r>
      <w:r w:rsidR="004B4F98">
        <w:rPr>
          <w:sz w:val="24"/>
          <w:szCs w:val="24"/>
        </w:rPr>
        <w:t xml:space="preserve"> </w:t>
      </w:r>
      <w:r w:rsidR="00DF4523" w:rsidRPr="00E2472B">
        <w:rPr>
          <w:sz w:val="24"/>
          <w:szCs w:val="24"/>
        </w:rPr>
        <w:t>introduced</w:t>
      </w:r>
      <w:r w:rsidR="004B4F98">
        <w:rPr>
          <w:sz w:val="24"/>
          <w:szCs w:val="24"/>
        </w:rPr>
        <w:t>,</w:t>
      </w:r>
      <w:r w:rsidR="00DF4523" w:rsidRPr="00E2472B">
        <w:rPr>
          <w:sz w:val="24"/>
          <w:szCs w:val="24"/>
        </w:rPr>
        <w:t xml:space="preserve"> which </w:t>
      </w:r>
      <w:r w:rsidR="00D51EC5">
        <w:rPr>
          <w:sz w:val="24"/>
          <w:szCs w:val="24"/>
        </w:rPr>
        <w:t xml:space="preserve">considerably improved the </w:t>
      </w:r>
      <w:r w:rsidR="00907743">
        <w:rPr>
          <w:sz w:val="24"/>
          <w:szCs w:val="24"/>
        </w:rPr>
        <w:t xml:space="preserve">usefulness of these </w:t>
      </w:r>
      <w:r w:rsidR="00D51EC5">
        <w:rPr>
          <w:sz w:val="24"/>
          <w:szCs w:val="24"/>
        </w:rPr>
        <w:t>estimates</w:t>
      </w:r>
      <w:r w:rsidR="00DF4523" w:rsidRPr="00E2472B">
        <w:rPr>
          <w:sz w:val="24"/>
          <w:szCs w:val="24"/>
        </w:rPr>
        <w:t xml:space="preserve"> given the price volatility of some of the commodities involved.  </w:t>
      </w:r>
      <w:r w:rsidR="00D51EC5">
        <w:rPr>
          <w:sz w:val="24"/>
          <w:szCs w:val="24"/>
        </w:rPr>
        <w:t>Lastly, in response to t</w:t>
      </w:r>
      <w:r w:rsidR="00DF4523" w:rsidRPr="00E2472B">
        <w:rPr>
          <w:sz w:val="24"/>
          <w:szCs w:val="24"/>
        </w:rPr>
        <w:t>he terror</w:t>
      </w:r>
      <w:r w:rsidR="00DF4523">
        <w:rPr>
          <w:sz w:val="24"/>
          <w:szCs w:val="24"/>
        </w:rPr>
        <w:t>ist</w:t>
      </w:r>
      <w:r w:rsidR="00DF4523" w:rsidRPr="00E2472B">
        <w:rPr>
          <w:sz w:val="24"/>
          <w:szCs w:val="24"/>
        </w:rPr>
        <w:t xml:space="preserve"> attacks on </w:t>
      </w:r>
      <w:r w:rsidR="00A15FF5">
        <w:rPr>
          <w:sz w:val="24"/>
          <w:szCs w:val="24"/>
        </w:rPr>
        <w:t>the United States o</w:t>
      </w:r>
      <w:r w:rsidR="00076F9B">
        <w:rPr>
          <w:sz w:val="24"/>
          <w:szCs w:val="24"/>
        </w:rPr>
        <w:t>n</w:t>
      </w:r>
      <w:r w:rsidR="00A15FF5">
        <w:rPr>
          <w:sz w:val="24"/>
          <w:szCs w:val="24"/>
        </w:rPr>
        <w:t xml:space="preserve"> </w:t>
      </w:r>
      <w:r w:rsidR="00DF4523">
        <w:rPr>
          <w:sz w:val="24"/>
          <w:szCs w:val="24"/>
        </w:rPr>
        <w:t xml:space="preserve">September 11, 2001 </w:t>
      </w:r>
      <w:r w:rsidR="00D51EC5">
        <w:rPr>
          <w:sz w:val="24"/>
          <w:szCs w:val="24"/>
        </w:rPr>
        <w:t xml:space="preserve">that </w:t>
      </w:r>
      <w:r w:rsidR="00DF4523" w:rsidRPr="00E2472B">
        <w:rPr>
          <w:sz w:val="24"/>
          <w:szCs w:val="24"/>
        </w:rPr>
        <w:t>devastated travel and tourism</w:t>
      </w:r>
      <w:r w:rsidR="00CA0475">
        <w:rPr>
          <w:sz w:val="24"/>
          <w:szCs w:val="24"/>
        </w:rPr>
        <w:t>,</w:t>
      </w:r>
      <w:r w:rsidR="004B4F98">
        <w:rPr>
          <w:sz w:val="24"/>
          <w:szCs w:val="24"/>
        </w:rPr>
        <w:t xml:space="preserve"> </w:t>
      </w:r>
      <w:r w:rsidR="00DF4523" w:rsidRPr="00E2472B">
        <w:rPr>
          <w:sz w:val="24"/>
          <w:szCs w:val="24"/>
        </w:rPr>
        <w:t>BEA develop</w:t>
      </w:r>
      <w:r w:rsidR="00A15FF5">
        <w:rPr>
          <w:sz w:val="24"/>
          <w:szCs w:val="24"/>
        </w:rPr>
        <w:t>ed</w:t>
      </w:r>
      <w:r w:rsidR="00DF4523" w:rsidRPr="00E2472B">
        <w:rPr>
          <w:sz w:val="24"/>
          <w:szCs w:val="24"/>
        </w:rPr>
        <w:t xml:space="preserve"> quarterly </w:t>
      </w:r>
      <w:r w:rsidR="00DF4523">
        <w:rPr>
          <w:sz w:val="24"/>
          <w:szCs w:val="24"/>
        </w:rPr>
        <w:t xml:space="preserve">TTSA </w:t>
      </w:r>
      <w:r w:rsidR="00D51EC5">
        <w:rPr>
          <w:sz w:val="24"/>
          <w:szCs w:val="24"/>
        </w:rPr>
        <w:t>measures</w:t>
      </w:r>
      <w:r w:rsidR="00CA0475">
        <w:rPr>
          <w:sz w:val="24"/>
          <w:szCs w:val="24"/>
        </w:rPr>
        <w:t xml:space="preserve"> in order better </w:t>
      </w:r>
      <w:r w:rsidR="00D51EC5">
        <w:rPr>
          <w:sz w:val="24"/>
          <w:szCs w:val="24"/>
        </w:rPr>
        <w:t>analyze t</w:t>
      </w:r>
      <w:r w:rsidR="00D51EC5" w:rsidRPr="00E2472B">
        <w:rPr>
          <w:sz w:val="24"/>
          <w:szCs w:val="24"/>
        </w:rPr>
        <w:t>he recovery</w:t>
      </w:r>
      <w:r w:rsidR="00CA0475">
        <w:rPr>
          <w:sz w:val="24"/>
          <w:szCs w:val="24"/>
        </w:rPr>
        <w:t xml:space="preserve">.  These </w:t>
      </w:r>
      <w:r w:rsidR="00D51EC5">
        <w:rPr>
          <w:sz w:val="24"/>
          <w:szCs w:val="24"/>
        </w:rPr>
        <w:t>statistics</w:t>
      </w:r>
      <w:r w:rsidR="003F2A66">
        <w:rPr>
          <w:sz w:val="24"/>
          <w:szCs w:val="24"/>
        </w:rPr>
        <w:t xml:space="preserve"> </w:t>
      </w:r>
      <w:r w:rsidR="005F2760">
        <w:rPr>
          <w:sz w:val="24"/>
          <w:szCs w:val="24"/>
        </w:rPr>
        <w:t>continue to be</w:t>
      </w:r>
      <w:r w:rsidR="003F2A66">
        <w:rPr>
          <w:sz w:val="24"/>
          <w:szCs w:val="24"/>
        </w:rPr>
        <w:t xml:space="preserve"> produced today.</w:t>
      </w:r>
      <w:r w:rsidR="00DF4523" w:rsidRPr="00E2472B">
        <w:rPr>
          <w:sz w:val="24"/>
          <w:szCs w:val="24"/>
        </w:rPr>
        <w:t xml:space="preserve">  </w:t>
      </w:r>
    </w:p>
    <w:p w:rsidR="00FD3EDA" w:rsidRDefault="00FD3EDA" w:rsidP="00726D77">
      <w:pPr>
        <w:rPr>
          <w:b/>
          <w:sz w:val="28"/>
          <w:szCs w:val="28"/>
        </w:rPr>
      </w:pPr>
    </w:p>
    <w:p w:rsidR="005D2295" w:rsidRDefault="002A6CE7" w:rsidP="00726D77">
      <w:pPr>
        <w:rPr>
          <w:b/>
          <w:sz w:val="28"/>
          <w:szCs w:val="28"/>
        </w:rPr>
      </w:pPr>
      <w:r w:rsidRPr="002A6CE7">
        <w:rPr>
          <w:b/>
          <w:sz w:val="28"/>
          <w:szCs w:val="28"/>
        </w:rPr>
        <w:t xml:space="preserve">3. </w:t>
      </w:r>
      <w:r w:rsidR="001855A8">
        <w:rPr>
          <w:b/>
          <w:sz w:val="28"/>
          <w:szCs w:val="28"/>
        </w:rPr>
        <w:t>Constructing t</w:t>
      </w:r>
      <w:r w:rsidRPr="002A6CE7">
        <w:rPr>
          <w:b/>
          <w:sz w:val="28"/>
          <w:szCs w:val="28"/>
        </w:rPr>
        <w:t xml:space="preserve">he ACPSA </w:t>
      </w:r>
    </w:p>
    <w:p w:rsidR="001855A8" w:rsidRPr="00B01147" w:rsidRDefault="001855A8" w:rsidP="004B2FEF">
      <w:pPr>
        <w:rPr>
          <w:b/>
          <w:sz w:val="24"/>
          <w:szCs w:val="24"/>
        </w:rPr>
      </w:pPr>
      <w:r w:rsidRPr="001855A8">
        <w:rPr>
          <w:b/>
          <w:sz w:val="24"/>
          <w:szCs w:val="24"/>
        </w:rPr>
        <w:t>3.1 Conceptual</w:t>
      </w:r>
      <w:r w:rsidRPr="00B01147">
        <w:rPr>
          <w:b/>
          <w:sz w:val="24"/>
          <w:szCs w:val="24"/>
        </w:rPr>
        <w:t xml:space="preserve"> framework</w:t>
      </w:r>
    </w:p>
    <w:p w:rsidR="00F26920" w:rsidRDefault="00F26920" w:rsidP="00F26920">
      <w:pPr>
        <w:autoSpaceDE w:val="0"/>
        <w:autoSpaceDN w:val="0"/>
        <w:adjustRightInd w:val="0"/>
        <w:spacing w:after="0" w:line="240" w:lineRule="auto"/>
        <w:rPr>
          <w:rFonts w:ascii="Calibri" w:hAnsi="Calibri" w:cs="Calibri"/>
          <w:sz w:val="24"/>
          <w:szCs w:val="24"/>
        </w:rPr>
      </w:pPr>
      <w:r w:rsidRPr="00A260FB">
        <w:rPr>
          <w:rFonts w:ascii="Calibri" w:hAnsi="Calibri" w:cs="Calibri"/>
          <w:sz w:val="24"/>
          <w:szCs w:val="24"/>
        </w:rPr>
        <w:t xml:space="preserve">Culture can be defined in a variety of ways to include language, traditions, beliefs, and values.  For this new account, we defined arts and cultural production to be largely consistent with definitions used by the United Nations and the European Union.  The I‐O framework provides the necessary tools to identify and estimate the value of the "creative chain" associated with arts and cultural production.  This chain captures the economic value as we move from the creation of a cultural product (composing a symphony) to its production (the performance being recorded in a studio), then the distribution (by various modes), and finally the consumption (by the listener).  </w:t>
      </w:r>
    </w:p>
    <w:p w:rsidR="00F26920" w:rsidRDefault="00F26920" w:rsidP="00F26920">
      <w:pPr>
        <w:autoSpaceDE w:val="0"/>
        <w:autoSpaceDN w:val="0"/>
        <w:adjustRightInd w:val="0"/>
        <w:spacing w:after="0" w:line="240" w:lineRule="auto"/>
        <w:rPr>
          <w:rFonts w:ascii="Calibri" w:hAnsi="Calibri" w:cs="Calibri"/>
          <w:sz w:val="24"/>
          <w:szCs w:val="24"/>
        </w:rPr>
      </w:pPr>
    </w:p>
    <w:p w:rsidR="00E23F1F" w:rsidRPr="00E23F1F" w:rsidRDefault="00E23F1F" w:rsidP="00E23F1F">
      <w:pPr>
        <w:autoSpaceDE w:val="0"/>
        <w:autoSpaceDN w:val="0"/>
        <w:adjustRightInd w:val="0"/>
        <w:spacing w:after="0" w:line="240" w:lineRule="auto"/>
        <w:rPr>
          <w:rFonts w:ascii="Calibri" w:hAnsi="Calibri" w:cs="Calibri"/>
          <w:sz w:val="24"/>
          <w:szCs w:val="24"/>
        </w:rPr>
      </w:pPr>
      <w:r w:rsidRPr="00E23F1F">
        <w:rPr>
          <w:rFonts w:ascii="Calibri" w:hAnsi="Calibri" w:cs="Calibri"/>
          <w:sz w:val="24"/>
          <w:szCs w:val="24"/>
        </w:rPr>
        <w:lastRenderedPageBreak/>
        <w:t>In order to view the structure of and relationship between cultural industries</w:t>
      </w:r>
      <w:r>
        <w:rPr>
          <w:rFonts w:ascii="Calibri" w:hAnsi="Calibri" w:cs="Calibri"/>
          <w:sz w:val="24"/>
          <w:szCs w:val="24"/>
        </w:rPr>
        <w:t>,</w:t>
      </w:r>
      <w:r w:rsidRPr="00E23F1F">
        <w:rPr>
          <w:rFonts w:ascii="Calibri" w:hAnsi="Calibri" w:cs="Calibri"/>
          <w:sz w:val="24"/>
          <w:szCs w:val="24"/>
        </w:rPr>
        <w:t xml:space="preserve"> the concentric circles model of the cultural industries </w:t>
      </w:r>
      <w:r>
        <w:rPr>
          <w:rFonts w:ascii="Calibri" w:hAnsi="Calibri" w:cs="Calibri"/>
          <w:sz w:val="24"/>
          <w:szCs w:val="24"/>
        </w:rPr>
        <w:t xml:space="preserve">developed by </w:t>
      </w:r>
      <w:r w:rsidRPr="00E23F1F">
        <w:rPr>
          <w:rFonts w:ascii="Calibri" w:hAnsi="Calibri" w:cs="Calibri"/>
          <w:sz w:val="24"/>
          <w:szCs w:val="24"/>
        </w:rPr>
        <w:t xml:space="preserve">David Throsby </w:t>
      </w:r>
      <w:r w:rsidR="00B01147">
        <w:rPr>
          <w:rFonts w:ascii="Calibri" w:hAnsi="Calibri" w:cs="Calibri"/>
          <w:sz w:val="24"/>
          <w:szCs w:val="24"/>
        </w:rPr>
        <w:t>(</w:t>
      </w:r>
      <w:r w:rsidR="00B01147" w:rsidRPr="00B01147">
        <w:rPr>
          <w:rFonts w:ascii="Calibri" w:hAnsi="Calibri" w:cs="Calibri"/>
          <w:sz w:val="24"/>
          <w:szCs w:val="24"/>
        </w:rPr>
        <w:t>Macquarie University, Sydney Australia</w:t>
      </w:r>
      <w:r w:rsidR="00B01147">
        <w:rPr>
          <w:rFonts w:ascii="Calibri" w:hAnsi="Calibri" w:cs="Calibri"/>
          <w:sz w:val="24"/>
          <w:szCs w:val="24"/>
        </w:rPr>
        <w:t xml:space="preserve">) </w:t>
      </w:r>
      <w:r w:rsidRPr="00E23F1F">
        <w:rPr>
          <w:rFonts w:ascii="Calibri" w:hAnsi="Calibri" w:cs="Calibri"/>
          <w:sz w:val="24"/>
          <w:szCs w:val="24"/>
        </w:rPr>
        <w:t>can be quite helpful.</w:t>
      </w:r>
      <w:r w:rsidR="00B01147" w:rsidRPr="00E23F1F">
        <w:rPr>
          <w:rFonts w:ascii="Calibri" w:hAnsi="Calibri" w:cs="Calibri"/>
          <w:sz w:val="24"/>
          <w:szCs w:val="24"/>
        </w:rPr>
        <w:t xml:space="preserve"> </w:t>
      </w:r>
      <w:r w:rsidRPr="00E23F1F">
        <w:rPr>
          <w:rFonts w:ascii="Calibri" w:hAnsi="Calibri" w:cs="Calibri"/>
          <w:sz w:val="24"/>
          <w:szCs w:val="24"/>
        </w:rPr>
        <w:t xml:space="preserve">  This work provides a</w:t>
      </w:r>
      <w:r w:rsidR="00FD3EDA">
        <w:rPr>
          <w:rFonts w:ascii="Calibri" w:hAnsi="Calibri" w:cs="Calibri"/>
          <w:sz w:val="24"/>
          <w:szCs w:val="24"/>
        </w:rPr>
        <w:t>n illustrative</w:t>
      </w:r>
      <w:r w:rsidRPr="00E23F1F">
        <w:rPr>
          <w:rFonts w:ascii="Calibri" w:hAnsi="Calibri" w:cs="Calibri"/>
          <w:sz w:val="24"/>
          <w:szCs w:val="24"/>
        </w:rPr>
        <w:t xml:space="preserve"> visual </w:t>
      </w:r>
      <w:r w:rsidR="00FD3EDA">
        <w:rPr>
          <w:rFonts w:ascii="Calibri" w:hAnsi="Calibri" w:cs="Calibri"/>
          <w:sz w:val="24"/>
          <w:szCs w:val="24"/>
        </w:rPr>
        <w:t xml:space="preserve">for transitioning </w:t>
      </w:r>
      <w:r w:rsidRPr="00E23F1F">
        <w:rPr>
          <w:rFonts w:ascii="Calibri" w:hAnsi="Calibri" w:cs="Calibri"/>
          <w:sz w:val="24"/>
          <w:szCs w:val="24"/>
        </w:rPr>
        <w:t>from the most intuitive part of the account (literature, music, performing arts,…) through the wider cultural industries (publishing, television, computer games,…) and to the outer edge of the model where we find the related industries (advertising, architecture, fashion…).</w:t>
      </w:r>
      <w:r w:rsidR="002A48F3" w:rsidRPr="00E23F1F">
        <w:rPr>
          <w:rFonts w:ascii="Calibri" w:hAnsi="Calibri" w:cs="Calibri"/>
          <w:sz w:val="24"/>
          <w:szCs w:val="24"/>
          <w:vertAlign w:val="superscript"/>
        </w:rPr>
        <w:footnoteReference w:id="3"/>
      </w:r>
      <w:r w:rsidR="002A48F3">
        <w:rPr>
          <w:rFonts w:ascii="Calibri" w:hAnsi="Calibri" w:cs="Calibri"/>
          <w:sz w:val="24"/>
          <w:szCs w:val="24"/>
        </w:rPr>
        <w:t xml:space="preserve">  </w:t>
      </w:r>
      <w:r w:rsidRPr="00E23F1F">
        <w:rPr>
          <w:rFonts w:ascii="Calibri" w:hAnsi="Calibri" w:cs="Calibri"/>
          <w:sz w:val="24"/>
          <w:szCs w:val="24"/>
        </w:rPr>
        <w:t>If you place yourself inside the inner-most circle at a live performance and then think about the myriad goods and services provided by dozens of other industries necessary to place you in your seat – you will be on your way to developing a set of industries for a creative arts account</w:t>
      </w:r>
      <w:r w:rsidR="009C6B83">
        <w:rPr>
          <w:rFonts w:ascii="Calibri" w:hAnsi="Calibri" w:cs="Calibri"/>
          <w:sz w:val="24"/>
          <w:szCs w:val="24"/>
        </w:rPr>
        <w:t>.</w:t>
      </w:r>
      <w:r w:rsidRPr="00E23F1F">
        <w:rPr>
          <w:rFonts w:ascii="Calibri" w:hAnsi="Calibri" w:cs="Calibri"/>
          <w:sz w:val="24"/>
          <w:szCs w:val="24"/>
        </w:rPr>
        <w:t xml:space="preserve">  Without a set of backward links to </w:t>
      </w:r>
      <w:r w:rsidR="00FD3EDA">
        <w:rPr>
          <w:rFonts w:ascii="Calibri" w:hAnsi="Calibri" w:cs="Calibri"/>
          <w:sz w:val="24"/>
          <w:szCs w:val="24"/>
        </w:rPr>
        <w:t xml:space="preserve">acknowledging the role of </w:t>
      </w:r>
      <w:r w:rsidRPr="00E23F1F">
        <w:rPr>
          <w:rFonts w:ascii="Calibri" w:hAnsi="Calibri" w:cs="Calibri"/>
          <w:sz w:val="24"/>
          <w:szCs w:val="24"/>
        </w:rPr>
        <w:t>supporting industries necessary for the core to function</w:t>
      </w:r>
      <w:r w:rsidR="00FD3EDA">
        <w:rPr>
          <w:rFonts w:ascii="Calibri" w:hAnsi="Calibri" w:cs="Calibri"/>
          <w:sz w:val="24"/>
          <w:szCs w:val="24"/>
        </w:rPr>
        <w:t>,</w:t>
      </w:r>
      <w:r w:rsidRPr="00E23F1F">
        <w:rPr>
          <w:rFonts w:ascii="Calibri" w:hAnsi="Calibri" w:cs="Calibri"/>
          <w:sz w:val="24"/>
          <w:szCs w:val="24"/>
        </w:rPr>
        <w:t xml:space="preserve"> the ACPSA would not reflect the true impact of arts and culture on employment, income, output and value added within the economy.</w:t>
      </w:r>
      <w:r w:rsidR="00CF305B">
        <w:rPr>
          <w:rFonts w:ascii="Calibri" w:hAnsi="Calibri" w:cs="Calibri"/>
          <w:sz w:val="24"/>
          <w:szCs w:val="24"/>
        </w:rPr>
        <w:t xml:space="preserve">  Figure </w:t>
      </w:r>
      <w:r w:rsidR="00543902">
        <w:rPr>
          <w:rFonts w:ascii="Calibri" w:hAnsi="Calibri" w:cs="Calibri"/>
          <w:sz w:val="24"/>
          <w:szCs w:val="24"/>
        </w:rPr>
        <w:t>A</w:t>
      </w:r>
      <w:r w:rsidR="00CF305B">
        <w:rPr>
          <w:rFonts w:ascii="Calibri" w:hAnsi="Calibri" w:cs="Calibri"/>
          <w:sz w:val="24"/>
          <w:szCs w:val="24"/>
        </w:rPr>
        <w:t xml:space="preserve"> in the appendix presents Throsby’s concentric circles.</w:t>
      </w:r>
    </w:p>
    <w:p w:rsidR="00B01147" w:rsidRDefault="00B01147" w:rsidP="00E23F1F">
      <w:pPr>
        <w:autoSpaceDE w:val="0"/>
        <w:autoSpaceDN w:val="0"/>
        <w:adjustRightInd w:val="0"/>
        <w:spacing w:after="0" w:line="240" w:lineRule="auto"/>
        <w:rPr>
          <w:rFonts w:ascii="Calibri" w:hAnsi="Calibri" w:cs="Calibri"/>
          <w:sz w:val="24"/>
          <w:szCs w:val="24"/>
        </w:rPr>
      </w:pPr>
    </w:p>
    <w:p w:rsidR="004B2FEF" w:rsidRDefault="00E23F1F" w:rsidP="003A5E68">
      <w:pPr>
        <w:autoSpaceDE w:val="0"/>
        <w:autoSpaceDN w:val="0"/>
        <w:adjustRightInd w:val="0"/>
        <w:spacing w:after="0" w:line="240" w:lineRule="auto"/>
        <w:rPr>
          <w:rFonts w:ascii="Calibri" w:hAnsi="Calibri" w:cs="Calibri"/>
          <w:sz w:val="24"/>
          <w:szCs w:val="24"/>
        </w:rPr>
      </w:pPr>
      <w:r w:rsidRPr="00E23F1F">
        <w:rPr>
          <w:rFonts w:ascii="Calibri" w:hAnsi="Calibri" w:cs="Calibri"/>
          <w:sz w:val="24"/>
          <w:szCs w:val="24"/>
        </w:rPr>
        <w:t xml:space="preserve">The concept of a </w:t>
      </w:r>
      <w:r w:rsidR="0086169A">
        <w:rPr>
          <w:rFonts w:ascii="Calibri" w:hAnsi="Calibri" w:cs="Calibri"/>
          <w:sz w:val="24"/>
          <w:szCs w:val="24"/>
        </w:rPr>
        <w:t>“</w:t>
      </w:r>
      <w:r w:rsidRPr="00E23F1F">
        <w:rPr>
          <w:rFonts w:ascii="Calibri" w:hAnsi="Calibri" w:cs="Calibri"/>
          <w:sz w:val="24"/>
          <w:szCs w:val="24"/>
        </w:rPr>
        <w:t>creative chain</w:t>
      </w:r>
      <w:r w:rsidR="0086169A">
        <w:rPr>
          <w:rFonts w:ascii="Calibri" w:hAnsi="Calibri" w:cs="Calibri"/>
          <w:sz w:val="24"/>
          <w:szCs w:val="24"/>
        </w:rPr>
        <w:t>”</w:t>
      </w:r>
      <w:r w:rsidRPr="00E23F1F">
        <w:rPr>
          <w:rFonts w:ascii="Calibri" w:hAnsi="Calibri" w:cs="Calibri"/>
          <w:sz w:val="24"/>
          <w:szCs w:val="24"/>
        </w:rPr>
        <w:t xml:space="preserve"> is </w:t>
      </w:r>
      <w:r w:rsidR="00F74A8A">
        <w:rPr>
          <w:rFonts w:ascii="Calibri" w:hAnsi="Calibri" w:cs="Calibri"/>
          <w:sz w:val="24"/>
          <w:szCs w:val="24"/>
        </w:rPr>
        <w:t xml:space="preserve">reflected in the concentric circles model, </w:t>
      </w:r>
      <w:r w:rsidRPr="00E23F1F">
        <w:rPr>
          <w:rFonts w:ascii="Calibri" w:hAnsi="Calibri" w:cs="Calibri"/>
          <w:sz w:val="24"/>
          <w:szCs w:val="24"/>
        </w:rPr>
        <w:t>especially as we look at industries in the outer spheres.  The</w:t>
      </w:r>
      <w:r w:rsidR="0086169A">
        <w:rPr>
          <w:rFonts w:ascii="Calibri" w:hAnsi="Calibri" w:cs="Calibri"/>
          <w:sz w:val="24"/>
          <w:szCs w:val="24"/>
        </w:rPr>
        <w:t xml:space="preserve">se industries </w:t>
      </w:r>
      <w:r w:rsidRPr="00E23F1F">
        <w:rPr>
          <w:rFonts w:ascii="Calibri" w:hAnsi="Calibri" w:cs="Calibri"/>
          <w:sz w:val="24"/>
          <w:szCs w:val="24"/>
        </w:rPr>
        <w:t xml:space="preserve">primarily </w:t>
      </w:r>
      <w:r w:rsidR="0086169A">
        <w:rPr>
          <w:rFonts w:ascii="Calibri" w:hAnsi="Calibri" w:cs="Calibri"/>
          <w:sz w:val="24"/>
          <w:szCs w:val="24"/>
        </w:rPr>
        <w:t>serve</w:t>
      </w:r>
      <w:r w:rsidRPr="00E23F1F">
        <w:rPr>
          <w:rFonts w:ascii="Calibri" w:hAnsi="Calibri" w:cs="Calibri"/>
          <w:sz w:val="24"/>
          <w:szCs w:val="24"/>
        </w:rPr>
        <w:t xml:space="preserve"> </w:t>
      </w:r>
      <w:r w:rsidR="0086169A">
        <w:rPr>
          <w:rFonts w:ascii="Calibri" w:hAnsi="Calibri" w:cs="Calibri"/>
          <w:sz w:val="24"/>
          <w:szCs w:val="24"/>
        </w:rPr>
        <w:t xml:space="preserve">to </w:t>
      </w:r>
      <w:r w:rsidRPr="00E23F1F">
        <w:rPr>
          <w:rFonts w:ascii="Calibri" w:hAnsi="Calibri" w:cs="Calibri"/>
          <w:sz w:val="24"/>
          <w:szCs w:val="24"/>
        </w:rPr>
        <w:t xml:space="preserve">disseminate art that is produced in the innermost circles.  A ballet is performed and filmed.  The disc is produced and distributed.  Then it is purchased at a retail store or downloaded </w:t>
      </w:r>
      <w:r w:rsidR="0086169A">
        <w:rPr>
          <w:rFonts w:ascii="Calibri" w:hAnsi="Calibri" w:cs="Calibri"/>
          <w:sz w:val="24"/>
          <w:szCs w:val="24"/>
        </w:rPr>
        <w:t xml:space="preserve">from </w:t>
      </w:r>
      <w:r w:rsidRPr="00E23F1F">
        <w:rPr>
          <w:rFonts w:ascii="Calibri" w:hAnsi="Calibri" w:cs="Calibri"/>
          <w:sz w:val="24"/>
          <w:szCs w:val="24"/>
        </w:rPr>
        <w:t xml:space="preserve">the Internet.  </w:t>
      </w:r>
      <w:r w:rsidR="0086169A">
        <w:rPr>
          <w:rFonts w:ascii="Calibri" w:hAnsi="Calibri" w:cs="Calibri"/>
          <w:sz w:val="24"/>
          <w:szCs w:val="24"/>
        </w:rPr>
        <w:t>Presenting the</w:t>
      </w:r>
      <w:r w:rsidR="003A5E68">
        <w:rPr>
          <w:rFonts w:ascii="Calibri" w:hAnsi="Calibri" w:cs="Calibri"/>
          <w:sz w:val="24"/>
          <w:szCs w:val="24"/>
        </w:rPr>
        <w:t xml:space="preserve"> full scope of </w:t>
      </w:r>
      <w:r w:rsidR="0086169A">
        <w:rPr>
          <w:rFonts w:ascii="Calibri" w:hAnsi="Calibri" w:cs="Calibri"/>
          <w:sz w:val="24"/>
          <w:szCs w:val="24"/>
        </w:rPr>
        <w:t xml:space="preserve">transactions in an I-O framework provides the ability to </w:t>
      </w:r>
      <w:r w:rsidR="00DD46BB">
        <w:rPr>
          <w:rFonts w:ascii="Calibri" w:hAnsi="Calibri" w:cs="Calibri"/>
          <w:sz w:val="24"/>
          <w:szCs w:val="24"/>
        </w:rPr>
        <w:t xml:space="preserve">accurately quantify the </w:t>
      </w:r>
      <w:r w:rsidR="003A5E68">
        <w:rPr>
          <w:rFonts w:ascii="Calibri" w:hAnsi="Calibri" w:cs="Calibri"/>
          <w:sz w:val="24"/>
          <w:szCs w:val="24"/>
        </w:rPr>
        <w:t xml:space="preserve">full </w:t>
      </w:r>
      <w:r w:rsidR="00DD46BB">
        <w:rPr>
          <w:rFonts w:ascii="Calibri" w:hAnsi="Calibri" w:cs="Calibri"/>
          <w:sz w:val="24"/>
          <w:szCs w:val="24"/>
        </w:rPr>
        <w:t xml:space="preserve">value of the </w:t>
      </w:r>
      <w:r w:rsidR="0086169A">
        <w:rPr>
          <w:rFonts w:ascii="Calibri" w:hAnsi="Calibri" w:cs="Calibri"/>
          <w:sz w:val="24"/>
          <w:szCs w:val="24"/>
        </w:rPr>
        <w:t xml:space="preserve">creative chain </w:t>
      </w:r>
      <w:r w:rsidR="00DD46BB">
        <w:rPr>
          <w:rFonts w:ascii="Calibri" w:hAnsi="Calibri" w:cs="Calibri"/>
          <w:sz w:val="24"/>
          <w:szCs w:val="24"/>
        </w:rPr>
        <w:t xml:space="preserve">within an economic framework </w:t>
      </w:r>
      <w:r w:rsidR="003A5E68">
        <w:rPr>
          <w:rFonts w:ascii="Calibri" w:hAnsi="Calibri" w:cs="Calibri"/>
          <w:sz w:val="24"/>
          <w:szCs w:val="24"/>
        </w:rPr>
        <w:t xml:space="preserve">that is </w:t>
      </w:r>
      <w:r w:rsidR="00DD46BB">
        <w:rPr>
          <w:rFonts w:ascii="Calibri" w:hAnsi="Calibri" w:cs="Calibri"/>
          <w:sz w:val="24"/>
          <w:szCs w:val="24"/>
        </w:rPr>
        <w:t>consistent with total</w:t>
      </w:r>
      <w:r w:rsidR="003A5E68">
        <w:rPr>
          <w:rFonts w:ascii="Calibri" w:hAnsi="Calibri" w:cs="Calibri"/>
          <w:sz w:val="24"/>
          <w:szCs w:val="24"/>
        </w:rPr>
        <w:t>-</w:t>
      </w:r>
      <w:r w:rsidR="00DD46BB">
        <w:rPr>
          <w:rFonts w:ascii="Calibri" w:hAnsi="Calibri" w:cs="Calibri"/>
          <w:sz w:val="24"/>
          <w:szCs w:val="24"/>
        </w:rPr>
        <w:t>economy value added (i.e. GDP).</w:t>
      </w:r>
      <w:r w:rsidR="0086169A">
        <w:rPr>
          <w:rFonts w:ascii="Calibri" w:hAnsi="Calibri" w:cs="Calibri"/>
          <w:sz w:val="24"/>
          <w:szCs w:val="24"/>
        </w:rPr>
        <w:t xml:space="preserve"> </w:t>
      </w:r>
    </w:p>
    <w:p w:rsidR="003A5E68" w:rsidRPr="00A260FB" w:rsidRDefault="003A5E68" w:rsidP="003A5E68">
      <w:pPr>
        <w:autoSpaceDE w:val="0"/>
        <w:autoSpaceDN w:val="0"/>
        <w:adjustRightInd w:val="0"/>
        <w:spacing w:after="0" w:line="240" w:lineRule="auto"/>
        <w:rPr>
          <w:b/>
          <w:sz w:val="24"/>
          <w:szCs w:val="24"/>
        </w:rPr>
      </w:pPr>
    </w:p>
    <w:p w:rsidR="001855A8" w:rsidRPr="00B01147" w:rsidRDefault="001855A8" w:rsidP="00A260FB">
      <w:pPr>
        <w:rPr>
          <w:b/>
          <w:sz w:val="24"/>
          <w:szCs w:val="24"/>
        </w:rPr>
      </w:pPr>
      <w:r w:rsidRPr="00B01147">
        <w:rPr>
          <w:b/>
          <w:sz w:val="24"/>
          <w:szCs w:val="24"/>
        </w:rPr>
        <w:t>3.2 Methodology</w:t>
      </w:r>
    </w:p>
    <w:p w:rsidR="001855A8" w:rsidRPr="00A260FB" w:rsidRDefault="001855A8" w:rsidP="001855A8">
      <w:pPr>
        <w:rPr>
          <w:sz w:val="24"/>
          <w:szCs w:val="24"/>
        </w:rPr>
      </w:pPr>
      <w:r>
        <w:rPr>
          <w:sz w:val="24"/>
          <w:szCs w:val="24"/>
        </w:rPr>
        <w:t>Although</w:t>
      </w:r>
      <w:r w:rsidRPr="00A260FB">
        <w:rPr>
          <w:sz w:val="24"/>
          <w:szCs w:val="24"/>
        </w:rPr>
        <w:t xml:space="preserve"> the concept</w:t>
      </w:r>
      <w:r>
        <w:rPr>
          <w:sz w:val="24"/>
          <w:szCs w:val="24"/>
        </w:rPr>
        <w:t>ual boundary</w:t>
      </w:r>
      <w:r w:rsidRPr="00A260FB">
        <w:rPr>
          <w:sz w:val="24"/>
          <w:szCs w:val="24"/>
        </w:rPr>
        <w:t xml:space="preserve"> of art and cultur</w:t>
      </w:r>
      <w:r>
        <w:rPr>
          <w:sz w:val="24"/>
          <w:szCs w:val="24"/>
        </w:rPr>
        <w:t>e</w:t>
      </w:r>
      <w:r w:rsidRPr="00A260FB">
        <w:rPr>
          <w:sz w:val="24"/>
          <w:szCs w:val="24"/>
        </w:rPr>
        <w:t xml:space="preserve"> </w:t>
      </w:r>
      <w:r>
        <w:rPr>
          <w:sz w:val="24"/>
          <w:szCs w:val="24"/>
        </w:rPr>
        <w:t xml:space="preserve">in the U.S. economy </w:t>
      </w:r>
      <w:r w:rsidRPr="00A260FB">
        <w:rPr>
          <w:sz w:val="24"/>
          <w:szCs w:val="24"/>
        </w:rPr>
        <w:t xml:space="preserve">is </w:t>
      </w:r>
      <w:r>
        <w:rPr>
          <w:sz w:val="24"/>
          <w:szCs w:val="24"/>
        </w:rPr>
        <w:t>difficult to discern, using the</w:t>
      </w:r>
      <w:r w:rsidRPr="00A260FB">
        <w:rPr>
          <w:sz w:val="24"/>
          <w:szCs w:val="24"/>
        </w:rPr>
        <w:t xml:space="preserve"> detailed economic transactions from a benchmark I-O </w:t>
      </w:r>
      <w:r>
        <w:rPr>
          <w:sz w:val="24"/>
          <w:szCs w:val="24"/>
        </w:rPr>
        <w:t xml:space="preserve">account </w:t>
      </w:r>
      <w:r w:rsidRPr="00A260FB">
        <w:rPr>
          <w:sz w:val="24"/>
          <w:szCs w:val="24"/>
        </w:rPr>
        <w:t>that comprise art and cultural production w</w:t>
      </w:r>
      <w:r>
        <w:rPr>
          <w:sz w:val="24"/>
          <w:szCs w:val="24"/>
        </w:rPr>
        <w:t>as considered the best course to produce these estimates</w:t>
      </w:r>
      <w:r w:rsidRPr="00A260FB">
        <w:rPr>
          <w:sz w:val="24"/>
          <w:szCs w:val="24"/>
        </w:rPr>
        <w:t xml:space="preserve">.  </w:t>
      </w:r>
      <w:r>
        <w:rPr>
          <w:sz w:val="24"/>
          <w:szCs w:val="24"/>
        </w:rPr>
        <w:t>T</w:t>
      </w:r>
      <w:r w:rsidRPr="00A260FB">
        <w:rPr>
          <w:sz w:val="24"/>
          <w:szCs w:val="24"/>
        </w:rPr>
        <w:t xml:space="preserve">he flexible nature and sound framework offered by a satellite account </w:t>
      </w:r>
      <w:r>
        <w:rPr>
          <w:sz w:val="24"/>
          <w:szCs w:val="24"/>
        </w:rPr>
        <w:t xml:space="preserve">makes this an ideal fit </w:t>
      </w:r>
      <w:r w:rsidRPr="00A260FB">
        <w:rPr>
          <w:sz w:val="24"/>
          <w:szCs w:val="24"/>
        </w:rPr>
        <w:t>for estimating the value of arts and cultural production</w:t>
      </w:r>
      <w:r>
        <w:rPr>
          <w:sz w:val="24"/>
          <w:szCs w:val="24"/>
        </w:rPr>
        <w:t xml:space="preserve"> (ACP).  This section describes </w:t>
      </w:r>
      <w:r w:rsidRPr="00A260FB">
        <w:rPr>
          <w:sz w:val="24"/>
          <w:szCs w:val="24"/>
        </w:rPr>
        <w:t>the process and methods used to develop these statistics</w:t>
      </w:r>
      <w:r>
        <w:rPr>
          <w:sz w:val="24"/>
          <w:szCs w:val="24"/>
        </w:rPr>
        <w:t>.</w:t>
      </w:r>
    </w:p>
    <w:p w:rsidR="003F2434" w:rsidRDefault="00457194" w:rsidP="00A260FB">
      <w:pPr>
        <w:rPr>
          <w:sz w:val="24"/>
          <w:szCs w:val="24"/>
        </w:rPr>
      </w:pPr>
      <w:r w:rsidRPr="00457194">
        <w:rPr>
          <w:sz w:val="24"/>
          <w:szCs w:val="24"/>
        </w:rPr>
        <w:t xml:space="preserve">The ACPSA was built from the bottom up using the rich detail provided by </w:t>
      </w:r>
      <w:r>
        <w:rPr>
          <w:sz w:val="24"/>
          <w:szCs w:val="24"/>
        </w:rPr>
        <w:t xml:space="preserve">BEA’s </w:t>
      </w:r>
      <w:r w:rsidRPr="00457194">
        <w:rPr>
          <w:sz w:val="24"/>
          <w:szCs w:val="24"/>
        </w:rPr>
        <w:t>I</w:t>
      </w:r>
      <w:r>
        <w:rPr>
          <w:sz w:val="24"/>
          <w:szCs w:val="24"/>
        </w:rPr>
        <w:t>-</w:t>
      </w:r>
      <w:r w:rsidRPr="00457194">
        <w:rPr>
          <w:sz w:val="24"/>
          <w:szCs w:val="24"/>
        </w:rPr>
        <w:t xml:space="preserve">O </w:t>
      </w:r>
      <w:r>
        <w:rPr>
          <w:sz w:val="24"/>
          <w:szCs w:val="24"/>
        </w:rPr>
        <w:t>accounts</w:t>
      </w:r>
      <w:r w:rsidR="00907743">
        <w:rPr>
          <w:sz w:val="24"/>
          <w:szCs w:val="24"/>
        </w:rPr>
        <w:t>.</w:t>
      </w:r>
      <w:r w:rsidRPr="00457194">
        <w:rPr>
          <w:sz w:val="24"/>
          <w:szCs w:val="24"/>
        </w:rPr>
        <w:t xml:space="preserve"> </w:t>
      </w:r>
      <w:r w:rsidR="00907743">
        <w:rPr>
          <w:sz w:val="24"/>
          <w:szCs w:val="24"/>
        </w:rPr>
        <w:t>I</w:t>
      </w:r>
      <w:r w:rsidRPr="00457194">
        <w:rPr>
          <w:sz w:val="24"/>
          <w:szCs w:val="24"/>
        </w:rPr>
        <w:t xml:space="preserve">tems were identified for inclusion in this account in a highly collaborative effort with economists from the NEA.  </w:t>
      </w:r>
      <w:r w:rsidR="00A260FB" w:rsidRPr="00A260FB">
        <w:rPr>
          <w:sz w:val="24"/>
          <w:szCs w:val="24"/>
        </w:rPr>
        <w:t>The</w:t>
      </w:r>
      <w:r w:rsidR="00313460">
        <w:rPr>
          <w:sz w:val="24"/>
          <w:szCs w:val="24"/>
        </w:rPr>
        <w:t xml:space="preserve"> U.S. I-O accounts consist primarily of the make and use tables, which present statistics </w:t>
      </w:r>
      <w:r w:rsidR="003F2434">
        <w:rPr>
          <w:sz w:val="24"/>
          <w:szCs w:val="24"/>
        </w:rPr>
        <w:t xml:space="preserve">on </w:t>
      </w:r>
      <w:r w:rsidR="00A260FB" w:rsidRPr="00A260FB">
        <w:rPr>
          <w:sz w:val="24"/>
          <w:szCs w:val="24"/>
        </w:rPr>
        <w:t xml:space="preserve">the production and </w:t>
      </w:r>
      <w:r w:rsidR="00313460">
        <w:rPr>
          <w:sz w:val="24"/>
          <w:szCs w:val="24"/>
        </w:rPr>
        <w:t xml:space="preserve">uses (both intermediate and final) </w:t>
      </w:r>
      <w:r w:rsidR="00A260FB" w:rsidRPr="00A260FB">
        <w:rPr>
          <w:sz w:val="24"/>
          <w:szCs w:val="24"/>
        </w:rPr>
        <w:t xml:space="preserve">of </w:t>
      </w:r>
      <w:r w:rsidR="00023A20">
        <w:rPr>
          <w:sz w:val="24"/>
          <w:szCs w:val="24"/>
        </w:rPr>
        <w:t>products</w:t>
      </w:r>
      <w:r w:rsidR="00023A20" w:rsidRPr="00A260FB">
        <w:rPr>
          <w:sz w:val="24"/>
          <w:szCs w:val="24"/>
        </w:rPr>
        <w:t xml:space="preserve"> </w:t>
      </w:r>
      <w:r w:rsidR="00A260FB" w:rsidRPr="00A260FB">
        <w:rPr>
          <w:sz w:val="24"/>
          <w:szCs w:val="24"/>
        </w:rPr>
        <w:t>by industr</w:t>
      </w:r>
      <w:r w:rsidR="0045670B">
        <w:rPr>
          <w:sz w:val="24"/>
          <w:szCs w:val="24"/>
        </w:rPr>
        <w:t>ies</w:t>
      </w:r>
      <w:r w:rsidR="00A260FB" w:rsidRPr="00A260FB">
        <w:rPr>
          <w:sz w:val="24"/>
          <w:szCs w:val="24"/>
        </w:rPr>
        <w:t xml:space="preserve">.  Using </w:t>
      </w:r>
      <w:r w:rsidR="004A6C1D">
        <w:rPr>
          <w:sz w:val="24"/>
          <w:szCs w:val="24"/>
        </w:rPr>
        <w:t>existing</w:t>
      </w:r>
      <w:r w:rsidR="003F2434">
        <w:rPr>
          <w:sz w:val="24"/>
          <w:szCs w:val="24"/>
        </w:rPr>
        <w:t xml:space="preserve"> </w:t>
      </w:r>
      <w:r w:rsidR="00A260FB" w:rsidRPr="00A260FB">
        <w:rPr>
          <w:sz w:val="24"/>
          <w:szCs w:val="24"/>
        </w:rPr>
        <w:t>I</w:t>
      </w:r>
      <w:r w:rsidR="004A6C1D">
        <w:rPr>
          <w:sz w:val="24"/>
          <w:szCs w:val="24"/>
        </w:rPr>
        <w:t>-</w:t>
      </w:r>
      <w:r w:rsidR="00A260FB" w:rsidRPr="00A260FB">
        <w:rPr>
          <w:sz w:val="24"/>
          <w:szCs w:val="24"/>
        </w:rPr>
        <w:t xml:space="preserve">O </w:t>
      </w:r>
      <w:r w:rsidR="003F2434">
        <w:rPr>
          <w:sz w:val="24"/>
          <w:szCs w:val="24"/>
        </w:rPr>
        <w:t>account statistics</w:t>
      </w:r>
      <w:r w:rsidR="00A260FB" w:rsidRPr="00A260FB">
        <w:rPr>
          <w:sz w:val="24"/>
          <w:szCs w:val="24"/>
        </w:rPr>
        <w:t xml:space="preserve">, </w:t>
      </w:r>
      <w:r w:rsidR="003F2434">
        <w:rPr>
          <w:sz w:val="24"/>
          <w:szCs w:val="24"/>
        </w:rPr>
        <w:t xml:space="preserve">detailed make-table transactions were carefully evaluated and identified for inclusion (or not) into the ACPSA.  </w:t>
      </w:r>
      <w:r>
        <w:rPr>
          <w:sz w:val="24"/>
          <w:szCs w:val="24"/>
        </w:rPr>
        <w:t>A full suite of I-O statistics, including gross output, intermediate inputs and value added, was</w:t>
      </w:r>
      <w:r w:rsidR="003F2434">
        <w:rPr>
          <w:sz w:val="24"/>
          <w:szCs w:val="24"/>
        </w:rPr>
        <w:t xml:space="preserve"> then developed based on this initial list.  </w:t>
      </w:r>
    </w:p>
    <w:p w:rsidR="003F2434" w:rsidRPr="00193C35" w:rsidRDefault="0083653B" w:rsidP="00A260FB">
      <w:pPr>
        <w:rPr>
          <w:b/>
          <w:i/>
          <w:sz w:val="24"/>
          <w:szCs w:val="24"/>
        </w:rPr>
      </w:pPr>
      <w:r>
        <w:rPr>
          <w:b/>
          <w:i/>
          <w:sz w:val="24"/>
          <w:szCs w:val="24"/>
        </w:rPr>
        <w:lastRenderedPageBreak/>
        <w:t xml:space="preserve">Step one:  </w:t>
      </w:r>
      <w:r w:rsidR="003F2434" w:rsidRPr="00193C35">
        <w:rPr>
          <w:b/>
          <w:i/>
          <w:sz w:val="24"/>
          <w:szCs w:val="24"/>
        </w:rPr>
        <w:t xml:space="preserve">Identifying ACP </w:t>
      </w:r>
      <w:r w:rsidR="00C42363">
        <w:rPr>
          <w:b/>
          <w:i/>
          <w:sz w:val="24"/>
          <w:szCs w:val="24"/>
        </w:rPr>
        <w:t>commodities</w:t>
      </w:r>
    </w:p>
    <w:p w:rsidR="00C07588" w:rsidRDefault="00370D52" w:rsidP="00C42363">
      <w:pPr>
        <w:rPr>
          <w:sz w:val="24"/>
          <w:szCs w:val="24"/>
        </w:rPr>
      </w:pPr>
      <w:r w:rsidRPr="00370D52">
        <w:rPr>
          <w:sz w:val="24"/>
          <w:szCs w:val="24"/>
        </w:rPr>
        <w:t xml:space="preserve">The </w:t>
      </w:r>
      <w:r>
        <w:rPr>
          <w:sz w:val="24"/>
          <w:szCs w:val="24"/>
        </w:rPr>
        <w:t xml:space="preserve">make and use </w:t>
      </w:r>
      <w:r w:rsidRPr="00370D52">
        <w:rPr>
          <w:sz w:val="24"/>
          <w:szCs w:val="24"/>
        </w:rPr>
        <w:t xml:space="preserve">tables have detailed information on </w:t>
      </w:r>
      <w:r w:rsidR="004B2FEF">
        <w:rPr>
          <w:sz w:val="24"/>
          <w:szCs w:val="24"/>
        </w:rPr>
        <w:t xml:space="preserve">about 5,000 </w:t>
      </w:r>
      <w:r w:rsidR="00023A20">
        <w:rPr>
          <w:sz w:val="24"/>
          <w:szCs w:val="24"/>
        </w:rPr>
        <w:t xml:space="preserve">products </w:t>
      </w:r>
      <w:r w:rsidRPr="00370D52">
        <w:rPr>
          <w:sz w:val="24"/>
          <w:szCs w:val="24"/>
        </w:rPr>
        <w:t xml:space="preserve">within the U.S. economy.  These range from agricultural products to professional services to government services. </w:t>
      </w:r>
      <w:r w:rsidR="003F2434">
        <w:rPr>
          <w:sz w:val="24"/>
          <w:szCs w:val="24"/>
        </w:rPr>
        <w:t>A</w:t>
      </w:r>
      <w:r w:rsidR="00A260FB" w:rsidRPr="00A260FB">
        <w:rPr>
          <w:sz w:val="24"/>
          <w:szCs w:val="24"/>
        </w:rPr>
        <w:t xml:space="preserve"> list of every commodity </w:t>
      </w:r>
      <w:r w:rsidR="0083653B">
        <w:rPr>
          <w:sz w:val="24"/>
          <w:szCs w:val="24"/>
        </w:rPr>
        <w:t xml:space="preserve">included in the 2002 benchmark I-O account </w:t>
      </w:r>
      <w:r w:rsidR="00A260FB" w:rsidRPr="00A260FB">
        <w:rPr>
          <w:sz w:val="24"/>
          <w:szCs w:val="24"/>
        </w:rPr>
        <w:t xml:space="preserve">was generated.  BEA staff worked </w:t>
      </w:r>
      <w:r w:rsidR="003F2434">
        <w:rPr>
          <w:sz w:val="24"/>
          <w:szCs w:val="24"/>
        </w:rPr>
        <w:t xml:space="preserve">closely </w:t>
      </w:r>
      <w:r w:rsidR="00A260FB" w:rsidRPr="00A260FB">
        <w:rPr>
          <w:sz w:val="24"/>
          <w:szCs w:val="24"/>
        </w:rPr>
        <w:t xml:space="preserve">with NEA staff to designate each one </w:t>
      </w:r>
      <w:r w:rsidR="0083653B">
        <w:rPr>
          <w:sz w:val="24"/>
          <w:szCs w:val="24"/>
        </w:rPr>
        <w:t xml:space="preserve">of these </w:t>
      </w:r>
      <w:r w:rsidR="00E43D05">
        <w:rPr>
          <w:sz w:val="24"/>
          <w:szCs w:val="24"/>
        </w:rPr>
        <w:t xml:space="preserve">items </w:t>
      </w:r>
      <w:r w:rsidR="00A260FB" w:rsidRPr="00A260FB">
        <w:rPr>
          <w:sz w:val="24"/>
          <w:szCs w:val="24"/>
        </w:rPr>
        <w:t xml:space="preserve">as either arts </w:t>
      </w:r>
      <w:r w:rsidR="0045670B">
        <w:rPr>
          <w:sz w:val="24"/>
          <w:szCs w:val="24"/>
        </w:rPr>
        <w:t>and</w:t>
      </w:r>
      <w:r w:rsidR="00A260FB" w:rsidRPr="00A260FB">
        <w:rPr>
          <w:sz w:val="24"/>
          <w:szCs w:val="24"/>
        </w:rPr>
        <w:t xml:space="preserve"> culture related or not</w:t>
      </w:r>
      <w:r w:rsidR="001F056D">
        <w:rPr>
          <w:sz w:val="24"/>
          <w:szCs w:val="24"/>
        </w:rPr>
        <w:t xml:space="preserve"> related</w:t>
      </w:r>
      <w:r w:rsidR="00A260FB" w:rsidRPr="00A260FB">
        <w:rPr>
          <w:sz w:val="24"/>
          <w:szCs w:val="24"/>
        </w:rPr>
        <w:t>.  A commodity was considered for inclusion if its output is intended chiefly as a function of creative or aesthetic engagement and/or its goods and services are intended chiefly to facilitate public access to such output.</w:t>
      </w:r>
      <w:r w:rsidR="00AD4D63">
        <w:rPr>
          <w:sz w:val="24"/>
          <w:szCs w:val="24"/>
        </w:rPr>
        <w:t xml:space="preserve">  About 400 of the </w:t>
      </w:r>
      <w:r w:rsidR="004B2FEF">
        <w:rPr>
          <w:sz w:val="24"/>
          <w:szCs w:val="24"/>
        </w:rPr>
        <w:t>5</w:t>
      </w:r>
      <w:r w:rsidR="00AD4D63">
        <w:rPr>
          <w:sz w:val="24"/>
          <w:szCs w:val="24"/>
        </w:rPr>
        <w:t>,000 items were selected to be included in the ACPSA.</w:t>
      </w:r>
      <w:r w:rsidR="00870CEA">
        <w:rPr>
          <w:rStyle w:val="FootnoteReference"/>
          <w:sz w:val="24"/>
          <w:szCs w:val="24"/>
        </w:rPr>
        <w:footnoteReference w:id="4"/>
      </w:r>
    </w:p>
    <w:p w:rsidR="00C42363" w:rsidRPr="00FF57A9" w:rsidRDefault="00C42363" w:rsidP="00C42363">
      <w:pPr>
        <w:rPr>
          <w:b/>
          <w:i/>
          <w:sz w:val="24"/>
          <w:szCs w:val="24"/>
        </w:rPr>
      </w:pPr>
      <w:r>
        <w:rPr>
          <w:b/>
          <w:i/>
          <w:sz w:val="24"/>
          <w:szCs w:val="24"/>
        </w:rPr>
        <w:t xml:space="preserve">Step two:  Developing </w:t>
      </w:r>
      <w:r w:rsidRPr="00FF57A9">
        <w:rPr>
          <w:b/>
          <w:i/>
          <w:sz w:val="24"/>
          <w:szCs w:val="24"/>
        </w:rPr>
        <w:t xml:space="preserve">ACP </w:t>
      </w:r>
      <w:r>
        <w:rPr>
          <w:b/>
          <w:i/>
          <w:sz w:val="24"/>
          <w:szCs w:val="24"/>
        </w:rPr>
        <w:t>industries</w:t>
      </w:r>
    </w:p>
    <w:p w:rsidR="00370D52" w:rsidRDefault="00A260FB" w:rsidP="00A260FB">
      <w:pPr>
        <w:rPr>
          <w:b/>
          <w:i/>
          <w:sz w:val="24"/>
          <w:szCs w:val="24"/>
        </w:rPr>
      </w:pPr>
      <w:r w:rsidRPr="00A260FB">
        <w:rPr>
          <w:sz w:val="24"/>
          <w:szCs w:val="24"/>
        </w:rPr>
        <w:t xml:space="preserve">Once the list of </w:t>
      </w:r>
      <w:r w:rsidR="00C42363">
        <w:rPr>
          <w:sz w:val="24"/>
          <w:szCs w:val="24"/>
        </w:rPr>
        <w:t xml:space="preserve">ACP </w:t>
      </w:r>
      <w:r w:rsidRPr="00A260FB">
        <w:rPr>
          <w:sz w:val="24"/>
          <w:szCs w:val="24"/>
        </w:rPr>
        <w:t>commodities was completed, ACP industries w</w:t>
      </w:r>
      <w:r w:rsidR="00C42363">
        <w:rPr>
          <w:sz w:val="24"/>
          <w:szCs w:val="24"/>
        </w:rPr>
        <w:t>ere developed.</w:t>
      </w:r>
      <w:r w:rsidRPr="00A260FB">
        <w:rPr>
          <w:sz w:val="24"/>
          <w:szCs w:val="24"/>
        </w:rPr>
        <w:t xml:space="preserve">  ACP industries are </w:t>
      </w:r>
      <w:r w:rsidR="00F5521C">
        <w:rPr>
          <w:sz w:val="24"/>
          <w:szCs w:val="24"/>
        </w:rPr>
        <w:t xml:space="preserve">defined as </w:t>
      </w:r>
      <w:r w:rsidRPr="00A260FB">
        <w:rPr>
          <w:sz w:val="24"/>
          <w:szCs w:val="24"/>
        </w:rPr>
        <w:t xml:space="preserve">those industries that produce </w:t>
      </w:r>
      <w:r w:rsidR="00C42363">
        <w:rPr>
          <w:sz w:val="24"/>
          <w:szCs w:val="24"/>
        </w:rPr>
        <w:t xml:space="preserve">the </w:t>
      </w:r>
      <w:r w:rsidRPr="00A260FB">
        <w:rPr>
          <w:sz w:val="24"/>
          <w:szCs w:val="24"/>
        </w:rPr>
        <w:t xml:space="preserve">commodities that were </w:t>
      </w:r>
      <w:r w:rsidR="00C42363">
        <w:rPr>
          <w:sz w:val="24"/>
          <w:szCs w:val="24"/>
        </w:rPr>
        <w:t>identifie</w:t>
      </w:r>
      <w:r w:rsidR="00F5521C">
        <w:rPr>
          <w:sz w:val="24"/>
          <w:szCs w:val="24"/>
        </w:rPr>
        <w:t>d</w:t>
      </w:r>
      <w:r w:rsidR="00C42363">
        <w:rPr>
          <w:sz w:val="24"/>
          <w:szCs w:val="24"/>
        </w:rPr>
        <w:t xml:space="preserve"> </w:t>
      </w:r>
      <w:r w:rsidRPr="00A260FB">
        <w:rPr>
          <w:sz w:val="24"/>
          <w:szCs w:val="24"/>
        </w:rPr>
        <w:t xml:space="preserve">as arts and culture related.  </w:t>
      </w:r>
      <w:r w:rsidR="00E5254D">
        <w:rPr>
          <w:sz w:val="24"/>
          <w:szCs w:val="24"/>
        </w:rPr>
        <w:t xml:space="preserve">Most ACP industries already </w:t>
      </w:r>
      <w:r w:rsidR="00AD4D63">
        <w:rPr>
          <w:sz w:val="24"/>
          <w:szCs w:val="24"/>
        </w:rPr>
        <w:t xml:space="preserve">exist </w:t>
      </w:r>
      <w:r w:rsidR="00E5254D">
        <w:rPr>
          <w:sz w:val="24"/>
          <w:szCs w:val="24"/>
        </w:rPr>
        <w:t>in the I-O accounts</w:t>
      </w:r>
      <w:r w:rsidR="00AD4D63">
        <w:rPr>
          <w:sz w:val="24"/>
          <w:szCs w:val="24"/>
        </w:rPr>
        <w:t xml:space="preserve"> and generally follow </w:t>
      </w:r>
      <w:r w:rsidR="00B53A07">
        <w:rPr>
          <w:sz w:val="24"/>
          <w:szCs w:val="24"/>
        </w:rPr>
        <w:t xml:space="preserve">the </w:t>
      </w:r>
      <w:r w:rsidR="00AD4D63">
        <w:rPr>
          <w:sz w:val="24"/>
          <w:szCs w:val="24"/>
        </w:rPr>
        <w:t xml:space="preserve">2002 </w:t>
      </w:r>
      <w:r w:rsidR="00B53A07">
        <w:rPr>
          <w:sz w:val="24"/>
          <w:szCs w:val="24"/>
        </w:rPr>
        <w:t>North American Industrial Classification System (</w:t>
      </w:r>
      <w:r w:rsidR="00AD4D63">
        <w:rPr>
          <w:sz w:val="24"/>
          <w:szCs w:val="24"/>
        </w:rPr>
        <w:t>NAICS</w:t>
      </w:r>
      <w:r w:rsidR="00B53A07">
        <w:rPr>
          <w:sz w:val="24"/>
          <w:szCs w:val="24"/>
        </w:rPr>
        <w:t>)</w:t>
      </w:r>
      <w:r w:rsidR="00E5254D">
        <w:rPr>
          <w:sz w:val="24"/>
          <w:szCs w:val="24"/>
        </w:rPr>
        <w:t>.  One exception is the “art support” industry</w:t>
      </w:r>
      <w:r w:rsidR="00EB63B6">
        <w:rPr>
          <w:sz w:val="24"/>
          <w:szCs w:val="24"/>
        </w:rPr>
        <w:t>,</w:t>
      </w:r>
      <w:r w:rsidR="00E5254D">
        <w:rPr>
          <w:sz w:val="24"/>
          <w:szCs w:val="24"/>
        </w:rPr>
        <w:t xml:space="preserve"> which </w:t>
      </w:r>
      <w:r w:rsidR="00486A1B">
        <w:rPr>
          <w:sz w:val="24"/>
          <w:szCs w:val="24"/>
        </w:rPr>
        <w:t xml:space="preserve">is not explicitly recognized in the </w:t>
      </w:r>
      <w:r w:rsidR="00907743">
        <w:rPr>
          <w:sz w:val="24"/>
          <w:szCs w:val="24"/>
        </w:rPr>
        <w:t xml:space="preserve">2002 </w:t>
      </w:r>
      <w:r w:rsidR="00486A1B">
        <w:rPr>
          <w:sz w:val="24"/>
          <w:szCs w:val="24"/>
        </w:rPr>
        <w:t xml:space="preserve">benchmark I-O nor </w:t>
      </w:r>
      <w:r w:rsidR="00907743">
        <w:rPr>
          <w:sz w:val="24"/>
          <w:szCs w:val="24"/>
        </w:rPr>
        <w:t xml:space="preserve">in </w:t>
      </w:r>
      <w:r w:rsidR="00486A1B">
        <w:rPr>
          <w:sz w:val="24"/>
          <w:szCs w:val="24"/>
        </w:rPr>
        <w:t>2002 NAICS.  Th</w:t>
      </w:r>
      <w:r w:rsidR="00452646">
        <w:rPr>
          <w:sz w:val="24"/>
          <w:szCs w:val="24"/>
        </w:rPr>
        <w:t xml:space="preserve">is </w:t>
      </w:r>
      <w:r w:rsidR="00486A1B">
        <w:rPr>
          <w:sz w:val="24"/>
          <w:szCs w:val="24"/>
        </w:rPr>
        <w:t xml:space="preserve">industry spans a number of different benchmark I-O </w:t>
      </w:r>
      <w:r w:rsidR="00452646">
        <w:rPr>
          <w:sz w:val="24"/>
          <w:szCs w:val="24"/>
        </w:rPr>
        <w:t xml:space="preserve">and 2002 NAICS </w:t>
      </w:r>
      <w:r w:rsidR="00486A1B">
        <w:rPr>
          <w:sz w:val="24"/>
          <w:szCs w:val="24"/>
        </w:rPr>
        <w:t>industries</w:t>
      </w:r>
      <w:r w:rsidR="00452646">
        <w:rPr>
          <w:sz w:val="24"/>
          <w:szCs w:val="24"/>
        </w:rPr>
        <w:t>,</w:t>
      </w:r>
      <w:r w:rsidR="00486A1B">
        <w:rPr>
          <w:sz w:val="24"/>
          <w:szCs w:val="24"/>
        </w:rPr>
        <w:t xml:space="preserve"> and </w:t>
      </w:r>
      <w:r w:rsidR="00E5254D">
        <w:rPr>
          <w:sz w:val="24"/>
          <w:szCs w:val="24"/>
        </w:rPr>
        <w:t xml:space="preserve">produces a number of different ACP commodities, including museums, design </w:t>
      </w:r>
      <w:r w:rsidR="00AD4D63">
        <w:rPr>
          <w:sz w:val="24"/>
          <w:szCs w:val="24"/>
        </w:rPr>
        <w:t>services</w:t>
      </w:r>
      <w:r w:rsidR="00E5254D">
        <w:rPr>
          <w:sz w:val="24"/>
          <w:szCs w:val="24"/>
        </w:rPr>
        <w:t xml:space="preserve"> and art education</w:t>
      </w:r>
      <w:r w:rsidR="00AD4D63">
        <w:rPr>
          <w:sz w:val="24"/>
          <w:szCs w:val="24"/>
        </w:rPr>
        <w:t xml:space="preserve">.  </w:t>
      </w:r>
    </w:p>
    <w:p w:rsidR="00A260FB" w:rsidRPr="00193C35" w:rsidRDefault="00370D52" w:rsidP="00A260FB">
      <w:pPr>
        <w:rPr>
          <w:b/>
          <w:i/>
          <w:sz w:val="24"/>
          <w:szCs w:val="24"/>
        </w:rPr>
      </w:pPr>
      <w:r w:rsidRPr="00193C35">
        <w:rPr>
          <w:b/>
          <w:i/>
          <w:sz w:val="24"/>
          <w:szCs w:val="24"/>
        </w:rPr>
        <w:t>Step three: Identif</w:t>
      </w:r>
      <w:r w:rsidR="00023A20">
        <w:rPr>
          <w:b/>
          <w:i/>
          <w:sz w:val="24"/>
          <w:szCs w:val="24"/>
        </w:rPr>
        <w:t>y</w:t>
      </w:r>
      <w:r w:rsidR="004B2FEF">
        <w:rPr>
          <w:b/>
          <w:i/>
          <w:sz w:val="24"/>
          <w:szCs w:val="24"/>
        </w:rPr>
        <w:t>ing</w:t>
      </w:r>
      <w:r w:rsidRPr="00193C35">
        <w:rPr>
          <w:b/>
          <w:i/>
          <w:sz w:val="24"/>
          <w:szCs w:val="24"/>
        </w:rPr>
        <w:t xml:space="preserve"> the arts and culture portions</w:t>
      </w:r>
    </w:p>
    <w:p w:rsidR="004712F9" w:rsidRDefault="00E43D05">
      <w:pPr>
        <w:rPr>
          <w:sz w:val="24"/>
          <w:szCs w:val="24"/>
        </w:rPr>
      </w:pPr>
      <w:r>
        <w:rPr>
          <w:sz w:val="24"/>
          <w:szCs w:val="24"/>
        </w:rPr>
        <w:t>M</w:t>
      </w:r>
      <w:r w:rsidR="00A260FB" w:rsidRPr="00A260FB">
        <w:rPr>
          <w:sz w:val="24"/>
          <w:szCs w:val="24"/>
        </w:rPr>
        <w:t xml:space="preserve">any of </w:t>
      </w:r>
      <w:r>
        <w:rPr>
          <w:sz w:val="24"/>
          <w:szCs w:val="24"/>
        </w:rPr>
        <w:t xml:space="preserve">the items selected for inclusion into the ACPSA </w:t>
      </w:r>
      <w:r w:rsidR="00A260FB" w:rsidRPr="00A260FB">
        <w:rPr>
          <w:sz w:val="24"/>
          <w:szCs w:val="24"/>
        </w:rPr>
        <w:t xml:space="preserve">are not </w:t>
      </w:r>
      <w:r w:rsidR="00E077BA">
        <w:rPr>
          <w:sz w:val="24"/>
          <w:szCs w:val="24"/>
        </w:rPr>
        <w:t>entirely</w:t>
      </w:r>
      <w:r w:rsidR="00E077BA" w:rsidRPr="00A260FB">
        <w:rPr>
          <w:sz w:val="24"/>
          <w:szCs w:val="24"/>
        </w:rPr>
        <w:t xml:space="preserve"> </w:t>
      </w:r>
      <w:r w:rsidR="00A260FB" w:rsidRPr="00A260FB">
        <w:rPr>
          <w:sz w:val="24"/>
          <w:szCs w:val="24"/>
        </w:rPr>
        <w:t>arts</w:t>
      </w:r>
      <w:r w:rsidR="00725143">
        <w:rPr>
          <w:sz w:val="24"/>
          <w:szCs w:val="24"/>
        </w:rPr>
        <w:t xml:space="preserve"> and culture</w:t>
      </w:r>
      <w:r w:rsidR="00A260FB" w:rsidRPr="00A260FB">
        <w:rPr>
          <w:sz w:val="24"/>
          <w:szCs w:val="24"/>
        </w:rPr>
        <w:t xml:space="preserve">-related.  For example, book publishing is primarily an arts-related commodity; however, it is not an ACP commodity entirely.  </w:t>
      </w:r>
      <w:r w:rsidR="00633329">
        <w:rPr>
          <w:sz w:val="24"/>
          <w:szCs w:val="24"/>
        </w:rPr>
        <w:t xml:space="preserve">Using their industry expertise, </w:t>
      </w:r>
      <w:r w:rsidR="00725143">
        <w:rPr>
          <w:sz w:val="24"/>
          <w:szCs w:val="24"/>
        </w:rPr>
        <w:t>BEA</w:t>
      </w:r>
      <w:r w:rsidR="00492406">
        <w:rPr>
          <w:sz w:val="24"/>
          <w:szCs w:val="24"/>
        </w:rPr>
        <w:t xml:space="preserve"> industry analysts identif</w:t>
      </w:r>
      <w:r w:rsidR="00633329">
        <w:rPr>
          <w:sz w:val="24"/>
          <w:szCs w:val="24"/>
        </w:rPr>
        <w:t>ied</w:t>
      </w:r>
      <w:r w:rsidR="00492406">
        <w:rPr>
          <w:sz w:val="24"/>
          <w:szCs w:val="24"/>
        </w:rPr>
        <w:t xml:space="preserve"> arts-related portions for their respective industries.  </w:t>
      </w:r>
      <w:r w:rsidR="00A260FB" w:rsidRPr="00A260FB">
        <w:rPr>
          <w:sz w:val="24"/>
          <w:szCs w:val="24"/>
        </w:rPr>
        <w:t xml:space="preserve">In order to separate the “arts” portion from the </w:t>
      </w:r>
      <w:r w:rsidR="00492406">
        <w:rPr>
          <w:sz w:val="24"/>
          <w:szCs w:val="24"/>
        </w:rPr>
        <w:t xml:space="preserve">“non-arts” </w:t>
      </w:r>
      <w:r w:rsidR="00A260FB" w:rsidRPr="00A260FB">
        <w:rPr>
          <w:sz w:val="24"/>
          <w:szCs w:val="24"/>
        </w:rPr>
        <w:t xml:space="preserve">portion, several data sources were used to supplement the information </w:t>
      </w:r>
      <w:r>
        <w:rPr>
          <w:sz w:val="24"/>
          <w:szCs w:val="24"/>
        </w:rPr>
        <w:t xml:space="preserve">available from </w:t>
      </w:r>
      <w:r w:rsidR="00A260FB" w:rsidRPr="00A260FB">
        <w:rPr>
          <w:sz w:val="24"/>
          <w:szCs w:val="24"/>
        </w:rPr>
        <w:t>the I</w:t>
      </w:r>
      <w:r>
        <w:rPr>
          <w:sz w:val="24"/>
          <w:szCs w:val="24"/>
        </w:rPr>
        <w:t>-</w:t>
      </w:r>
      <w:r w:rsidR="00A260FB" w:rsidRPr="00A260FB">
        <w:rPr>
          <w:sz w:val="24"/>
          <w:szCs w:val="24"/>
        </w:rPr>
        <w:t>O tables</w:t>
      </w:r>
      <w:r>
        <w:rPr>
          <w:sz w:val="24"/>
          <w:szCs w:val="24"/>
        </w:rPr>
        <w:t>, including d</w:t>
      </w:r>
      <w:r w:rsidR="00A260FB" w:rsidRPr="00A260FB">
        <w:rPr>
          <w:sz w:val="24"/>
          <w:szCs w:val="24"/>
        </w:rPr>
        <w:t>etailed information from the U.S. Census Bureau’s Economic Census (EC)</w:t>
      </w:r>
      <w:r w:rsidR="00492406">
        <w:rPr>
          <w:sz w:val="24"/>
          <w:szCs w:val="24"/>
        </w:rPr>
        <w:t xml:space="preserve"> that is not available as part of the benchmark I-O accounts</w:t>
      </w:r>
      <w:r w:rsidR="00A260FB" w:rsidRPr="00A260FB">
        <w:rPr>
          <w:sz w:val="24"/>
          <w:szCs w:val="24"/>
        </w:rPr>
        <w:t xml:space="preserve">.  </w:t>
      </w:r>
      <w:r w:rsidR="00492406">
        <w:rPr>
          <w:sz w:val="24"/>
          <w:szCs w:val="24"/>
        </w:rPr>
        <w:t xml:space="preserve">In some cases, </w:t>
      </w:r>
      <w:r w:rsidR="00633329">
        <w:rPr>
          <w:sz w:val="24"/>
          <w:szCs w:val="24"/>
        </w:rPr>
        <w:t xml:space="preserve">the </w:t>
      </w:r>
      <w:r w:rsidR="00492406">
        <w:rPr>
          <w:sz w:val="24"/>
          <w:szCs w:val="24"/>
        </w:rPr>
        <w:t>Census</w:t>
      </w:r>
      <w:r w:rsidR="00633329">
        <w:rPr>
          <w:sz w:val="24"/>
          <w:szCs w:val="24"/>
        </w:rPr>
        <w:t xml:space="preserve"> Bureau </w:t>
      </w:r>
      <w:r w:rsidR="00492406">
        <w:rPr>
          <w:sz w:val="24"/>
          <w:szCs w:val="24"/>
        </w:rPr>
        <w:t xml:space="preserve">provided </w:t>
      </w:r>
      <w:r w:rsidR="00EE3677">
        <w:rPr>
          <w:sz w:val="24"/>
          <w:szCs w:val="24"/>
        </w:rPr>
        <w:t>additional insights</w:t>
      </w:r>
      <w:r w:rsidR="00492406">
        <w:rPr>
          <w:sz w:val="24"/>
          <w:szCs w:val="24"/>
        </w:rPr>
        <w:t xml:space="preserve"> that proved invaluable for </w:t>
      </w:r>
      <w:r w:rsidR="00585211" w:rsidRPr="00A260FB">
        <w:rPr>
          <w:sz w:val="24"/>
          <w:szCs w:val="24"/>
        </w:rPr>
        <w:t xml:space="preserve">BEA to split commodities into their arts-related and </w:t>
      </w:r>
      <w:r w:rsidR="00585211">
        <w:rPr>
          <w:sz w:val="24"/>
          <w:szCs w:val="24"/>
        </w:rPr>
        <w:t>“</w:t>
      </w:r>
      <w:r w:rsidR="00585211" w:rsidRPr="00A260FB">
        <w:rPr>
          <w:sz w:val="24"/>
          <w:szCs w:val="24"/>
        </w:rPr>
        <w:t>other</w:t>
      </w:r>
      <w:r w:rsidR="00585211">
        <w:rPr>
          <w:sz w:val="24"/>
          <w:szCs w:val="24"/>
        </w:rPr>
        <w:t>”</w:t>
      </w:r>
      <w:r w:rsidR="00585211" w:rsidRPr="00A260FB">
        <w:rPr>
          <w:sz w:val="24"/>
          <w:szCs w:val="24"/>
        </w:rPr>
        <w:t xml:space="preserve"> portion</w:t>
      </w:r>
      <w:r w:rsidR="002A6CE7" w:rsidRPr="002A6CE7">
        <w:rPr>
          <w:b/>
          <w:sz w:val="24"/>
          <w:szCs w:val="24"/>
        </w:rPr>
        <w:t xml:space="preserve">.  </w:t>
      </w:r>
      <w:r w:rsidR="00056889">
        <w:rPr>
          <w:sz w:val="24"/>
          <w:szCs w:val="24"/>
        </w:rPr>
        <w:t xml:space="preserve">Separating the creative from the repetitive was the goal with respect to detailed goods and services.  </w:t>
      </w:r>
    </w:p>
    <w:p w:rsidR="00F057D5" w:rsidRDefault="009A1AEB" w:rsidP="005569C8">
      <w:pPr>
        <w:rPr>
          <w:sz w:val="24"/>
          <w:szCs w:val="24"/>
        </w:rPr>
      </w:pPr>
      <w:r>
        <w:rPr>
          <w:sz w:val="24"/>
          <w:szCs w:val="24"/>
        </w:rPr>
        <w:t>The construction industry was somewhat unique.  Here</w:t>
      </w:r>
      <w:r w:rsidR="00F057D5">
        <w:rPr>
          <w:sz w:val="24"/>
          <w:szCs w:val="24"/>
        </w:rPr>
        <w:t xml:space="preserve">, </w:t>
      </w:r>
      <w:r w:rsidR="00F057D5" w:rsidRPr="00F057D5">
        <w:rPr>
          <w:sz w:val="24"/>
          <w:szCs w:val="24"/>
        </w:rPr>
        <w:t xml:space="preserve">BEA purchased detailed statistics from a private source that identified specific construction projects that were considered to be </w:t>
      </w:r>
      <w:r w:rsidR="00F057D5">
        <w:rPr>
          <w:sz w:val="24"/>
          <w:szCs w:val="24"/>
        </w:rPr>
        <w:t xml:space="preserve">entirely </w:t>
      </w:r>
      <w:r w:rsidR="00F057D5" w:rsidRPr="00F057D5">
        <w:rPr>
          <w:sz w:val="24"/>
          <w:szCs w:val="24"/>
        </w:rPr>
        <w:t>ACP</w:t>
      </w:r>
      <w:r w:rsidR="00F057D5">
        <w:rPr>
          <w:sz w:val="24"/>
          <w:szCs w:val="24"/>
        </w:rPr>
        <w:t>-</w:t>
      </w:r>
      <w:r w:rsidR="00F057D5" w:rsidRPr="00F057D5">
        <w:rPr>
          <w:sz w:val="24"/>
          <w:szCs w:val="24"/>
        </w:rPr>
        <w:t xml:space="preserve">related and this information formed the basis </w:t>
      </w:r>
      <w:r w:rsidR="00F057D5">
        <w:rPr>
          <w:sz w:val="24"/>
          <w:szCs w:val="24"/>
        </w:rPr>
        <w:t xml:space="preserve">of </w:t>
      </w:r>
      <w:r w:rsidR="00F057D5" w:rsidRPr="00F057D5">
        <w:rPr>
          <w:sz w:val="24"/>
          <w:szCs w:val="24"/>
        </w:rPr>
        <w:t>the partials for construction.</w:t>
      </w:r>
    </w:p>
    <w:p w:rsidR="005569C8" w:rsidRPr="00FF57A9" w:rsidRDefault="005569C8" w:rsidP="005569C8">
      <w:pPr>
        <w:rPr>
          <w:b/>
          <w:i/>
          <w:sz w:val="24"/>
          <w:szCs w:val="24"/>
        </w:rPr>
      </w:pPr>
      <w:r w:rsidRPr="00FF57A9">
        <w:rPr>
          <w:b/>
          <w:i/>
          <w:sz w:val="24"/>
          <w:szCs w:val="24"/>
        </w:rPr>
        <w:lastRenderedPageBreak/>
        <w:t xml:space="preserve">Step </w:t>
      </w:r>
      <w:r w:rsidR="00B00453">
        <w:rPr>
          <w:b/>
          <w:i/>
          <w:sz w:val="24"/>
          <w:szCs w:val="24"/>
        </w:rPr>
        <w:t>four</w:t>
      </w:r>
      <w:r w:rsidRPr="00FF57A9">
        <w:rPr>
          <w:b/>
          <w:i/>
          <w:sz w:val="24"/>
          <w:szCs w:val="24"/>
        </w:rPr>
        <w:t xml:space="preserve">:  </w:t>
      </w:r>
      <w:r>
        <w:rPr>
          <w:b/>
          <w:i/>
          <w:sz w:val="24"/>
          <w:szCs w:val="24"/>
        </w:rPr>
        <w:t>Estimating ACP output</w:t>
      </w:r>
    </w:p>
    <w:p w:rsidR="005569C8" w:rsidRPr="00193C35" w:rsidRDefault="00F6329E" w:rsidP="00B408DB">
      <w:pPr>
        <w:rPr>
          <w:sz w:val="24"/>
          <w:szCs w:val="24"/>
        </w:rPr>
      </w:pPr>
      <w:r>
        <w:rPr>
          <w:sz w:val="24"/>
          <w:szCs w:val="24"/>
        </w:rPr>
        <w:t xml:space="preserve">ACP commodity output is estimated by applying the portions developed in step three to the output of the items identified in step one.  The initial item output is taken from the published I-O </w:t>
      </w:r>
      <w:r w:rsidR="009C61AE">
        <w:rPr>
          <w:sz w:val="24"/>
          <w:szCs w:val="24"/>
        </w:rPr>
        <w:t>accounts</w:t>
      </w:r>
      <w:r>
        <w:rPr>
          <w:sz w:val="24"/>
          <w:szCs w:val="24"/>
        </w:rPr>
        <w:t>.  ACP industry output is then derived by aggregating commodity output across industries defined in step two.</w:t>
      </w:r>
      <w:r w:rsidR="009C61AE">
        <w:rPr>
          <w:sz w:val="24"/>
          <w:szCs w:val="24"/>
        </w:rPr>
        <w:t xml:space="preserve"> </w:t>
      </w:r>
      <w:r w:rsidR="00986147" w:rsidRPr="00193C35">
        <w:rPr>
          <w:sz w:val="24"/>
          <w:szCs w:val="24"/>
        </w:rPr>
        <w:t xml:space="preserve">Table </w:t>
      </w:r>
      <w:r w:rsidR="0054188C">
        <w:rPr>
          <w:sz w:val="24"/>
          <w:szCs w:val="24"/>
        </w:rPr>
        <w:t>A</w:t>
      </w:r>
      <w:r w:rsidR="00986147" w:rsidRPr="00193C35">
        <w:rPr>
          <w:sz w:val="24"/>
          <w:szCs w:val="24"/>
        </w:rPr>
        <w:t xml:space="preserve"> in the appendix</w:t>
      </w:r>
      <w:r w:rsidR="009C61AE">
        <w:rPr>
          <w:sz w:val="24"/>
          <w:szCs w:val="24"/>
        </w:rPr>
        <w:t xml:space="preserve"> presents the production of ACP commodities by industry for the year 2011.</w:t>
      </w:r>
    </w:p>
    <w:p w:rsidR="00B408DB" w:rsidRPr="00FF57A9" w:rsidRDefault="00B408DB" w:rsidP="00B408DB">
      <w:pPr>
        <w:rPr>
          <w:b/>
          <w:i/>
          <w:sz w:val="24"/>
          <w:szCs w:val="24"/>
        </w:rPr>
      </w:pPr>
      <w:r w:rsidRPr="00FF57A9">
        <w:rPr>
          <w:b/>
          <w:i/>
          <w:sz w:val="24"/>
          <w:szCs w:val="24"/>
        </w:rPr>
        <w:t xml:space="preserve">Step </w:t>
      </w:r>
      <w:r w:rsidR="00B00453">
        <w:rPr>
          <w:b/>
          <w:i/>
          <w:sz w:val="24"/>
          <w:szCs w:val="24"/>
        </w:rPr>
        <w:t>five</w:t>
      </w:r>
      <w:r w:rsidRPr="00FF57A9">
        <w:rPr>
          <w:b/>
          <w:i/>
          <w:sz w:val="24"/>
          <w:szCs w:val="24"/>
        </w:rPr>
        <w:t xml:space="preserve">:  </w:t>
      </w:r>
      <w:r>
        <w:rPr>
          <w:b/>
          <w:i/>
          <w:sz w:val="24"/>
          <w:szCs w:val="24"/>
        </w:rPr>
        <w:t>Estimating value added</w:t>
      </w:r>
    </w:p>
    <w:p w:rsidR="005569C8" w:rsidRDefault="005569C8" w:rsidP="00EF75FE">
      <w:pPr>
        <w:rPr>
          <w:sz w:val="24"/>
          <w:szCs w:val="24"/>
        </w:rPr>
      </w:pPr>
      <w:r w:rsidRPr="005569C8">
        <w:rPr>
          <w:sz w:val="24"/>
          <w:szCs w:val="24"/>
        </w:rPr>
        <w:t xml:space="preserve">Value added is the difference between an industry’s output and the cost of its intermediate </w:t>
      </w:r>
      <w:r w:rsidR="000653C9" w:rsidRPr="005569C8">
        <w:rPr>
          <w:sz w:val="24"/>
          <w:szCs w:val="24"/>
        </w:rPr>
        <w:t>inputs</w:t>
      </w:r>
      <w:r w:rsidR="00453697">
        <w:rPr>
          <w:sz w:val="24"/>
          <w:szCs w:val="24"/>
        </w:rPr>
        <w:t>.  I</w:t>
      </w:r>
      <w:r w:rsidR="00EF75FE">
        <w:rPr>
          <w:sz w:val="24"/>
          <w:szCs w:val="24"/>
        </w:rPr>
        <w:t>n a fully integrated I-O framework</w:t>
      </w:r>
      <w:r w:rsidR="00453697">
        <w:rPr>
          <w:sz w:val="24"/>
          <w:szCs w:val="24"/>
        </w:rPr>
        <w:t>, value added</w:t>
      </w:r>
      <w:r w:rsidR="00EF75FE">
        <w:rPr>
          <w:sz w:val="24"/>
          <w:szCs w:val="24"/>
        </w:rPr>
        <w:t xml:space="preserve"> equals the sum of </w:t>
      </w:r>
      <w:r w:rsidR="00700021">
        <w:rPr>
          <w:sz w:val="24"/>
          <w:szCs w:val="24"/>
        </w:rPr>
        <w:t xml:space="preserve">the industry’s </w:t>
      </w:r>
      <w:r w:rsidR="00EF75FE">
        <w:rPr>
          <w:sz w:val="24"/>
          <w:szCs w:val="24"/>
        </w:rPr>
        <w:t>compensation</w:t>
      </w:r>
      <w:r w:rsidR="00700021">
        <w:rPr>
          <w:sz w:val="24"/>
          <w:szCs w:val="24"/>
        </w:rPr>
        <w:t xml:space="preserve"> paid</w:t>
      </w:r>
      <w:r w:rsidR="00EF75FE">
        <w:rPr>
          <w:sz w:val="24"/>
          <w:szCs w:val="24"/>
        </w:rPr>
        <w:t>; taxes on production and imports</w:t>
      </w:r>
      <w:r w:rsidR="00700021">
        <w:rPr>
          <w:sz w:val="24"/>
          <w:szCs w:val="24"/>
        </w:rPr>
        <w:t xml:space="preserve"> paid</w:t>
      </w:r>
      <w:r w:rsidR="00EF75FE">
        <w:rPr>
          <w:sz w:val="24"/>
          <w:szCs w:val="24"/>
        </w:rPr>
        <w:t>, less subsidies</w:t>
      </w:r>
      <w:r w:rsidR="00700021">
        <w:rPr>
          <w:sz w:val="24"/>
          <w:szCs w:val="24"/>
        </w:rPr>
        <w:t xml:space="preserve"> received</w:t>
      </w:r>
      <w:r w:rsidR="00EF75FE">
        <w:rPr>
          <w:sz w:val="24"/>
          <w:szCs w:val="24"/>
        </w:rPr>
        <w:t>; and gross operating surplus</w:t>
      </w:r>
      <w:r w:rsidR="00700021">
        <w:rPr>
          <w:sz w:val="24"/>
          <w:szCs w:val="24"/>
        </w:rPr>
        <w:t xml:space="preserve"> earned</w:t>
      </w:r>
      <w:r w:rsidR="00EF75FE">
        <w:rPr>
          <w:sz w:val="24"/>
          <w:szCs w:val="24"/>
        </w:rPr>
        <w:t xml:space="preserve">.  While we can directly estimate ACP </w:t>
      </w:r>
      <w:r w:rsidR="000653C9">
        <w:rPr>
          <w:sz w:val="24"/>
          <w:szCs w:val="24"/>
        </w:rPr>
        <w:t>output,</w:t>
      </w:r>
      <w:r w:rsidR="00EF75FE">
        <w:rPr>
          <w:sz w:val="24"/>
          <w:szCs w:val="24"/>
        </w:rPr>
        <w:t xml:space="preserve"> we are not able to directly measure ACP intermediate inputs nor the components of value added.  As a result, ACP valu</w:t>
      </w:r>
      <w:r w:rsidR="00700021">
        <w:rPr>
          <w:sz w:val="24"/>
          <w:szCs w:val="24"/>
        </w:rPr>
        <w:t xml:space="preserve">e-added is </w:t>
      </w:r>
      <w:r w:rsidR="00B00453">
        <w:rPr>
          <w:sz w:val="24"/>
          <w:szCs w:val="24"/>
        </w:rPr>
        <w:t>imputed</w:t>
      </w:r>
      <w:r w:rsidR="00700021">
        <w:rPr>
          <w:sz w:val="24"/>
          <w:szCs w:val="24"/>
        </w:rPr>
        <w:t xml:space="preserve"> </w:t>
      </w:r>
      <w:r w:rsidR="00910693">
        <w:rPr>
          <w:sz w:val="24"/>
          <w:szCs w:val="24"/>
        </w:rPr>
        <w:t xml:space="preserve">at a detailed level </w:t>
      </w:r>
      <w:r w:rsidR="00700021">
        <w:rPr>
          <w:sz w:val="24"/>
          <w:szCs w:val="24"/>
        </w:rPr>
        <w:t xml:space="preserve">by exploiting the relationship between ACP industry output and total industry output.  That is, the ratio of intermediate consumption associated specifically with ACP </w:t>
      </w:r>
      <w:r w:rsidR="00B00453">
        <w:rPr>
          <w:sz w:val="24"/>
          <w:szCs w:val="24"/>
        </w:rPr>
        <w:t xml:space="preserve">industry </w:t>
      </w:r>
      <w:r w:rsidR="00700021">
        <w:rPr>
          <w:sz w:val="24"/>
          <w:szCs w:val="24"/>
        </w:rPr>
        <w:t xml:space="preserve">output is assumed to be the same as the ratio of total industry intermediate consumption to total industry output.   </w:t>
      </w:r>
      <w:r w:rsidR="00700021" w:rsidRPr="00FF57A9">
        <w:rPr>
          <w:sz w:val="24"/>
          <w:szCs w:val="24"/>
        </w:rPr>
        <w:t xml:space="preserve">Table </w:t>
      </w:r>
      <w:r w:rsidR="0054188C">
        <w:rPr>
          <w:sz w:val="24"/>
          <w:szCs w:val="24"/>
        </w:rPr>
        <w:t>B</w:t>
      </w:r>
      <w:r w:rsidR="00700021" w:rsidRPr="00FF57A9">
        <w:rPr>
          <w:sz w:val="24"/>
          <w:szCs w:val="24"/>
        </w:rPr>
        <w:t xml:space="preserve"> in the appendix</w:t>
      </w:r>
      <w:r w:rsidR="00700021">
        <w:rPr>
          <w:sz w:val="24"/>
          <w:szCs w:val="24"/>
        </w:rPr>
        <w:t xml:space="preserve"> presents output, intermediate consumption and value added </w:t>
      </w:r>
      <w:r w:rsidR="001F056D">
        <w:rPr>
          <w:sz w:val="24"/>
          <w:szCs w:val="24"/>
        </w:rPr>
        <w:t xml:space="preserve">by </w:t>
      </w:r>
      <w:r w:rsidR="00700021">
        <w:rPr>
          <w:sz w:val="24"/>
          <w:szCs w:val="24"/>
        </w:rPr>
        <w:t>ACP industr</w:t>
      </w:r>
      <w:r w:rsidR="001F056D">
        <w:rPr>
          <w:sz w:val="24"/>
          <w:szCs w:val="24"/>
        </w:rPr>
        <w:t>y</w:t>
      </w:r>
      <w:r w:rsidR="00700021">
        <w:rPr>
          <w:sz w:val="24"/>
          <w:szCs w:val="24"/>
        </w:rPr>
        <w:t xml:space="preserve"> for the year 2011.</w:t>
      </w:r>
      <w:r w:rsidR="00700021">
        <w:rPr>
          <w:rStyle w:val="FootnoteReference"/>
          <w:sz w:val="24"/>
          <w:szCs w:val="24"/>
        </w:rPr>
        <w:footnoteReference w:id="5"/>
      </w:r>
    </w:p>
    <w:p w:rsidR="00933B04" w:rsidRPr="00FF57A9" w:rsidRDefault="00933B04" w:rsidP="00933B04">
      <w:pPr>
        <w:rPr>
          <w:b/>
          <w:i/>
          <w:sz w:val="24"/>
          <w:szCs w:val="24"/>
        </w:rPr>
      </w:pPr>
      <w:r w:rsidRPr="00FF57A9">
        <w:rPr>
          <w:b/>
          <w:i/>
          <w:sz w:val="24"/>
          <w:szCs w:val="24"/>
        </w:rPr>
        <w:t xml:space="preserve">Step </w:t>
      </w:r>
      <w:r w:rsidR="00BD5B72">
        <w:rPr>
          <w:b/>
          <w:i/>
          <w:sz w:val="24"/>
          <w:szCs w:val="24"/>
        </w:rPr>
        <w:t>six</w:t>
      </w:r>
      <w:r w:rsidRPr="00FF57A9">
        <w:rPr>
          <w:b/>
          <w:i/>
          <w:sz w:val="24"/>
          <w:szCs w:val="24"/>
        </w:rPr>
        <w:t xml:space="preserve">:  </w:t>
      </w:r>
      <w:r>
        <w:rPr>
          <w:b/>
          <w:i/>
          <w:sz w:val="24"/>
          <w:szCs w:val="24"/>
        </w:rPr>
        <w:t>Estimating employment and compensation</w:t>
      </w:r>
    </w:p>
    <w:p w:rsidR="00E10395" w:rsidRDefault="00910693" w:rsidP="00A260FB">
      <w:pPr>
        <w:rPr>
          <w:sz w:val="24"/>
          <w:szCs w:val="24"/>
        </w:rPr>
      </w:pPr>
      <w:r>
        <w:rPr>
          <w:sz w:val="24"/>
          <w:szCs w:val="24"/>
        </w:rPr>
        <w:t>ACP employment and compensation are estimated using a methodology similar to that used for measuring ACP intermediate consumption, as described above.  ACP employment and compensation statistics are derived at a detailed ACP industry working level by applying the ratio of ACP output to total industry output to total industry employment/compensation.</w:t>
      </w:r>
      <w:r w:rsidR="00E10395">
        <w:rPr>
          <w:sz w:val="24"/>
          <w:szCs w:val="24"/>
        </w:rPr>
        <w:t xml:space="preserve"> Table </w:t>
      </w:r>
      <w:r w:rsidR="00DC2DE1">
        <w:rPr>
          <w:sz w:val="24"/>
          <w:szCs w:val="24"/>
        </w:rPr>
        <w:t>C</w:t>
      </w:r>
      <w:r w:rsidR="00BD5B72">
        <w:rPr>
          <w:sz w:val="24"/>
          <w:szCs w:val="24"/>
        </w:rPr>
        <w:t xml:space="preserve"> </w:t>
      </w:r>
      <w:r w:rsidR="00E10395">
        <w:rPr>
          <w:sz w:val="24"/>
          <w:szCs w:val="24"/>
        </w:rPr>
        <w:t>in the appendix presents employment and compensation of employees by industry for the year 2011.</w:t>
      </w:r>
    </w:p>
    <w:p w:rsidR="005569C8" w:rsidRPr="00193C35" w:rsidRDefault="00E10395" w:rsidP="00A260FB">
      <w:pPr>
        <w:rPr>
          <w:b/>
          <w:i/>
          <w:sz w:val="24"/>
          <w:szCs w:val="24"/>
        </w:rPr>
      </w:pPr>
      <w:r w:rsidRPr="00193C35">
        <w:rPr>
          <w:b/>
          <w:i/>
          <w:sz w:val="24"/>
          <w:szCs w:val="24"/>
        </w:rPr>
        <w:t xml:space="preserve">Step </w:t>
      </w:r>
      <w:r w:rsidR="00BD5B72">
        <w:rPr>
          <w:b/>
          <w:i/>
          <w:sz w:val="24"/>
          <w:szCs w:val="24"/>
        </w:rPr>
        <w:t>seven</w:t>
      </w:r>
      <w:r w:rsidRPr="00193C35">
        <w:rPr>
          <w:b/>
          <w:i/>
          <w:sz w:val="24"/>
          <w:szCs w:val="24"/>
        </w:rPr>
        <w:t xml:space="preserve">:  </w:t>
      </w:r>
      <w:r w:rsidR="00600BE2" w:rsidRPr="00193C35">
        <w:rPr>
          <w:b/>
          <w:i/>
          <w:sz w:val="24"/>
          <w:szCs w:val="24"/>
        </w:rPr>
        <w:t xml:space="preserve">Estimating </w:t>
      </w:r>
      <w:r w:rsidR="00BD5B72">
        <w:rPr>
          <w:b/>
          <w:i/>
          <w:sz w:val="24"/>
          <w:szCs w:val="24"/>
        </w:rPr>
        <w:t xml:space="preserve">total and </w:t>
      </w:r>
      <w:r w:rsidR="00600BE2" w:rsidRPr="00193C35">
        <w:rPr>
          <w:b/>
          <w:i/>
          <w:sz w:val="24"/>
          <w:szCs w:val="24"/>
        </w:rPr>
        <w:t>indirect output and employment</w:t>
      </w:r>
      <w:r w:rsidR="00910693" w:rsidRPr="00193C35">
        <w:rPr>
          <w:b/>
          <w:i/>
          <w:sz w:val="24"/>
          <w:szCs w:val="24"/>
        </w:rPr>
        <w:t xml:space="preserve"> </w:t>
      </w:r>
    </w:p>
    <w:p w:rsidR="00BD5B72" w:rsidRDefault="00BD5B72" w:rsidP="00BD5B72">
      <w:pPr>
        <w:rPr>
          <w:sz w:val="24"/>
          <w:szCs w:val="24"/>
        </w:rPr>
      </w:pPr>
      <w:r w:rsidRPr="00BD5B72">
        <w:rPr>
          <w:sz w:val="24"/>
          <w:szCs w:val="24"/>
        </w:rPr>
        <w:t xml:space="preserve">As described in the previous steps, the ACPSA </w:t>
      </w:r>
      <w:r w:rsidR="001F056D">
        <w:rPr>
          <w:sz w:val="24"/>
          <w:szCs w:val="24"/>
        </w:rPr>
        <w:t xml:space="preserve">includes </w:t>
      </w:r>
      <w:r w:rsidRPr="00BD5B72">
        <w:rPr>
          <w:sz w:val="24"/>
          <w:szCs w:val="24"/>
        </w:rPr>
        <w:t xml:space="preserve">estimates of output and employment for ACP-related commodities and industries.  These are the estimates for </w:t>
      </w:r>
      <w:r>
        <w:rPr>
          <w:sz w:val="24"/>
          <w:szCs w:val="24"/>
        </w:rPr>
        <w:t>“</w:t>
      </w:r>
      <w:r w:rsidRPr="00BD5B72">
        <w:rPr>
          <w:sz w:val="24"/>
          <w:szCs w:val="24"/>
        </w:rPr>
        <w:t>direct</w:t>
      </w:r>
      <w:r>
        <w:rPr>
          <w:sz w:val="24"/>
          <w:szCs w:val="24"/>
        </w:rPr>
        <w:t>”</w:t>
      </w:r>
      <w:r w:rsidRPr="00BD5B72">
        <w:rPr>
          <w:sz w:val="24"/>
          <w:szCs w:val="24"/>
        </w:rPr>
        <w:t xml:space="preserve"> output and employment.  The estimates for indirect output and employment begin with the direct measures</w:t>
      </w:r>
      <w:r>
        <w:rPr>
          <w:sz w:val="24"/>
          <w:szCs w:val="24"/>
        </w:rPr>
        <w:t>; total output and total employment equals the sum of the direct and indirect components</w:t>
      </w:r>
      <w:r w:rsidRPr="00BD5B72">
        <w:rPr>
          <w:sz w:val="24"/>
          <w:szCs w:val="24"/>
        </w:rPr>
        <w:t>.</w:t>
      </w:r>
    </w:p>
    <w:p w:rsidR="00BD5B72" w:rsidRDefault="00BD5B72">
      <w:pPr>
        <w:rPr>
          <w:sz w:val="24"/>
          <w:szCs w:val="24"/>
        </w:rPr>
      </w:pPr>
      <w:r w:rsidRPr="00BD5B72">
        <w:rPr>
          <w:sz w:val="24"/>
          <w:szCs w:val="24"/>
        </w:rPr>
        <w:lastRenderedPageBreak/>
        <w:t xml:space="preserve">Indirect ACP-related output </w:t>
      </w:r>
      <w:r>
        <w:rPr>
          <w:sz w:val="24"/>
          <w:szCs w:val="24"/>
        </w:rPr>
        <w:t xml:space="preserve">consists of </w:t>
      </w:r>
      <w:r w:rsidRPr="00BD5B72">
        <w:rPr>
          <w:sz w:val="24"/>
          <w:szCs w:val="24"/>
        </w:rPr>
        <w:t xml:space="preserve">all the output used as inputs in the process of producing </w:t>
      </w:r>
      <w:r>
        <w:rPr>
          <w:sz w:val="24"/>
          <w:szCs w:val="24"/>
        </w:rPr>
        <w:t xml:space="preserve">the </w:t>
      </w:r>
      <w:r w:rsidRPr="00BD5B72">
        <w:rPr>
          <w:sz w:val="24"/>
          <w:szCs w:val="24"/>
        </w:rPr>
        <w:t xml:space="preserve">direct output.  </w:t>
      </w:r>
      <w:r w:rsidR="00D3453A" w:rsidRPr="00BD5B72">
        <w:rPr>
          <w:sz w:val="24"/>
          <w:szCs w:val="24"/>
        </w:rPr>
        <w:t>For example, the paper used in books is an input into book manufacturing so paper is considered indirect output.</w:t>
      </w:r>
      <w:r w:rsidR="00D3453A">
        <w:rPr>
          <w:sz w:val="24"/>
          <w:szCs w:val="24"/>
        </w:rPr>
        <w:t xml:space="preserve">  </w:t>
      </w:r>
      <w:r>
        <w:rPr>
          <w:sz w:val="24"/>
          <w:szCs w:val="24"/>
        </w:rPr>
        <w:t>Multipliers from BEA’s total requirements tables</w:t>
      </w:r>
      <w:r w:rsidR="00F83879">
        <w:rPr>
          <w:sz w:val="24"/>
          <w:szCs w:val="24"/>
        </w:rPr>
        <w:t xml:space="preserve">, which shows the production required (both directly and indirectly) to meet final demand, </w:t>
      </w:r>
      <w:r>
        <w:rPr>
          <w:sz w:val="24"/>
          <w:szCs w:val="24"/>
        </w:rPr>
        <w:t>are used to estimate these values.</w:t>
      </w:r>
      <w:r>
        <w:rPr>
          <w:rStyle w:val="FootnoteReference"/>
          <w:sz w:val="24"/>
          <w:szCs w:val="24"/>
        </w:rPr>
        <w:footnoteReference w:id="6"/>
      </w:r>
      <w:r>
        <w:rPr>
          <w:sz w:val="24"/>
          <w:szCs w:val="24"/>
        </w:rPr>
        <w:t xml:space="preserve">  </w:t>
      </w:r>
      <w:r w:rsidR="00E80733">
        <w:rPr>
          <w:sz w:val="24"/>
          <w:szCs w:val="24"/>
        </w:rPr>
        <w:t>E</w:t>
      </w:r>
      <w:r w:rsidRPr="00BD5B72">
        <w:rPr>
          <w:sz w:val="24"/>
          <w:szCs w:val="24"/>
        </w:rPr>
        <w:t xml:space="preserve">stimates for </w:t>
      </w:r>
      <w:r w:rsidR="00E80733">
        <w:rPr>
          <w:sz w:val="24"/>
          <w:szCs w:val="24"/>
        </w:rPr>
        <w:t xml:space="preserve">indirect </w:t>
      </w:r>
      <w:r w:rsidRPr="00BD5B72">
        <w:rPr>
          <w:sz w:val="24"/>
          <w:szCs w:val="24"/>
        </w:rPr>
        <w:t>employment are created in a similar manner</w:t>
      </w:r>
      <w:r w:rsidR="00C07588">
        <w:rPr>
          <w:sz w:val="24"/>
          <w:szCs w:val="24"/>
        </w:rPr>
        <w:t xml:space="preserve"> using a requirements-type table that is specifically for employment, produced as part of BEA’s </w:t>
      </w:r>
      <w:r w:rsidR="00C07588" w:rsidRPr="00C07588">
        <w:rPr>
          <w:sz w:val="24"/>
          <w:szCs w:val="24"/>
        </w:rPr>
        <w:t>Regional Input-Output Modeling System</w:t>
      </w:r>
      <w:r w:rsidR="00C07588">
        <w:rPr>
          <w:sz w:val="24"/>
          <w:szCs w:val="24"/>
        </w:rPr>
        <w:t xml:space="preserve"> (RIMS). </w:t>
      </w:r>
      <w:r w:rsidR="00C07588" w:rsidRPr="00BD5B72">
        <w:rPr>
          <w:sz w:val="24"/>
          <w:szCs w:val="24"/>
          <w:vertAlign w:val="superscript"/>
        </w:rPr>
        <w:footnoteReference w:id="7"/>
      </w:r>
      <w:r w:rsidR="00C07588">
        <w:rPr>
          <w:sz w:val="24"/>
          <w:szCs w:val="24"/>
        </w:rPr>
        <w:t xml:space="preserve">  RIMS employment</w:t>
      </w:r>
      <w:r w:rsidRPr="00BD5B72">
        <w:rPr>
          <w:sz w:val="24"/>
          <w:szCs w:val="24"/>
        </w:rPr>
        <w:t xml:space="preserve"> multipliers are applied to the direct employment estimates to produce total ACPSA employment</w:t>
      </w:r>
      <w:r w:rsidR="00C07588">
        <w:rPr>
          <w:sz w:val="24"/>
          <w:szCs w:val="24"/>
        </w:rPr>
        <w:t xml:space="preserve">, with the difference </w:t>
      </w:r>
      <w:r w:rsidRPr="00BD5B72">
        <w:rPr>
          <w:sz w:val="24"/>
          <w:szCs w:val="24"/>
        </w:rPr>
        <w:t xml:space="preserve">between total employment and direct employment </w:t>
      </w:r>
      <w:r w:rsidR="00F544D4">
        <w:rPr>
          <w:sz w:val="24"/>
          <w:szCs w:val="24"/>
        </w:rPr>
        <w:t xml:space="preserve">equal to </w:t>
      </w:r>
      <w:r w:rsidRPr="00BD5B72">
        <w:rPr>
          <w:sz w:val="24"/>
          <w:szCs w:val="24"/>
        </w:rPr>
        <w:t xml:space="preserve">indirect employment.  Indirect ACP-related employment comprises all jobs where the workers are engaged in the production of indirect ACP-related output.  </w:t>
      </w:r>
      <w:r w:rsidR="00F544D4">
        <w:rPr>
          <w:sz w:val="24"/>
          <w:szCs w:val="24"/>
        </w:rPr>
        <w:t>Referring back to our example for indirect output, i</w:t>
      </w:r>
      <w:r w:rsidRPr="00BD5B72">
        <w:rPr>
          <w:sz w:val="24"/>
          <w:szCs w:val="24"/>
        </w:rPr>
        <w:t xml:space="preserve">ndirect employment </w:t>
      </w:r>
      <w:r w:rsidR="00F544D4">
        <w:rPr>
          <w:sz w:val="24"/>
          <w:szCs w:val="24"/>
        </w:rPr>
        <w:t xml:space="preserve">includes </w:t>
      </w:r>
      <w:r w:rsidRPr="00BD5B72">
        <w:rPr>
          <w:sz w:val="24"/>
          <w:szCs w:val="24"/>
        </w:rPr>
        <w:t>those employees producing the paper that is used as an input for books.</w:t>
      </w:r>
    </w:p>
    <w:p w:rsidR="00F544D4" w:rsidRDefault="00F544D4" w:rsidP="00693271">
      <w:pPr>
        <w:rPr>
          <w:b/>
          <w:sz w:val="28"/>
          <w:szCs w:val="28"/>
        </w:rPr>
      </w:pPr>
    </w:p>
    <w:p w:rsidR="00693271" w:rsidRPr="00693271" w:rsidRDefault="00457194" w:rsidP="00693271">
      <w:pPr>
        <w:rPr>
          <w:b/>
          <w:sz w:val="28"/>
          <w:szCs w:val="28"/>
        </w:rPr>
      </w:pPr>
      <w:r>
        <w:rPr>
          <w:b/>
          <w:sz w:val="28"/>
          <w:szCs w:val="28"/>
        </w:rPr>
        <w:t>4</w:t>
      </w:r>
      <w:r w:rsidR="00693271" w:rsidRPr="00693271">
        <w:rPr>
          <w:b/>
          <w:sz w:val="28"/>
          <w:szCs w:val="28"/>
        </w:rPr>
        <w:t>.  ACPSA Statistics</w:t>
      </w:r>
    </w:p>
    <w:p w:rsidR="00693271" w:rsidRPr="00693271" w:rsidRDefault="00693271" w:rsidP="00693271">
      <w:pPr>
        <w:rPr>
          <w:sz w:val="24"/>
          <w:szCs w:val="24"/>
        </w:rPr>
      </w:pPr>
      <w:r w:rsidRPr="00693271">
        <w:rPr>
          <w:sz w:val="24"/>
          <w:szCs w:val="24"/>
        </w:rPr>
        <w:t>With the release of the preliminary ACPSA report on the December 5, 2013, BEA published annual statistics covering years 1998-2011 for the following items: 1) current-dollar output by detailed ACP industries and commodities, 2) employment and compensation within these industries, 3) current-dollar value added by industry, and 4) commodity-flow details for ACP products.  These preliminary statistics were prepared in a fully integrated I-O framework, based on the 2002 Benchmark I-O account.  We are currently in the process of updating these statistics to reflect results from the recently released 2007 Benchmark I‐O account.</w:t>
      </w:r>
      <w:r w:rsidRPr="00693271">
        <w:rPr>
          <w:sz w:val="24"/>
          <w:szCs w:val="24"/>
          <w:vertAlign w:val="superscript"/>
        </w:rPr>
        <w:footnoteReference w:id="8"/>
      </w:r>
    </w:p>
    <w:p w:rsidR="00B00453" w:rsidRDefault="00693271" w:rsidP="00693271">
      <w:pPr>
        <w:rPr>
          <w:sz w:val="24"/>
          <w:szCs w:val="24"/>
        </w:rPr>
      </w:pPr>
      <w:r w:rsidRPr="00693271">
        <w:rPr>
          <w:sz w:val="24"/>
          <w:szCs w:val="24"/>
        </w:rPr>
        <w:t xml:space="preserve">ACPSA statistics are presented under the two broad headings: </w:t>
      </w:r>
      <w:r w:rsidR="000F2282">
        <w:rPr>
          <w:sz w:val="24"/>
          <w:szCs w:val="24"/>
        </w:rPr>
        <w:t xml:space="preserve">1) </w:t>
      </w:r>
      <w:r w:rsidRPr="00693271">
        <w:rPr>
          <w:sz w:val="24"/>
          <w:szCs w:val="24"/>
        </w:rPr>
        <w:t xml:space="preserve">core arts and cultural production and </w:t>
      </w:r>
      <w:r w:rsidR="000F2282">
        <w:rPr>
          <w:sz w:val="24"/>
          <w:szCs w:val="24"/>
        </w:rPr>
        <w:t xml:space="preserve">2) </w:t>
      </w:r>
      <w:r w:rsidRPr="00693271">
        <w:rPr>
          <w:sz w:val="24"/>
          <w:szCs w:val="24"/>
        </w:rPr>
        <w:t xml:space="preserve">supporting arts and cultural production.  </w:t>
      </w:r>
      <w:r w:rsidR="00B00453" w:rsidRPr="00A260FB">
        <w:rPr>
          <w:sz w:val="24"/>
          <w:szCs w:val="24"/>
        </w:rPr>
        <w:t>The core category includes those commodities in which output is identified as primarily contributing to arts and culture</w:t>
      </w:r>
      <w:r w:rsidR="00B00453">
        <w:rPr>
          <w:sz w:val="24"/>
          <w:szCs w:val="24"/>
        </w:rPr>
        <w:t>, including performing arts, museums, design services and arts education</w:t>
      </w:r>
      <w:r w:rsidR="00B00453" w:rsidRPr="00A260FB">
        <w:rPr>
          <w:sz w:val="24"/>
          <w:szCs w:val="24"/>
        </w:rPr>
        <w:t xml:space="preserve">.  The </w:t>
      </w:r>
      <w:r w:rsidR="00B00453">
        <w:rPr>
          <w:sz w:val="24"/>
          <w:szCs w:val="24"/>
        </w:rPr>
        <w:t xml:space="preserve">supporting </w:t>
      </w:r>
      <w:r w:rsidR="00B00453" w:rsidRPr="00A260FB">
        <w:rPr>
          <w:sz w:val="24"/>
          <w:szCs w:val="24"/>
        </w:rPr>
        <w:t>category consists of those commodities that support the core category through publication, dissemination of the creative process, or other supportive functions.</w:t>
      </w:r>
      <w:r w:rsidR="00B00453">
        <w:rPr>
          <w:sz w:val="24"/>
          <w:szCs w:val="24"/>
        </w:rPr>
        <w:t xml:space="preserve">  </w:t>
      </w:r>
      <w:r w:rsidR="001855A8">
        <w:rPr>
          <w:sz w:val="24"/>
          <w:szCs w:val="24"/>
        </w:rPr>
        <w:t xml:space="preserve">Supporting </w:t>
      </w:r>
      <w:r w:rsidR="001855A8" w:rsidRPr="00A260FB">
        <w:rPr>
          <w:sz w:val="24"/>
          <w:szCs w:val="24"/>
        </w:rPr>
        <w:t>commodities</w:t>
      </w:r>
      <w:r w:rsidR="00B00453">
        <w:rPr>
          <w:sz w:val="24"/>
          <w:szCs w:val="24"/>
        </w:rPr>
        <w:t xml:space="preserve"> include things like event promotion, printing, and broadcasting.  </w:t>
      </w:r>
    </w:p>
    <w:p w:rsidR="00AC5085" w:rsidRDefault="00693271" w:rsidP="00693271">
      <w:pPr>
        <w:rPr>
          <w:sz w:val="24"/>
          <w:szCs w:val="24"/>
        </w:rPr>
      </w:pPr>
      <w:r w:rsidRPr="00693271">
        <w:rPr>
          <w:sz w:val="24"/>
          <w:szCs w:val="24"/>
        </w:rPr>
        <w:lastRenderedPageBreak/>
        <w:t xml:space="preserve">Value added, compensation and employment statistics are presented by producing industry for ten categories, including an “all other” (see tables </w:t>
      </w:r>
      <w:r w:rsidR="00DC2DE1">
        <w:rPr>
          <w:sz w:val="24"/>
          <w:szCs w:val="24"/>
        </w:rPr>
        <w:t>B</w:t>
      </w:r>
      <w:r w:rsidRPr="00693271">
        <w:rPr>
          <w:sz w:val="24"/>
          <w:szCs w:val="24"/>
        </w:rPr>
        <w:t xml:space="preserve"> and </w:t>
      </w:r>
      <w:r w:rsidR="00DC2DE1">
        <w:rPr>
          <w:sz w:val="24"/>
          <w:szCs w:val="24"/>
        </w:rPr>
        <w:t>C</w:t>
      </w:r>
      <w:r w:rsidRPr="00693271">
        <w:rPr>
          <w:sz w:val="24"/>
          <w:szCs w:val="24"/>
        </w:rPr>
        <w:t xml:space="preserve">).  Output statistics span both the commodity and industry dimension and as such form the foundation of the ACPSA statistics (see tables </w:t>
      </w:r>
      <w:r w:rsidR="00DC2DE1">
        <w:rPr>
          <w:sz w:val="24"/>
          <w:szCs w:val="24"/>
        </w:rPr>
        <w:t xml:space="preserve">A </w:t>
      </w:r>
      <w:r w:rsidRPr="00693271">
        <w:rPr>
          <w:sz w:val="24"/>
          <w:szCs w:val="24"/>
        </w:rPr>
        <w:t xml:space="preserve">and </w:t>
      </w:r>
      <w:r w:rsidR="00DC2DE1">
        <w:rPr>
          <w:sz w:val="24"/>
          <w:szCs w:val="24"/>
        </w:rPr>
        <w:t>B</w:t>
      </w:r>
      <w:r w:rsidRPr="00693271">
        <w:rPr>
          <w:sz w:val="24"/>
          <w:szCs w:val="24"/>
        </w:rPr>
        <w:t>).  Commodities are presented with slightly more detail, including a split for information that separately identifies print commodities from electronic commodities.  The industries and commodities presented are based on the 20</w:t>
      </w:r>
      <w:r w:rsidR="006C4DCE">
        <w:rPr>
          <w:sz w:val="24"/>
          <w:szCs w:val="24"/>
        </w:rPr>
        <w:t>0</w:t>
      </w:r>
      <w:r w:rsidRPr="00693271">
        <w:rPr>
          <w:sz w:val="24"/>
          <w:szCs w:val="24"/>
        </w:rPr>
        <w:t>2 North American Industrial Classification System (NAICS)</w:t>
      </w:r>
      <w:r w:rsidR="00B53A07">
        <w:rPr>
          <w:sz w:val="24"/>
          <w:szCs w:val="24"/>
        </w:rPr>
        <w:t>.</w:t>
      </w:r>
      <w:r w:rsidR="00B53A07">
        <w:rPr>
          <w:rStyle w:val="FootnoteReference"/>
          <w:sz w:val="24"/>
          <w:szCs w:val="24"/>
        </w:rPr>
        <w:footnoteReference w:id="9"/>
      </w:r>
      <w:r w:rsidR="00B53A07">
        <w:rPr>
          <w:sz w:val="24"/>
          <w:szCs w:val="24"/>
        </w:rPr>
        <w:t xml:space="preserve"> </w:t>
      </w:r>
    </w:p>
    <w:p w:rsidR="00FD3EDA" w:rsidRDefault="00FD3EDA">
      <w:pPr>
        <w:rPr>
          <w:b/>
          <w:sz w:val="24"/>
          <w:szCs w:val="24"/>
        </w:rPr>
      </w:pPr>
      <w:r>
        <w:rPr>
          <w:b/>
          <w:sz w:val="24"/>
          <w:szCs w:val="24"/>
        </w:rPr>
        <w:br w:type="page"/>
      </w:r>
    </w:p>
    <w:p w:rsidR="00693271" w:rsidRPr="00693271" w:rsidRDefault="004E5B64" w:rsidP="00693271">
      <w:pPr>
        <w:rPr>
          <w:b/>
          <w:sz w:val="24"/>
          <w:szCs w:val="24"/>
        </w:rPr>
      </w:pPr>
      <w:r>
        <w:rPr>
          <w:b/>
          <w:sz w:val="24"/>
          <w:szCs w:val="24"/>
        </w:rPr>
        <w:lastRenderedPageBreak/>
        <w:t>4</w:t>
      </w:r>
      <w:r w:rsidR="001855A8">
        <w:rPr>
          <w:b/>
          <w:sz w:val="24"/>
          <w:szCs w:val="24"/>
        </w:rPr>
        <w:t>.1</w:t>
      </w:r>
      <w:r w:rsidR="00693271">
        <w:rPr>
          <w:b/>
          <w:sz w:val="24"/>
          <w:szCs w:val="24"/>
        </w:rPr>
        <w:t xml:space="preserve"> </w:t>
      </w:r>
      <w:r w:rsidR="00693271" w:rsidRPr="00693271">
        <w:rPr>
          <w:b/>
          <w:sz w:val="24"/>
          <w:szCs w:val="24"/>
        </w:rPr>
        <w:t xml:space="preserve">Snapshot of the most recent year </w:t>
      </w:r>
    </w:p>
    <w:p w:rsidR="004712F9" w:rsidRDefault="00C10EF3" w:rsidP="00693271">
      <w:pPr>
        <w:rPr>
          <w:sz w:val="24"/>
          <w:szCs w:val="24"/>
        </w:rPr>
      </w:pPr>
      <w:r>
        <w:rPr>
          <w:sz w:val="24"/>
          <w:szCs w:val="24"/>
        </w:rPr>
        <w:t xml:space="preserve">All estimates in the first release were presented in current-dollars (i.e. unadjusted for price change).  </w:t>
      </w:r>
      <w:r w:rsidR="00693271" w:rsidRPr="00693271">
        <w:rPr>
          <w:sz w:val="24"/>
          <w:szCs w:val="24"/>
        </w:rPr>
        <w:t xml:space="preserve">Table </w:t>
      </w:r>
      <w:r w:rsidR="00FA6985">
        <w:rPr>
          <w:sz w:val="24"/>
          <w:szCs w:val="24"/>
        </w:rPr>
        <w:t>B</w:t>
      </w:r>
      <w:r w:rsidR="00693271" w:rsidRPr="00693271">
        <w:rPr>
          <w:sz w:val="24"/>
          <w:szCs w:val="24"/>
        </w:rPr>
        <w:t xml:space="preserve"> in the appendix presents output and value added by industry for 2011, the most recent year in which we </w:t>
      </w:r>
      <w:r>
        <w:rPr>
          <w:sz w:val="24"/>
          <w:szCs w:val="24"/>
        </w:rPr>
        <w:t xml:space="preserve">currently </w:t>
      </w:r>
      <w:r w:rsidR="00693271" w:rsidRPr="00693271">
        <w:rPr>
          <w:sz w:val="24"/>
          <w:szCs w:val="24"/>
        </w:rPr>
        <w:t xml:space="preserve">have </w:t>
      </w:r>
      <w:r>
        <w:rPr>
          <w:sz w:val="24"/>
          <w:szCs w:val="24"/>
        </w:rPr>
        <w:t>these statistics</w:t>
      </w:r>
      <w:r w:rsidR="00693271" w:rsidRPr="00693271">
        <w:rPr>
          <w:sz w:val="24"/>
          <w:szCs w:val="24"/>
        </w:rPr>
        <w:t xml:space="preserve">.  </w:t>
      </w:r>
      <w:r w:rsidR="00AC5085">
        <w:rPr>
          <w:sz w:val="24"/>
          <w:szCs w:val="24"/>
        </w:rPr>
        <w:t>V</w:t>
      </w:r>
      <w:r w:rsidR="00693271" w:rsidRPr="00693271">
        <w:rPr>
          <w:sz w:val="24"/>
          <w:szCs w:val="24"/>
        </w:rPr>
        <w:t>alue added for arts and cultural production</w:t>
      </w:r>
      <w:r w:rsidR="004712F9">
        <w:rPr>
          <w:sz w:val="24"/>
          <w:szCs w:val="24"/>
        </w:rPr>
        <w:t xml:space="preserve"> </w:t>
      </w:r>
      <w:r w:rsidR="00693271" w:rsidRPr="00693271">
        <w:rPr>
          <w:sz w:val="24"/>
          <w:szCs w:val="24"/>
        </w:rPr>
        <w:t xml:space="preserve">was $504.4 billion, which was 3.2 percent of GDP.  </w:t>
      </w:r>
      <w:r w:rsidR="004712F9">
        <w:rPr>
          <w:sz w:val="24"/>
          <w:szCs w:val="24"/>
        </w:rPr>
        <w:t>ACP's share of GDP in 2011 was larger than the share of industries such as mining, utilities, and</w:t>
      </w:r>
      <w:r w:rsidR="008E0CC1">
        <w:rPr>
          <w:sz w:val="24"/>
          <w:szCs w:val="24"/>
        </w:rPr>
        <w:t xml:space="preserve"> banking</w:t>
      </w:r>
      <w:r w:rsidR="004712F9">
        <w:rPr>
          <w:sz w:val="24"/>
          <w:szCs w:val="24"/>
        </w:rPr>
        <w:t xml:space="preserve">.  </w:t>
      </w:r>
      <w:r w:rsidR="00F3565A">
        <w:rPr>
          <w:sz w:val="24"/>
          <w:szCs w:val="24"/>
        </w:rPr>
        <w:t xml:space="preserve">Gross output for </w:t>
      </w:r>
      <w:r w:rsidR="004712F9">
        <w:rPr>
          <w:sz w:val="24"/>
          <w:szCs w:val="24"/>
        </w:rPr>
        <w:t xml:space="preserve">ACP </w:t>
      </w:r>
      <w:r w:rsidR="00F3565A">
        <w:rPr>
          <w:sz w:val="24"/>
          <w:szCs w:val="24"/>
        </w:rPr>
        <w:t>was $915.9 billion in 2011, with employment just under two million</w:t>
      </w:r>
      <w:r w:rsidR="00AC5085">
        <w:rPr>
          <w:sz w:val="24"/>
          <w:szCs w:val="24"/>
        </w:rPr>
        <w:t xml:space="preserve"> people</w:t>
      </w:r>
      <w:r w:rsidR="00F3565A">
        <w:rPr>
          <w:sz w:val="24"/>
          <w:szCs w:val="24"/>
        </w:rPr>
        <w:t>.  Compensation for these workers</w:t>
      </w:r>
      <w:r w:rsidR="00637913">
        <w:rPr>
          <w:sz w:val="24"/>
          <w:szCs w:val="24"/>
        </w:rPr>
        <w:t xml:space="preserve"> </w:t>
      </w:r>
      <w:r w:rsidR="00F3565A">
        <w:rPr>
          <w:sz w:val="24"/>
          <w:szCs w:val="24"/>
        </w:rPr>
        <w:t>was $</w:t>
      </w:r>
      <w:r w:rsidR="00637913">
        <w:rPr>
          <w:sz w:val="24"/>
          <w:szCs w:val="24"/>
        </w:rPr>
        <w:t>290</w:t>
      </w:r>
      <w:r w:rsidR="00F3565A">
        <w:rPr>
          <w:sz w:val="24"/>
          <w:szCs w:val="24"/>
        </w:rPr>
        <w:t xml:space="preserve"> million</w:t>
      </w:r>
      <w:r w:rsidR="004129BE">
        <w:rPr>
          <w:sz w:val="24"/>
          <w:szCs w:val="24"/>
        </w:rPr>
        <w:t xml:space="preserve">, </w:t>
      </w:r>
      <w:r w:rsidR="00637913">
        <w:rPr>
          <w:sz w:val="24"/>
          <w:szCs w:val="24"/>
        </w:rPr>
        <w:t xml:space="preserve">nearly </w:t>
      </w:r>
      <w:r w:rsidR="004129BE">
        <w:rPr>
          <w:sz w:val="24"/>
          <w:szCs w:val="24"/>
        </w:rPr>
        <w:t>the same size of compensation for all nondurable goods manufacturing</w:t>
      </w:r>
      <w:r w:rsidR="00637913">
        <w:rPr>
          <w:sz w:val="24"/>
          <w:szCs w:val="24"/>
        </w:rPr>
        <w:t xml:space="preserve"> ($308 million)</w:t>
      </w:r>
      <w:r w:rsidR="004129BE">
        <w:rPr>
          <w:sz w:val="24"/>
          <w:szCs w:val="24"/>
        </w:rPr>
        <w:t>.</w:t>
      </w:r>
      <w:r w:rsidR="00F3565A">
        <w:rPr>
          <w:sz w:val="24"/>
          <w:szCs w:val="24"/>
        </w:rPr>
        <w:t xml:space="preserve">   </w:t>
      </w:r>
    </w:p>
    <w:p w:rsidR="00693271" w:rsidRPr="00693271" w:rsidRDefault="00693271" w:rsidP="00693271">
      <w:pPr>
        <w:rPr>
          <w:b/>
          <w:i/>
          <w:sz w:val="24"/>
          <w:szCs w:val="24"/>
        </w:rPr>
      </w:pPr>
      <w:r w:rsidRPr="00693271">
        <w:rPr>
          <w:sz w:val="24"/>
          <w:szCs w:val="24"/>
        </w:rPr>
        <w:t>Core arts and cultural production, which includes performing arts, museums, design services, and arts education</w:t>
      </w:r>
      <w:r w:rsidR="00AC5085">
        <w:rPr>
          <w:sz w:val="24"/>
          <w:szCs w:val="24"/>
        </w:rPr>
        <w:t xml:space="preserve"> industries</w:t>
      </w:r>
      <w:r w:rsidRPr="00693271">
        <w:rPr>
          <w:sz w:val="24"/>
          <w:szCs w:val="24"/>
        </w:rPr>
        <w:t>, contributed $135.3 billion</w:t>
      </w:r>
      <w:r w:rsidR="00C10EF3">
        <w:rPr>
          <w:sz w:val="24"/>
          <w:szCs w:val="24"/>
        </w:rPr>
        <w:t xml:space="preserve"> to GDP</w:t>
      </w:r>
      <w:r w:rsidRPr="00693271">
        <w:rPr>
          <w:sz w:val="24"/>
          <w:szCs w:val="24"/>
        </w:rPr>
        <w:t xml:space="preserve">, while supporting arts and cultural production contributed </w:t>
      </w:r>
      <w:r w:rsidR="00C10EF3">
        <w:rPr>
          <w:sz w:val="24"/>
          <w:szCs w:val="24"/>
        </w:rPr>
        <w:t xml:space="preserve">an additional </w:t>
      </w:r>
      <w:r w:rsidRPr="00693271">
        <w:rPr>
          <w:sz w:val="24"/>
          <w:szCs w:val="24"/>
        </w:rPr>
        <w:t xml:space="preserve">$345.7 billion.  Within the </w:t>
      </w:r>
      <w:r w:rsidR="00803AEA">
        <w:rPr>
          <w:sz w:val="24"/>
          <w:szCs w:val="24"/>
        </w:rPr>
        <w:t>“</w:t>
      </w:r>
      <w:r w:rsidRPr="00693271">
        <w:rPr>
          <w:sz w:val="24"/>
          <w:szCs w:val="24"/>
        </w:rPr>
        <w:t>core</w:t>
      </w:r>
      <w:r w:rsidR="00803AEA">
        <w:rPr>
          <w:sz w:val="24"/>
          <w:szCs w:val="24"/>
        </w:rPr>
        <w:t>”</w:t>
      </w:r>
      <w:r w:rsidRPr="00693271">
        <w:rPr>
          <w:sz w:val="24"/>
          <w:szCs w:val="24"/>
        </w:rPr>
        <w:t xml:space="preserve"> group, “design services” led the way, contributing $76.5 billion (see chart below).  Value added for this</w:t>
      </w:r>
      <w:r w:rsidR="00AC5085">
        <w:rPr>
          <w:sz w:val="24"/>
          <w:szCs w:val="24"/>
        </w:rPr>
        <w:t xml:space="preserve"> industry</w:t>
      </w:r>
      <w:r w:rsidRPr="00693271">
        <w:rPr>
          <w:sz w:val="24"/>
          <w:szCs w:val="24"/>
        </w:rPr>
        <w:t xml:space="preserve"> category reflects the production of advertising and architectural services.  Value added for “performing arts” was $42.5 billion, which includes independent artists, writers and performers.  Within the </w:t>
      </w:r>
      <w:r w:rsidR="00803AEA">
        <w:rPr>
          <w:sz w:val="24"/>
          <w:szCs w:val="24"/>
        </w:rPr>
        <w:t>“</w:t>
      </w:r>
      <w:r w:rsidRPr="00693271">
        <w:rPr>
          <w:sz w:val="24"/>
          <w:szCs w:val="24"/>
        </w:rPr>
        <w:t>supporting</w:t>
      </w:r>
      <w:r w:rsidR="00803AEA">
        <w:rPr>
          <w:sz w:val="24"/>
          <w:szCs w:val="24"/>
        </w:rPr>
        <w:t xml:space="preserve">” </w:t>
      </w:r>
      <w:r w:rsidRPr="00693271">
        <w:rPr>
          <w:sz w:val="24"/>
          <w:szCs w:val="24"/>
        </w:rPr>
        <w:t xml:space="preserve">group, “information” </w:t>
      </w:r>
      <w:r w:rsidR="00F520D5">
        <w:rPr>
          <w:sz w:val="24"/>
          <w:szCs w:val="24"/>
        </w:rPr>
        <w:t>was the leading contributor to value</w:t>
      </w:r>
      <w:r w:rsidR="00803AEA">
        <w:rPr>
          <w:sz w:val="24"/>
          <w:szCs w:val="24"/>
        </w:rPr>
        <w:t xml:space="preserve"> </w:t>
      </w:r>
      <w:r w:rsidR="00F520D5">
        <w:rPr>
          <w:sz w:val="24"/>
          <w:szCs w:val="24"/>
        </w:rPr>
        <w:t xml:space="preserve">added, </w:t>
      </w:r>
      <w:r w:rsidR="00803AEA">
        <w:rPr>
          <w:sz w:val="24"/>
          <w:szCs w:val="24"/>
        </w:rPr>
        <w:t>with</w:t>
      </w:r>
      <w:r w:rsidR="00F520D5">
        <w:rPr>
          <w:sz w:val="24"/>
          <w:szCs w:val="24"/>
        </w:rPr>
        <w:t xml:space="preserve"> </w:t>
      </w:r>
      <w:r w:rsidRPr="00693271">
        <w:rPr>
          <w:sz w:val="24"/>
          <w:szCs w:val="24"/>
        </w:rPr>
        <w:t>$198.7 billion.  Value added for th</w:t>
      </w:r>
      <w:r w:rsidR="00803AEA">
        <w:rPr>
          <w:sz w:val="24"/>
          <w:szCs w:val="24"/>
        </w:rPr>
        <w:t>e</w:t>
      </w:r>
      <w:r w:rsidRPr="00693271">
        <w:rPr>
          <w:sz w:val="24"/>
          <w:szCs w:val="24"/>
        </w:rPr>
        <w:t xml:space="preserve"> </w:t>
      </w:r>
      <w:r w:rsidR="00803AEA">
        <w:rPr>
          <w:sz w:val="24"/>
          <w:szCs w:val="24"/>
        </w:rPr>
        <w:t>information</w:t>
      </w:r>
      <w:r w:rsidRPr="00693271">
        <w:rPr>
          <w:sz w:val="24"/>
          <w:szCs w:val="24"/>
        </w:rPr>
        <w:t xml:space="preserve"> </w:t>
      </w:r>
      <w:r w:rsidR="00803AEA">
        <w:rPr>
          <w:sz w:val="24"/>
          <w:szCs w:val="24"/>
        </w:rPr>
        <w:t xml:space="preserve">category </w:t>
      </w:r>
      <w:r w:rsidRPr="00693271">
        <w:rPr>
          <w:sz w:val="24"/>
          <w:szCs w:val="24"/>
        </w:rPr>
        <w:t xml:space="preserve">reflects the production of telecommunications, broadcasting and other related services required to deliver many of the core art and cultural products.  The second largest contributor </w:t>
      </w:r>
      <w:r w:rsidR="00803AEA">
        <w:rPr>
          <w:sz w:val="24"/>
          <w:szCs w:val="24"/>
        </w:rPr>
        <w:t xml:space="preserve">to value added </w:t>
      </w:r>
      <w:r w:rsidRPr="00693271">
        <w:rPr>
          <w:sz w:val="24"/>
          <w:szCs w:val="24"/>
        </w:rPr>
        <w:t>was “art support,” which includes both public and private promoters of the performing arts.</w:t>
      </w:r>
    </w:p>
    <w:p w:rsidR="00693271" w:rsidRPr="00693271" w:rsidRDefault="00693271" w:rsidP="00693271">
      <w:pPr>
        <w:rPr>
          <w:sz w:val="24"/>
          <w:szCs w:val="24"/>
        </w:rPr>
      </w:pPr>
      <w:r w:rsidRPr="00693271">
        <w:rPr>
          <w:noProof/>
          <w:sz w:val="24"/>
          <w:szCs w:val="24"/>
        </w:rPr>
        <w:drawing>
          <wp:inline distT="0" distB="0" distL="0" distR="0" wp14:anchorId="05C89289" wp14:editId="7AAA4850">
            <wp:extent cx="4701396" cy="2984740"/>
            <wp:effectExtent l="0" t="0" r="23495" b="254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D3EDA" w:rsidRDefault="00FD3EDA" w:rsidP="00693271">
      <w:pPr>
        <w:rPr>
          <w:sz w:val="24"/>
          <w:szCs w:val="24"/>
        </w:rPr>
      </w:pPr>
    </w:p>
    <w:p w:rsidR="00693271" w:rsidRPr="00FD3EDA" w:rsidRDefault="00FD3EDA" w:rsidP="00693271">
      <w:pPr>
        <w:rPr>
          <w:b/>
          <w:sz w:val="24"/>
          <w:szCs w:val="24"/>
        </w:rPr>
      </w:pPr>
      <w:r>
        <w:rPr>
          <w:b/>
          <w:sz w:val="24"/>
          <w:szCs w:val="24"/>
        </w:rPr>
        <w:br w:type="page"/>
      </w:r>
      <w:r w:rsidR="004E5B64">
        <w:rPr>
          <w:b/>
          <w:sz w:val="24"/>
          <w:szCs w:val="24"/>
        </w:rPr>
        <w:lastRenderedPageBreak/>
        <w:t>4</w:t>
      </w:r>
      <w:r w:rsidR="001855A8">
        <w:rPr>
          <w:b/>
          <w:sz w:val="24"/>
          <w:szCs w:val="24"/>
        </w:rPr>
        <w:t>.2</w:t>
      </w:r>
      <w:r w:rsidR="00693271" w:rsidRPr="00693271">
        <w:rPr>
          <w:b/>
          <w:sz w:val="24"/>
          <w:szCs w:val="24"/>
        </w:rPr>
        <w:t xml:space="preserve"> Trends and comparisons</w:t>
      </w:r>
    </w:p>
    <w:p w:rsidR="00FD3EDA" w:rsidRDefault="00693271" w:rsidP="00693271">
      <w:pPr>
        <w:rPr>
          <w:sz w:val="24"/>
          <w:szCs w:val="24"/>
        </w:rPr>
      </w:pPr>
      <w:r w:rsidRPr="00693271">
        <w:rPr>
          <w:sz w:val="24"/>
          <w:szCs w:val="24"/>
        </w:rPr>
        <w:t>While value added attributable to arts and culture track</w:t>
      </w:r>
      <w:r w:rsidR="00803AEA">
        <w:rPr>
          <w:sz w:val="24"/>
          <w:szCs w:val="24"/>
        </w:rPr>
        <w:t>s</w:t>
      </w:r>
      <w:r w:rsidRPr="00693271">
        <w:rPr>
          <w:sz w:val="24"/>
          <w:szCs w:val="24"/>
        </w:rPr>
        <w:t xml:space="preserve"> </w:t>
      </w:r>
      <w:r w:rsidR="00803AEA">
        <w:rPr>
          <w:sz w:val="24"/>
          <w:szCs w:val="24"/>
        </w:rPr>
        <w:t>GDP</w:t>
      </w:r>
      <w:r w:rsidRPr="00693271">
        <w:rPr>
          <w:sz w:val="24"/>
          <w:szCs w:val="24"/>
        </w:rPr>
        <w:t xml:space="preserve"> fairly well, it does appear to be more sensitive to the contraction over the recent business cycle than the overall economy.  </w:t>
      </w:r>
      <w:r w:rsidR="00443238">
        <w:rPr>
          <w:sz w:val="24"/>
          <w:szCs w:val="24"/>
        </w:rPr>
        <w:t>The c</w:t>
      </w:r>
      <w:r w:rsidRPr="00693271">
        <w:rPr>
          <w:sz w:val="24"/>
          <w:szCs w:val="24"/>
        </w:rPr>
        <w:t xml:space="preserve">hart below presents a comparison of current-dollar GDP (scaled to the left axis) and current-dollar value added attributable to arts and culture (scaled to the right axis).  The </w:t>
      </w:r>
      <w:r w:rsidR="00443238">
        <w:rPr>
          <w:sz w:val="24"/>
          <w:szCs w:val="24"/>
        </w:rPr>
        <w:t>chart</w:t>
      </w:r>
      <w:r w:rsidRPr="00693271">
        <w:rPr>
          <w:sz w:val="24"/>
          <w:szCs w:val="24"/>
        </w:rPr>
        <w:t xml:space="preserve"> illustrates that during the Great Recession, arts and cultural production fell a bit deeper (3.5 percent) than did GDP (2.1 percent).  We also see that during the expansion that takes place following the 2001 recession that arts and cultural production grows at a slightly slower pace than GDP; the average annual growth from 2001 to 2007 for GDP and </w:t>
      </w:r>
      <w:r w:rsidR="006F4114">
        <w:rPr>
          <w:sz w:val="24"/>
          <w:szCs w:val="24"/>
        </w:rPr>
        <w:t>ACP</w:t>
      </w:r>
      <w:r w:rsidRPr="00693271">
        <w:rPr>
          <w:sz w:val="24"/>
          <w:szCs w:val="24"/>
        </w:rPr>
        <w:t xml:space="preserve"> was 5.3 percent and 4.1 percent, respectively.</w:t>
      </w:r>
    </w:p>
    <w:p w:rsidR="00693271" w:rsidRDefault="00693271" w:rsidP="00693271">
      <w:pPr>
        <w:rPr>
          <w:noProof/>
          <w:sz w:val="24"/>
          <w:szCs w:val="24"/>
        </w:rPr>
      </w:pPr>
    </w:p>
    <w:p w:rsidR="00443238" w:rsidRDefault="00443238" w:rsidP="00693271">
      <w:pPr>
        <w:rPr>
          <w:noProof/>
          <w:sz w:val="24"/>
          <w:szCs w:val="24"/>
        </w:rPr>
      </w:pPr>
    </w:p>
    <w:p w:rsidR="00443238" w:rsidRDefault="00443238" w:rsidP="00693271">
      <w:pPr>
        <w:rPr>
          <w:i/>
          <w:sz w:val="24"/>
          <w:szCs w:val="24"/>
        </w:rPr>
      </w:pPr>
      <w:r>
        <w:rPr>
          <w:i/>
          <w:noProof/>
          <w:sz w:val="24"/>
          <w:szCs w:val="24"/>
        </w:rPr>
        <w:drawing>
          <wp:inline distT="0" distB="0" distL="0" distR="0" wp14:anchorId="2E5DA4AF">
            <wp:extent cx="6244150" cy="4536294"/>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50092" cy="4540610"/>
                    </a:xfrm>
                    <a:prstGeom prst="rect">
                      <a:avLst/>
                    </a:prstGeom>
                    <a:noFill/>
                  </pic:spPr>
                </pic:pic>
              </a:graphicData>
            </a:graphic>
          </wp:inline>
        </w:drawing>
      </w:r>
    </w:p>
    <w:p w:rsidR="00384DCD" w:rsidRDefault="00384DCD" w:rsidP="00693271">
      <w:pPr>
        <w:rPr>
          <w:i/>
          <w:sz w:val="24"/>
          <w:szCs w:val="24"/>
        </w:rPr>
      </w:pPr>
    </w:p>
    <w:p w:rsidR="005A4836" w:rsidRDefault="00384DCD" w:rsidP="00693271">
      <w:pPr>
        <w:rPr>
          <w:sz w:val="24"/>
          <w:szCs w:val="24"/>
        </w:rPr>
      </w:pPr>
      <w:r>
        <w:rPr>
          <w:sz w:val="24"/>
          <w:szCs w:val="24"/>
        </w:rPr>
        <w:lastRenderedPageBreak/>
        <w:t>Th</w:t>
      </w:r>
      <w:r w:rsidR="006F4114">
        <w:rPr>
          <w:sz w:val="24"/>
          <w:szCs w:val="24"/>
        </w:rPr>
        <w:t xml:space="preserve">is new account </w:t>
      </w:r>
      <w:r>
        <w:rPr>
          <w:sz w:val="24"/>
          <w:szCs w:val="24"/>
        </w:rPr>
        <w:t xml:space="preserve">also provides useful insights for trends within the </w:t>
      </w:r>
      <w:r w:rsidR="005A4836">
        <w:rPr>
          <w:sz w:val="24"/>
          <w:szCs w:val="24"/>
        </w:rPr>
        <w:t>ACP components and underlying detail</w:t>
      </w:r>
      <w:r>
        <w:rPr>
          <w:sz w:val="24"/>
          <w:szCs w:val="24"/>
        </w:rPr>
        <w:t xml:space="preserve">.  For example, the chart below </w:t>
      </w:r>
      <w:r w:rsidR="005A4836">
        <w:rPr>
          <w:sz w:val="24"/>
          <w:szCs w:val="24"/>
        </w:rPr>
        <w:t>presents output and value added for museums.  The pattern for value added is interesting</w:t>
      </w:r>
      <w:r w:rsidR="006F4114">
        <w:rPr>
          <w:sz w:val="24"/>
          <w:szCs w:val="24"/>
        </w:rPr>
        <w:t xml:space="preserve">; we observe </w:t>
      </w:r>
      <w:r w:rsidR="005A4836">
        <w:rPr>
          <w:sz w:val="24"/>
          <w:szCs w:val="24"/>
        </w:rPr>
        <w:t xml:space="preserve">a notable jump in 2010 and then </w:t>
      </w:r>
      <w:r w:rsidR="006F4114">
        <w:rPr>
          <w:sz w:val="24"/>
          <w:szCs w:val="24"/>
        </w:rPr>
        <w:t xml:space="preserve">a </w:t>
      </w:r>
      <w:r w:rsidR="00396863">
        <w:rPr>
          <w:sz w:val="24"/>
          <w:szCs w:val="24"/>
        </w:rPr>
        <w:t>flattening out</w:t>
      </w:r>
      <w:r w:rsidR="005A4836">
        <w:rPr>
          <w:sz w:val="24"/>
          <w:szCs w:val="24"/>
        </w:rPr>
        <w:t xml:space="preserve"> </w:t>
      </w:r>
      <w:r w:rsidR="00F63F75">
        <w:rPr>
          <w:sz w:val="24"/>
          <w:szCs w:val="24"/>
        </w:rPr>
        <w:t>in 2011</w:t>
      </w:r>
      <w:r w:rsidR="005A4836">
        <w:rPr>
          <w:sz w:val="24"/>
          <w:szCs w:val="24"/>
        </w:rPr>
        <w:t xml:space="preserve">.  Turning to gross output to try to better understand </w:t>
      </w:r>
      <w:r w:rsidR="00F57695">
        <w:rPr>
          <w:sz w:val="24"/>
          <w:szCs w:val="24"/>
        </w:rPr>
        <w:t xml:space="preserve">the </w:t>
      </w:r>
      <w:r w:rsidR="005A4836">
        <w:rPr>
          <w:sz w:val="24"/>
          <w:szCs w:val="24"/>
        </w:rPr>
        <w:t xml:space="preserve">value added measures, we observe notable increases in both 2007 and 2008 followed by a flattening out </w:t>
      </w:r>
      <w:r w:rsidR="00F63F75">
        <w:rPr>
          <w:sz w:val="24"/>
          <w:szCs w:val="24"/>
        </w:rPr>
        <w:t>beginning with</w:t>
      </w:r>
      <w:r w:rsidR="005A4836">
        <w:rPr>
          <w:sz w:val="24"/>
          <w:szCs w:val="24"/>
        </w:rPr>
        <w:t xml:space="preserve"> 2009.  </w:t>
      </w:r>
      <w:r w:rsidR="00F57695">
        <w:rPr>
          <w:sz w:val="24"/>
          <w:szCs w:val="24"/>
        </w:rPr>
        <w:t>T</w:t>
      </w:r>
      <w:r w:rsidR="00F57695" w:rsidRPr="00F57695">
        <w:rPr>
          <w:sz w:val="24"/>
          <w:szCs w:val="24"/>
        </w:rPr>
        <w:t xml:space="preserve">he notable acceleration in </w:t>
      </w:r>
      <w:r w:rsidR="00F57695">
        <w:rPr>
          <w:sz w:val="24"/>
          <w:szCs w:val="24"/>
        </w:rPr>
        <w:t xml:space="preserve">gross output </w:t>
      </w:r>
      <w:r w:rsidR="00F57695" w:rsidRPr="00F57695">
        <w:rPr>
          <w:sz w:val="24"/>
          <w:szCs w:val="24"/>
        </w:rPr>
        <w:t>w</w:t>
      </w:r>
      <w:r w:rsidR="00F57695">
        <w:rPr>
          <w:sz w:val="24"/>
          <w:szCs w:val="24"/>
        </w:rPr>
        <w:t>as</w:t>
      </w:r>
      <w:r w:rsidR="00F57695" w:rsidRPr="00F57695">
        <w:rPr>
          <w:sz w:val="24"/>
          <w:szCs w:val="24"/>
        </w:rPr>
        <w:t xml:space="preserve"> wide spread in 2007, while </w:t>
      </w:r>
      <w:r w:rsidR="00F57695">
        <w:rPr>
          <w:sz w:val="24"/>
          <w:szCs w:val="24"/>
        </w:rPr>
        <w:t xml:space="preserve">the acceleration in </w:t>
      </w:r>
      <w:r w:rsidR="00F57695" w:rsidRPr="00F57695">
        <w:rPr>
          <w:sz w:val="24"/>
          <w:szCs w:val="24"/>
        </w:rPr>
        <w:t xml:space="preserve">2008 was concentrated in historical site museums.  </w:t>
      </w:r>
      <w:r w:rsidR="00F57695">
        <w:rPr>
          <w:sz w:val="24"/>
          <w:szCs w:val="24"/>
        </w:rPr>
        <w:t>T</w:t>
      </w:r>
      <w:r w:rsidR="00F57695" w:rsidRPr="00F57695">
        <w:rPr>
          <w:sz w:val="24"/>
          <w:szCs w:val="24"/>
        </w:rPr>
        <w:t xml:space="preserve">he I-O ratios increase </w:t>
      </w:r>
      <w:r w:rsidR="006F4114">
        <w:rPr>
          <w:sz w:val="24"/>
          <w:szCs w:val="24"/>
        </w:rPr>
        <w:t>from 20</w:t>
      </w:r>
      <w:r w:rsidR="00F57695" w:rsidRPr="00F57695">
        <w:rPr>
          <w:sz w:val="24"/>
          <w:szCs w:val="24"/>
        </w:rPr>
        <w:t>07</w:t>
      </w:r>
      <w:r w:rsidR="006F4114">
        <w:rPr>
          <w:sz w:val="24"/>
          <w:szCs w:val="24"/>
        </w:rPr>
        <w:t>-2009</w:t>
      </w:r>
      <w:r w:rsidR="00F57695" w:rsidRPr="00F57695">
        <w:rPr>
          <w:sz w:val="24"/>
          <w:szCs w:val="24"/>
        </w:rPr>
        <w:t>, then drop notably in 2010 suggesting that museums bec</w:t>
      </w:r>
      <w:r w:rsidR="00396863">
        <w:rPr>
          <w:sz w:val="24"/>
          <w:szCs w:val="24"/>
        </w:rPr>
        <w:t>a</w:t>
      </w:r>
      <w:r w:rsidR="00F57695" w:rsidRPr="00F57695">
        <w:rPr>
          <w:sz w:val="24"/>
          <w:szCs w:val="24"/>
        </w:rPr>
        <w:t xml:space="preserve">me more </w:t>
      </w:r>
      <w:r w:rsidR="00F57695">
        <w:rPr>
          <w:sz w:val="24"/>
          <w:szCs w:val="24"/>
        </w:rPr>
        <w:t xml:space="preserve">efficient and </w:t>
      </w:r>
      <w:r w:rsidR="00F57695" w:rsidRPr="00F57695">
        <w:rPr>
          <w:sz w:val="24"/>
          <w:szCs w:val="24"/>
        </w:rPr>
        <w:t>profitable</w:t>
      </w:r>
      <w:r w:rsidR="00F57695">
        <w:rPr>
          <w:sz w:val="24"/>
          <w:szCs w:val="24"/>
        </w:rPr>
        <w:t xml:space="preserve">.  </w:t>
      </w:r>
      <w:r w:rsidR="005A4836">
        <w:rPr>
          <w:sz w:val="24"/>
          <w:szCs w:val="24"/>
        </w:rPr>
        <w:t>Does th</w:t>
      </w:r>
      <w:r w:rsidR="00F57695">
        <w:rPr>
          <w:sz w:val="24"/>
          <w:szCs w:val="24"/>
        </w:rPr>
        <w:t xml:space="preserve">is </w:t>
      </w:r>
      <w:r w:rsidR="005A4836">
        <w:rPr>
          <w:sz w:val="24"/>
          <w:szCs w:val="24"/>
        </w:rPr>
        <w:t xml:space="preserve">suggest that gross output is a leading indicator for value added for museums?  </w:t>
      </w:r>
      <w:r w:rsidR="00F57695">
        <w:rPr>
          <w:sz w:val="24"/>
          <w:szCs w:val="24"/>
        </w:rPr>
        <w:t xml:space="preserve">Perhaps, but the salient point here is that these are the types of detailed statistics that the ACPSA offers for additional research and analysis.  </w:t>
      </w:r>
    </w:p>
    <w:p w:rsidR="00443238" w:rsidRDefault="00443238" w:rsidP="00693271">
      <w:pPr>
        <w:rPr>
          <w:sz w:val="24"/>
          <w:szCs w:val="24"/>
        </w:rPr>
      </w:pPr>
    </w:p>
    <w:p w:rsidR="005A4836" w:rsidRPr="00384DCD" w:rsidRDefault="00106AC6" w:rsidP="00693271">
      <w:pPr>
        <w:rPr>
          <w:sz w:val="24"/>
          <w:szCs w:val="24"/>
        </w:rPr>
      </w:pPr>
      <w:r>
        <w:rPr>
          <w:noProof/>
        </w:rPr>
        <w:drawing>
          <wp:inline distT="0" distB="0" distL="0" distR="0" wp14:anchorId="4FC28617" wp14:editId="749EF805">
            <wp:extent cx="5159829" cy="2895600"/>
            <wp:effectExtent l="0" t="0" r="22225"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26ACF" w:rsidRDefault="00C26ACF" w:rsidP="00693271">
      <w:pPr>
        <w:rPr>
          <w:sz w:val="24"/>
          <w:szCs w:val="24"/>
        </w:rPr>
      </w:pPr>
    </w:p>
    <w:p w:rsidR="000B11A4" w:rsidRDefault="006F4114" w:rsidP="00693271">
      <w:pPr>
        <w:rPr>
          <w:sz w:val="24"/>
          <w:szCs w:val="24"/>
        </w:rPr>
      </w:pPr>
      <w:r>
        <w:rPr>
          <w:sz w:val="24"/>
          <w:szCs w:val="24"/>
        </w:rPr>
        <w:t xml:space="preserve">While the value of ACP construction is relatively small (about three percent of overall ACP value added), there are some interesting trends and comparisons.  </w:t>
      </w:r>
      <w:r w:rsidR="000F3D20">
        <w:rPr>
          <w:sz w:val="24"/>
          <w:szCs w:val="24"/>
        </w:rPr>
        <w:t xml:space="preserve">Value added associated with the </w:t>
      </w:r>
      <w:r w:rsidR="0043672C">
        <w:rPr>
          <w:sz w:val="24"/>
          <w:szCs w:val="24"/>
        </w:rPr>
        <w:t>construction of ACP-related buildings</w:t>
      </w:r>
      <w:r w:rsidR="000B11A4">
        <w:rPr>
          <w:sz w:val="24"/>
          <w:szCs w:val="24"/>
        </w:rPr>
        <w:t xml:space="preserve"> that support and serve to disseminate art and culture include structures such </w:t>
      </w:r>
      <w:r w:rsidR="008E2381">
        <w:rPr>
          <w:sz w:val="24"/>
          <w:szCs w:val="24"/>
        </w:rPr>
        <w:t xml:space="preserve">as </w:t>
      </w:r>
      <w:r w:rsidR="0043672C">
        <w:rPr>
          <w:sz w:val="24"/>
          <w:szCs w:val="24"/>
        </w:rPr>
        <w:t>theatres</w:t>
      </w:r>
      <w:r w:rsidR="004B1AB5">
        <w:rPr>
          <w:sz w:val="24"/>
          <w:szCs w:val="24"/>
        </w:rPr>
        <w:t>, libraries</w:t>
      </w:r>
      <w:r w:rsidR="0043672C">
        <w:rPr>
          <w:sz w:val="24"/>
          <w:szCs w:val="24"/>
        </w:rPr>
        <w:t xml:space="preserve"> and opera houses</w:t>
      </w:r>
      <w:r w:rsidR="000B11A4">
        <w:rPr>
          <w:sz w:val="24"/>
          <w:szCs w:val="24"/>
        </w:rPr>
        <w:t xml:space="preserve">.  </w:t>
      </w:r>
      <w:r w:rsidR="00E36779">
        <w:rPr>
          <w:sz w:val="24"/>
          <w:szCs w:val="24"/>
        </w:rPr>
        <w:t xml:space="preserve"> </w:t>
      </w:r>
      <w:r w:rsidR="000F3D20">
        <w:rPr>
          <w:sz w:val="24"/>
          <w:szCs w:val="24"/>
        </w:rPr>
        <w:t xml:space="preserve">The chart below </w:t>
      </w:r>
      <w:r w:rsidR="000B11A4">
        <w:rPr>
          <w:sz w:val="24"/>
          <w:szCs w:val="24"/>
        </w:rPr>
        <w:t xml:space="preserve">compares </w:t>
      </w:r>
      <w:r w:rsidR="00E36779">
        <w:rPr>
          <w:sz w:val="24"/>
          <w:szCs w:val="24"/>
        </w:rPr>
        <w:t xml:space="preserve">indexed current-dollar </w:t>
      </w:r>
      <w:r w:rsidR="000B11A4">
        <w:rPr>
          <w:sz w:val="24"/>
          <w:szCs w:val="24"/>
        </w:rPr>
        <w:t>value added for all construction (green), for construction associated with all ACP-type buildings (blue), and for construction specifically attributable to ACP (</w:t>
      </w:r>
      <w:r w:rsidR="008A3B09">
        <w:rPr>
          <w:sz w:val="24"/>
          <w:szCs w:val="24"/>
        </w:rPr>
        <w:t>red).</w:t>
      </w:r>
      <w:r w:rsidR="008A3B09">
        <w:rPr>
          <w:rStyle w:val="FootnoteReference"/>
          <w:sz w:val="24"/>
          <w:szCs w:val="24"/>
        </w:rPr>
        <w:footnoteReference w:id="10"/>
      </w:r>
      <w:r w:rsidR="001F20E2">
        <w:rPr>
          <w:sz w:val="24"/>
          <w:szCs w:val="24"/>
        </w:rPr>
        <w:t xml:space="preserve">  </w:t>
      </w:r>
      <w:r w:rsidR="00780C1F">
        <w:rPr>
          <w:sz w:val="24"/>
          <w:szCs w:val="24"/>
        </w:rPr>
        <w:t xml:space="preserve">All </w:t>
      </w:r>
      <w:r w:rsidR="00780C1F">
        <w:rPr>
          <w:sz w:val="24"/>
          <w:szCs w:val="24"/>
        </w:rPr>
        <w:lastRenderedPageBreak/>
        <w:t>three value added measures trend similarly from 1998 to 2006</w:t>
      </w:r>
      <w:r w:rsidR="00D2636A">
        <w:rPr>
          <w:sz w:val="24"/>
          <w:szCs w:val="24"/>
        </w:rPr>
        <w:t>; however</w:t>
      </w:r>
      <w:r w:rsidR="00780C1F">
        <w:rPr>
          <w:sz w:val="24"/>
          <w:szCs w:val="24"/>
        </w:rPr>
        <w:t xml:space="preserve">, beginning with 2007 </w:t>
      </w:r>
      <w:r w:rsidR="00D2636A">
        <w:rPr>
          <w:sz w:val="24"/>
          <w:szCs w:val="24"/>
        </w:rPr>
        <w:t xml:space="preserve">the three measures </w:t>
      </w:r>
      <w:r w:rsidR="00780C1F">
        <w:rPr>
          <w:sz w:val="24"/>
          <w:szCs w:val="24"/>
        </w:rPr>
        <w:t xml:space="preserve">behave quite differently from one another.  </w:t>
      </w:r>
      <w:r w:rsidR="001F20E2">
        <w:rPr>
          <w:sz w:val="24"/>
          <w:szCs w:val="24"/>
        </w:rPr>
        <w:t>Value-added for ACP construction</w:t>
      </w:r>
      <w:r w:rsidR="00780C1F">
        <w:rPr>
          <w:sz w:val="24"/>
          <w:szCs w:val="24"/>
        </w:rPr>
        <w:t xml:space="preserve"> begins to decline in 2007, one year earlier than </w:t>
      </w:r>
      <w:r w:rsidR="00D2636A">
        <w:rPr>
          <w:sz w:val="24"/>
          <w:szCs w:val="24"/>
        </w:rPr>
        <w:t xml:space="preserve">the decline observed for </w:t>
      </w:r>
      <w:r w:rsidR="00780C1F">
        <w:rPr>
          <w:sz w:val="24"/>
          <w:szCs w:val="24"/>
        </w:rPr>
        <w:t>total construction</w:t>
      </w:r>
      <w:r w:rsidR="00D2636A">
        <w:rPr>
          <w:sz w:val="24"/>
          <w:szCs w:val="24"/>
        </w:rPr>
        <w:t xml:space="preserve">.  </w:t>
      </w:r>
      <w:r w:rsidR="005F4E6A">
        <w:rPr>
          <w:sz w:val="24"/>
          <w:szCs w:val="24"/>
        </w:rPr>
        <w:t xml:space="preserve">In 2008 and 2009, the U.S. economy </w:t>
      </w:r>
      <w:r w:rsidR="00396863">
        <w:rPr>
          <w:sz w:val="24"/>
          <w:szCs w:val="24"/>
        </w:rPr>
        <w:t>wa</w:t>
      </w:r>
      <w:r w:rsidR="005F4E6A">
        <w:rPr>
          <w:sz w:val="24"/>
          <w:szCs w:val="24"/>
        </w:rPr>
        <w:t xml:space="preserve">s contracting and </w:t>
      </w:r>
      <w:r w:rsidR="00D2636A">
        <w:rPr>
          <w:sz w:val="24"/>
          <w:szCs w:val="24"/>
        </w:rPr>
        <w:t xml:space="preserve">value added for all construction </w:t>
      </w:r>
      <w:r w:rsidR="0069215D">
        <w:rPr>
          <w:sz w:val="24"/>
          <w:szCs w:val="24"/>
        </w:rPr>
        <w:t>wa</w:t>
      </w:r>
      <w:r w:rsidR="005F4E6A">
        <w:rPr>
          <w:sz w:val="24"/>
          <w:szCs w:val="24"/>
        </w:rPr>
        <w:t>s falling</w:t>
      </w:r>
      <w:r w:rsidR="00D2636A">
        <w:rPr>
          <w:sz w:val="24"/>
          <w:szCs w:val="24"/>
        </w:rPr>
        <w:t xml:space="preserve">, </w:t>
      </w:r>
      <w:r w:rsidR="005F4E6A">
        <w:rPr>
          <w:sz w:val="24"/>
          <w:szCs w:val="24"/>
        </w:rPr>
        <w:t xml:space="preserve">reflecting notable declines in residential construction.  </w:t>
      </w:r>
      <w:r w:rsidR="00115304">
        <w:rPr>
          <w:sz w:val="24"/>
          <w:szCs w:val="24"/>
        </w:rPr>
        <w:t xml:space="preserve">In contrast, value added for construction of all ACP-type buildings </w:t>
      </w:r>
      <w:r w:rsidR="0069215D">
        <w:rPr>
          <w:sz w:val="24"/>
          <w:szCs w:val="24"/>
        </w:rPr>
        <w:t>increased</w:t>
      </w:r>
      <w:r w:rsidR="00115304">
        <w:rPr>
          <w:sz w:val="24"/>
          <w:szCs w:val="24"/>
        </w:rPr>
        <w:t xml:space="preserve"> steadily in 2008 and 2009, before declining in 2010 and then flattening out in 2011.  </w:t>
      </w:r>
      <w:r w:rsidR="00322645">
        <w:rPr>
          <w:sz w:val="24"/>
          <w:szCs w:val="24"/>
        </w:rPr>
        <w:t xml:space="preserve">The </w:t>
      </w:r>
      <w:r w:rsidR="00322645" w:rsidRPr="00322645">
        <w:rPr>
          <w:sz w:val="24"/>
          <w:szCs w:val="24"/>
        </w:rPr>
        <w:t>American Recovery and Reinvestment Act of 2009</w:t>
      </w:r>
      <w:r w:rsidR="00322645">
        <w:rPr>
          <w:sz w:val="24"/>
          <w:szCs w:val="24"/>
        </w:rPr>
        <w:t xml:space="preserve"> included fiscal stimulus for selected construction activity and this likely plays a role in explaining some of these differences in trends.  </w:t>
      </w:r>
      <w:r>
        <w:rPr>
          <w:sz w:val="24"/>
          <w:szCs w:val="24"/>
        </w:rPr>
        <w:t>D</w:t>
      </w:r>
      <w:r w:rsidR="00115304">
        <w:rPr>
          <w:sz w:val="24"/>
          <w:szCs w:val="24"/>
        </w:rPr>
        <w:t>ifferences in movements beginning with 2008 between construction specifically attributable to ACP versus construction for ACP-type buildings</w:t>
      </w:r>
      <w:r w:rsidR="00322645">
        <w:rPr>
          <w:sz w:val="24"/>
          <w:szCs w:val="24"/>
        </w:rPr>
        <w:t xml:space="preserve"> is somewhat striking</w:t>
      </w:r>
      <w:r w:rsidR="00115304">
        <w:rPr>
          <w:sz w:val="24"/>
          <w:szCs w:val="24"/>
        </w:rPr>
        <w:t xml:space="preserve">.  </w:t>
      </w:r>
    </w:p>
    <w:p w:rsidR="000B11A4" w:rsidRDefault="000B11A4" w:rsidP="00693271">
      <w:pPr>
        <w:rPr>
          <w:sz w:val="24"/>
          <w:szCs w:val="24"/>
        </w:rPr>
      </w:pPr>
    </w:p>
    <w:p w:rsidR="00C26ACF" w:rsidRDefault="00281EE2" w:rsidP="00693271">
      <w:pPr>
        <w:rPr>
          <w:sz w:val="24"/>
          <w:szCs w:val="24"/>
        </w:rPr>
      </w:pPr>
      <w:r>
        <w:rPr>
          <w:noProof/>
        </w:rPr>
        <w:drawing>
          <wp:inline distT="0" distB="0" distL="0" distR="0" wp14:anchorId="29DE0144" wp14:editId="62B4B4EB">
            <wp:extent cx="5987143" cy="3722914"/>
            <wp:effectExtent l="0" t="0" r="13970" b="1143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26ACF" w:rsidRDefault="00C26ACF" w:rsidP="00693271">
      <w:pPr>
        <w:rPr>
          <w:sz w:val="24"/>
          <w:szCs w:val="24"/>
        </w:rPr>
      </w:pPr>
    </w:p>
    <w:p w:rsidR="00C26ACF" w:rsidRDefault="00C26ACF" w:rsidP="00693271">
      <w:pPr>
        <w:rPr>
          <w:sz w:val="24"/>
          <w:szCs w:val="24"/>
        </w:rPr>
      </w:pPr>
    </w:p>
    <w:p w:rsidR="00C26ACF" w:rsidRPr="00693271" w:rsidRDefault="00C26ACF" w:rsidP="00693271">
      <w:pPr>
        <w:rPr>
          <w:sz w:val="24"/>
          <w:szCs w:val="24"/>
        </w:rPr>
      </w:pPr>
    </w:p>
    <w:p w:rsidR="005A4836" w:rsidRDefault="005A4836">
      <w:pPr>
        <w:rPr>
          <w:b/>
          <w:sz w:val="28"/>
          <w:szCs w:val="28"/>
        </w:rPr>
      </w:pPr>
      <w:r>
        <w:rPr>
          <w:b/>
          <w:sz w:val="28"/>
          <w:szCs w:val="28"/>
        </w:rPr>
        <w:br w:type="page"/>
      </w:r>
    </w:p>
    <w:p w:rsidR="00EE12E3" w:rsidRPr="00EE12E3" w:rsidRDefault="004E5B64" w:rsidP="00EE12E3">
      <w:pPr>
        <w:rPr>
          <w:sz w:val="28"/>
          <w:szCs w:val="28"/>
        </w:rPr>
      </w:pPr>
      <w:r>
        <w:rPr>
          <w:b/>
          <w:sz w:val="28"/>
          <w:szCs w:val="28"/>
        </w:rPr>
        <w:lastRenderedPageBreak/>
        <w:t>5</w:t>
      </w:r>
      <w:r w:rsidR="00EE12E3" w:rsidRPr="00EE12E3">
        <w:rPr>
          <w:b/>
          <w:sz w:val="28"/>
          <w:szCs w:val="28"/>
        </w:rPr>
        <w:t>. International Comparisons</w:t>
      </w:r>
    </w:p>
    <w:p w:rsidR="00EE12E3" w:rsidRPr="00EE12E3" w:rsidRDefault="00EE12E3" w:rsidP="00EE12E3">
      <w:pPr>
        <w:rPr>
          <w:sz w:val="24"/>
          <w:szCs w:val="24"/>
        </w:rPr>
      </w:pPr>
      <w:r w:rsidRPr="00EE12E3">
        <w:rPr>
          <w:sz w:val="24"/>
          <w:szCs w:val="24"/>
        </w:rPr>
        <w:t>Many countries – and several international organizations – have undertaken efforts to quantify contributions to the economy derived from art and culture and the supporting elements required by them.  This section of the paper provides a brief overview of these efforts.</w:t>
      </w:r>
    </w:p>
    <w:p w:rsidR="00EE12E3" w:rsidRPr="00EE12E3" w:rsidRDefault="00EE12E3" w:rsidP="00565509">
      <w:pPr>
        <w:rPr>
          <w:sz w:val="24"/>
          <w:szCs w:val="24"/>
        </w:rPr>
      </w:pPr>
      <w:r w:rsidRPr="00EE12E3">
        <w:rPr>
          <w:sz w:val="24"/>
          <w:szCs w:val="24"/>
        </w:rPr>
        <w:t xml:space="preserve">In 1986 the United Nations Educational, Scientific and Cultural Organization </w:t>
      </w:r>
      <w:r w:rsidR="00565509">
        <w:rPr>
          <w:sz w:val="24"/>
          <w:szCs w:val="24"/>
        </w:rPr>
        <w:t xml:space="preserve">(UNESCO) </w:t>
      </w:r>
      <w:r w:rsidRPr="00EE12E3">
        <w:rPr>
          <w:sz w:val="24"/>
          <w:szCs w:val="24"/>
        </w:rPr>
        <w:t>put forth one of the early definitions of cultural production.  Since that time</w:t>
      </w:r>
      <w:r w:rsidR="0069215D">
        <w:rPr>
          <w:sz w:val="24"/>
          <w:szCs w:val="24"/>
        </w:rPr>
        <w:t>,</w:t>
      </w:r>
      <w:r w:rsidRPr="00EE12E3">
        <w:rPr>
          <w:sz w:val="24"/>
          <w:szCs w:val="24"/>
        </w:rPr>
        <w:t xml:space="preserve"> at least thirty seven countries have produced over sixty reports on this subject.  These efforts had assorted goals and used a broad array of methodologies to achieve those goals.  Some measure </w:t>
      </w:r>
      <w:r w:rsidR="00565509">
        <w:rPr>
          <w:sz w:val="24"/>
          <w:szCs w:val="24"/>
        </w:rPr>
        <w:t>“</w:t>
      </w:r>
      <w:r w:rsidRPr="00EE12E3">
        <w:rPr>
          <w:sz w:val="24"/>
          <w:szCs w:val="24"/>
        </w:rPr>
        <w:t>arts and culture</w:t>
      </w:r>
      <w:r w:rsidR="00565509">
        <w:rPr>
          <w:sz w:val="24"/>
          <w:szCs w:val="24"/>
        </w:rPr>
        <w:t>” together</w:t>
      </w:r>
      <w:r w:rsidRPr="00EE12E3">
        <w:rPr>
          <w:sz w:val="24"/>
          <w:szCs w:val="24"/>
        </w:rPr>
        <w:t xml:space="preserve"> and some keep the two concepts separate.  Others include heritage as a separate category</w:t>
      </w:r>
      <w:r w:rsidR="008E2381">
        <w:rPr>
          <w:sz w:val="24"/>
          <w:szCs w:val="24"/>
        </w:rPr>
        <w:t>, while s</w:t>
      </w:r>
      <w:r w:rsidRPr="00EE12E3">
        <w:rPr>
          <w:sz w:val="24"/>
          <w:szCs w:val="24"/>
        </w:rPr>
        <w:t xml:space="preserve">ome add sports as part of culture.  (The U.S. ACPSA specifically excludes sports wherever possible.)  Still others look at creative industries by identifying creative occupations.  Floral designers are clearly a creative occupation.  The majority of occupations within the florist industry are floral </w:t>
      </w:r>
      <w:r w:rsidR="00AE76D5" w:rsidRPr="00EE12E3">
        <w:rPr>
          <w:sz w:val="24"/>
          <w:szCs w:val="24"/>
        </w:rPr>
        <w:t>designers</w:t>
      </w:r>
      <w:r w:rsidR="00AE76D5">
        <w:rPr>
          <w:sz w:val="24"/>
          <w:szCs w:val="24"/>
        </w:rPr>
        <w:t>; t</w:t>
      </w:r>
      <w:r w:rsidRPr="00EE12E3">
        <w:rPr>
          <w:sz w:val="24"/>
          <w:szCs w:val="24"/>
        </w:rPr>
        <w:t xml:space="preserve">herefore </w:t>
      </w:r>
      <w:r w:rsidR="0069215D">
        <w:rPr>
          <w:sz w:val="24"/>
          <w:szCs w:val="24"/>
        </w:rPr>
        <w:t>f</w:t>
      </w:r>
      <w:r w:rsidRPr="00EE12E3">
        <w:rPr>
          <w:sz w:val="24"/>
          <w:szCs w:val="24"/>
        </w:rPr>
        <w:t xml:space="preserve">lorists are a creative industry.  Others look to industries that make products reliant </w:t>
      </w:r>
      <w:r w:rsidR="004E5B64" w:rsidRPr="00EE12E3">
        <w:rPr>
          <w:sz w:val="24"/>
          <w:szCs w:val="24"/>
        </w:rPr>
        <w:t>on copyright</w:t>
      </w:r>
      <w:r w:rsidRPr="00EE12E3">
        <w:rPr>
          <w:sz w:val="24"/>
          <w:szCs w:val="24"/>
        </w:rPr>
        <w:t xml:space="preserve"> protection.  </w:t>
      </w:r>
      <w:r w:rsidR="006F4114">
        <w:rPr>
          <w:sz w:val="24"/>
          <w:szCs w:val="24"/>
        </w:rPr>
        <w:t xml:space="preserve">Although the receipt of </w:t>
      </w:r>
      <w:r w:rsidRPr="00EE12E3">
        <w:rPr>
          <w:sz w:val="24"/>
          <w:szCs w:val="24"/>
        </w:rPr>
        <w:t>a copyright for a good or service certainly identifies unique and creative qualities</w:t>
      </w:r>
      <w:r w:rsidR="006F4114">
        <w:rPr>
          <w:sz w:val="24"/>
          <w:szCs w:val="24"/>
        </w:rPr>
        <w:t xml:space="preserve"> without </w:t>
      </w:r>
      <w:r w:rsidRPr="00EE12E3">
        <w:rPr>
          <w:sz w:val="24"/>
          <w:szCs w:val="24"/>
        </w:rPr>
        <w:t>subjectivity</w:t>
      </w:r>
      <w:r w:rsidR="006F4114">
        <w:rPr>
          <w:sz w:val="24"/>
          <w:szCs w:val="24"/>
        </w:rPr>
        <w:t xml:space="preserve">, it does </w:t>
      </w:r>
      <w:r w:rsidRPr="00EE12E3">
        <w:rPr>
          <w:sz w:val="24"/>
          <w:szCs w:val="24"/>
        </w:rPr>
        <w:t xml:space="preserve">seem overly restrictive when viewed in the context of a complex economy.  </w:t>
      </w:r>
    </w:p>
    <w:p w:rsidR="00EE12E3" w:rsidRPr="00EE12E3" w:rsidRDefault="00565509" w:rsidP="00EE12E3">
      <w:pPr>
        <w:rPr>
          <w:sz w:val="24"/>
          <w:szCs w:val="24"/>
        </w:rPr>
      </w:pPr>
      <w:r>
        <w:rPr>
          <w:sz w:val="24"/>
          <w:szCs w:val="24"/>
        </w:rPr>
        <w:t>T</w:t>
      </w:r>
      <w:r w:rsidR="00EE12E3" w:rsidRPr="00EE12E3">
        <w:rPr>
          <w:sz w:val="24"/>
          <w:szCs w:val="24"/>
        </w:rPr>
        <w:t xml:space="preserve">he </w:t>
      </w:r>
      <w:r w:rsidR="00941EF9">
        <w:rPr>
          <w:sz w:val="24"/>
          <w:szCs w:val="24"/>
        </w:rPr>
        <w:t>range</w:t>
      </w:r>
      <w:r w:rsidR="00941EF9" w:rsidRPr="00EE12E3">
        <w:rPr>
          <w:sz w:val="24"/>
          <w:szCs w:val="24"/>
        </w:rPr>
        <w:t xml:space="preserve"> </w:t>
      </w:r>
      <w:r w:rsidR="00EE12E3" w:rsidRPr="00EE12E3">
        <w:rPr>
          <w:sz w:val="24"/>
          <w:szCs w:val="24"/>
        </w:rPr>
        <w:t xml:space="preserve">is even broader </w:t>
      </w:r>
      <w:r>
        <w:rPr>
          <w:sz w:val="24"/>
          <w:szCs w:val="24"/>
        </w:rPr>
        <w:t xml:space="preserve">when </w:t>
      </w:r>
      <w:r w:rsidR="00A42905">
        <w:rPr>
          <w:sz w:val="24"/>
          <w:szCs w:val="24"/>
        </w:rPr>
        <w:t xml:space="preserve">one </w:t>
      </w:r>
      <w:r>
        <w:rPr>
          <w:sz w:val="24"/>
          <w:szCs w:val="24"/>
        </w:rPr>
        <w:t>examine</w:t>
      </w:r>
      <w:r w:rsidR="00A42905">
        <w:rPr>
          <w:sz w:val="24"/>
          <w:szCs w:val="24"/>
        </w:rPr>
        <w:t>s</w:t>
      </w:r>
      <w:r>
        <w:rPr>
          <w:sz w:val="24"/>
          <w:szCs w:val="24"/>
        </w:rPr>
        <w:t xml:space="preserve"> how countries attempt to measure art and cultur</w:t>
      </w:r>
      <w:r w:rsidR="00A42905">
        <w:rPr>
          <w:sz w:val="24"/>
          <w:szCs w:val="24"/>
        </w:rPr>
        <w:t>e</w:t>
      </w:r>
      <w:r>
        <w:rPr>
          <w:sz w:val="24"/>
          <w:szCs w:val="24"/>
        </w:rPr>
        <w:t xml:space="preserve">.  </w:t>
      </w:r>
      <w:r w:rsidR="0069215D">
        <w:rPr>
          <w:sz w:val="24"/>
          <w:szCs w:val="24"/>
        </w:rPr>
        <w:t>On one end of the spectrum, w</w:t>
      </w:r>
      <w:r w:rsidR="00EE12E3" w:rsidRPr="00EE12E3">
        <w:rPr>
          <w:sz w:val="24"/>
          <w:szCs w:val="24"/>
        </w:rPr>
        <w:t>e find countries that have mapped creative industries</w:t>
      </w:r>
      <w:r w:rsidR="0069215D">
        <w:rPr>
          <w:sz w:val="24"/>
          <w:szCs w:val="24"/>
        </w:rPr>
        <w:t>;</w:t>
      </w:r>
      <w:r w:rsidR="00EE12E3" w:rsidRPr="00EE12E3">
        <w:rPr>
          <w:sz w:val="24"/>
          <w:szCs w:val="24"/>
        </w:rPr>
        <w:t xml:space="preserve"> others focused on one artistic industry</w:t>
      </w:r>
      <w:r w:rsidR="0069215D">
        <w:rPr>
          <w:sz w:val="24"/>
          <w:szCs w:val="24"/>
        </w:rPr>
        <w:t>, and still</w:t>
      </w:r>
      <w:r w:rsidR="00EE12E3" w:rsidRPr="00EE12E3">
        <w:rPr>
          <w:sz w:val="24"/>
          <w:szCs w:val="24"/>
        </w:rPr>
        <w:t xml:space="preserve"> other</w:t>
      </w:r>
      <w:r w:rsidR="0069215D">
        <w:rPr>
          <w:sz w:val="24"/>
          <w:szCs w:val="24"/>
        </w:rPr>
        <w:t>s</w:t>
      </w:r>
      <w:r w:rsidR="00EE12E3" w:rsidRPr="00EE12E3">
        <w:rPr>
          <w:sz w:val="24"/>
          <w:szCs w:val="24"/>
        </w:rPr>
        <w:t xml:space="preserve"> review trends and make recommendations.  On the other end of this spectrum</w:t>
      </w:r>
      <w:r w:rsidR="0069215D">
        <w:rPr>
          <w:sz w:val="24"/>
          <w:szCs w:val="24"/>
        </w:rPr>
        <w:t>,</w:t>
      </w:r>
      <w:r w:rsidR="00EE12E3" w:rsidRPr="00EE12E3">
        <w:rPr>
          <w:sz w:val="24"/>
          <w:szCs w:val="24"/>
        </w:rPr>
        <w:t xml:space="preserve"> we find more detailed and systematic construction of estimates.  Often these </w:t>
      </w:r>
      <w:r w:rsidR="0069215D">
        <w:rPr>
          <w:sz w:val="24"/>
          <w:szCs w:val="24"/>
        </w:rPr>
        <w:t xml:space="preserve">estimates </w:t>
      </w:r>
      <w:r w:rsidR="00EE12E3" w:rsidRPr="00EE12E3">
        <w:rPr>
          <w:sz w:val="24"/>
          <w:szCs w:val="24"/>
        </w:rPr>
        <w:t xml:space="preserve">leverage existing statistics from </w:t>
      </w:r>
      <w:r w:rsidR="00AE76D5">
        <w:rPr>
          <w:sz w:val="24"/>
          <w:szCs w:val="24"/>
        </w:rPr>
        <w:t xml:space="preserve">the </w:t>
      </w:r>
      <w:r w:rsidR="00EE12E3" w:rsidRPr="00EE12E3">
        <w:rPr>
          <w:sz w:val="24"/>
          <w:szCs w:val="24"/>
        </w:rPr>
        <w:t xml:space="preserve">national or </w:t>
      </w:r>
      <w:r w:rsidR="00AE76D5">
        <w:rPr>
          <w:sz w:val="24"/>
          <w:szCs w:val="24"/>
        </w:rPr>
        <w:t xml:space="preserve">industry </w:t>
      </w:r>
      <w:r w:rsidR="00EE12E3" w:rsidRPr="00EE12E3">
        <w:rPr>
          <w:sz w:val="24"/>
          <w:szCs w:val="24"/>
        </w:rPr>
        <w:t>accounts</w:t>
      </w:r>
      <w:r w:rsidR="00AE76D5">
        <w:rPr>
          <w:sz w:val="24"/>
          <w:szCs w:val="24"/>
        </w:rPr>
        <w:t>, including I-O statistics</w:t>
      </w:r>
      <w:r w:rsidR="00EE12E3" w:rsidRPr="00EE12E3">
        <w:rPr>
          <w:sz w:val="24"/>
          <w:szCs w:val="24"/>
        </w:rPr>
        <w:t>.  (</w:t>
      </w:r>
      <w:r w:rsidR="004B31B5">
        <w:rPr>
          <w:sz w:val="24"/>
          <w:szCs w:val="24"/>
        </w:rPr>
        <w:t>As previously described, t</w:t>
      </w:r>
      <w:r w:rsidR="00EE12E3" w:rsidRPr="00EE12E3">
        <w:rPr>
          <w:sz w:val="24"/>
          <w:szCs w:val="24"/>
        </w:rPr>
        <w:t xml:space="preserve">he U.S. </w:t>
      </w:r>
      <w:r w:rsidR="004B31B5">
        <w:rPr>
          <w:sz w:val="24"/>
          <w:szCs w:val="24"/>
        </w:rPr>
        <w:t xml:space="preserve">account is constructed from </w:t>
      </w:r>
      <w:r w:rsidR="00EE12E3" w:rsidRPr="00EE12E3">
        <w:rPr>
          <w:sz w:val="24"/>
          <w:szCs w:val="24"/>
        </w:rPr>
        <w:t xml:space="preserve">the most detailed accounting of the economy – the five year benchmark </w:t>
      </w:r>
      <w:r w:rsidR="00C76D12">
        <w:rPr>
          <w:sz w:val="24"/>
          <w:szCs w:val="24"/>
        </w:rPr>
        <w:t>i</w:t>
      </w:r>
      <w:r w:rsidR="00EE12E3" w:rsidRPr="00EE12E3">
        <w:rPr>
          <w:sz w:val="24"/>
          <w:szCs w:val="24"/>
        </w:rPr>
        <w:t>nput-</w:t>
      </w:r>
      <w:r w:rsidR="00C76D12">
        <w:rPr>
          <w:sz w:val="24"/>
          <w:szCs w:val="24"/>
        </w:rPr>
        <w:t>o</w:t>
      </w:r>
      <w:r w:rsidR="00EE12E3" w:rsidRPr="00EE12E3">
        <w:rPr>
          <w:sz w:val="24"/>
          <w:szCs w:val="24"/>
        </w:rPr>
        <w:t xml:space="preserve">utput </w:t>
      </w:r>
      <w:r w:rsidR="00A42905">
        <w:rPr>
          <w:sz w:val="24"/>
          <w:szCs w:val="24"/>
        </w:rPr>
        <w:t>accounts</w:t>
      </w:r>
      <w:r w:rsidR="00EE12E3" w:rsidRPr="00EE12E3">
        <w:rPr>
          <w:sz w:val="24"/>
          <w:szCs w:val="24"/>
        </w:rPr>
        <w:t>.)</w:t>
      </w:r>
    </w:p>
    <w:p w:rsidR="00CC352F" w:rsidRDefault="00CC352F" w:rsidP="00EE12E3">
      <w:pPr>
        <w:rPr>
          <w:sz w:val="24"/>
          <w:szCs w:val="24"/>
        </w:rPr>
      </w:pPr>
      <w:r w:rsidRPr="00EE12E3">
        <w:rPr>
          <w:sz w:val="24"/>
          <w:szCs w:val="24"/>
        </w:rPr>
        <w:t>Measuring the arts as a stand-alone account is a relatively new concept and the efforts to develop the</w:t>
      </w:r>
      <w:r>
        <w:rPr>
          <w:sz w:val="24"/>
          <w:szCs w:val="24"/>
        </w:rPr>
        <w:t>se</w:t>
      </w:r>
      <w:r w:rsidRPr="00EE12E3">
        <w:rPr>
          <w:sz w:val="24"/>
          <w:szCs w:val="24"/>
        </w:rPr>
        <w:t xml:space="preserve"> statistics spring from a wide variety of methods and definitions.</w:t>
      </w:r>
      <w:r w:rsidRPr="00EE12E3">
        <w:rPr>
          <w:sz w:val="24"/>
          <w:szCs w:val="24"/>
          <w:vertAlign w:val="superscript"/>
        </w:rPr>
        <w:footnoteReference w:id="11"/>
      </w:r>
      <w:r w:rsidRPr="00EE12E3">
        <w:rPr>
          <w:sz w:val="24"/>
          <w:szCs w:val="24"/>
        </w:rPr>
        <w:t xml:space="preserve"> </w:t>
      </w:r>
      <w:r>
        <w:rPr>
          <w:sz w:val="24"/>
          <w:szCs w:val="24"/>
        </w:rPr>
        <w:t xml:space="preserve"> </w:t>
      </w:r>
      <w:r w:rsidR="00EE12E3" w:rsidRPr="00EE12E3">
        <w:rPr>
          <w:sz w:val="24"/>
          <w:szCs w:val="24"/>
        </w:rPr>
        <w:t>In contrast</w:t>
      </w:r>
      <w:r>
        <w:rPr>
          <w:sz w:val="24"/>
          <w:szCs w:val="24"/>
        </w:rPr>
        <w:t>,</w:t>
      </w:r>
      <w:r w:rsidR="00EE12E3" w:rsidRPr="00EE12E3">
        <w:rPr>
          <w:sz w:val="24"/>
          <w:szCs w:val="24"/>
        </w:rPr>
        <w:t xml:space="preserve"> tourism accounts benefit from the existence of a single body (United Nations World Tourism Organization) holding meetings with interested parties, and achieving a consensus on what to measure and how to measure these impacts.  </w:t>
      </w:r>
    </w:p>
    <w:p w:rsidR="00EE12E3" w:rsidRPr="00EE12E3" w:rsidRDefault="00EE12E3" w:rsidP="00EE12E3">
      <w:pPr>
        <w:rPr>
          <w:sz w:val="24"/>
          <w:szCs w:val="24"/>
        </w:rPr>
      </w:pPr>
      <w:r w:rsidRPr="00EE12E3">
        <w:rPr>
          <w:sz w:val="24"/>
          <w:szCs w:val="24"/>
        </w:rPr>
        <w:lastRenderedPageBreak/>
        <w:t>Although the System of National Accounts</w:t>
      </w:r>
      <w:r w:rsidR="00C76D12">
        <w:rPr>
          <w:sz w:val="24"/>
          <w:szCs w:val="24"/>
        </w:rPr>
        <w:t xml:space="preserve"> (SNA</w:t>
      </w:r>
      <w:r w:rsidRPr="00EE12E3">
        <w:rPr>
          <w:sz w:val="24"/>
          <w:szCs w:val="24"/>
        </w:rPr>
        <w:t>) discusses satellite accounts briefly</w:t>
      </w:r>
      <w:r w:rsidR="000D1978">
        <w:rPr>
          <w:sz w:val="24"/>
          <w:szCs w:val="24"/>
        </w:rPr>
        <w:t>,</w:t>
      </w:r>
      <w:r w:rsidRPr="00EE12E3">
        <w:rPr>
          <w:sz w:val="24"/>
          <w:szCs w:val="24"/>
        </w:rPr>
        <w:t xml:space="preserve"> the unique challenges in developing estimates of art and culture could certainly benefit from a specialized set of guidelines similar to those produced by the UNWTO for tourism.  The United Nations Conference on Trade and Development in conjunction with the United Nations Development Program has produced the most comprehensive report to date in this area of art, culture and creative economy with their, “Creative Economy Report 2010.”  This work does a </w:t>
      </w:r>
      <w:r w:rsidR="003620CD">
        <w:rPr>
          <w:sz w:val="24"/>
          <w:szCs w:val="24"/>
        </w:rPr>
        <w:t>tremendous</w:t>
      </w:r>
      <w:r w:rsidRPr="00EE12E3">
        <w:rPr>
          <w:sz w:val="24"/>
          <w:szCs w:val="24"/>
        </w:rPr>
        <w:t xml:space="preserve"> job of cataloging the status of these estimates and the broad goals expected to be achieved by them.  </w:t>
      </w:r>
    </w:p>
    <w:p w:rsidR="00EE12E3" w:rsidRPr="00EE12E3" w:rsidRDefault="00EE12E3" w:rsidP="00EE12E3">
      <w:pPr>
        <w:rPr>
          <w:sz w:val="24"/>
          <w:szCs w:val="24"/>
        </w:rPr>
      </w:pPr>
      <w:r w:rsidRPr="00EE12E3">
        <w:rPr>
          <w:sz w:val="24"/>
          <w:szCs w:val="24"/>
        </w:rPr>
        <w:t>Which countries have developed statistics on art and culture?  This question is not as simple as it seems.  There are several organizations that have developed estimates for entire continents – country by country.  As well as many countries producing organic estimates of art and culture within their borders.  The very first art and culture account was developed in France</w:t>
      </w:r>
      <w:r w:rsidR="000D1978">
        <w:rPr>
          <w:sz w:val="24"/>
          <w:szCs w:val="24"/>
        </w:rPr>
        <w:t>, a</w:t>
      </w:r>
      <w:r w:rsidRPr="00EE12E3">
        <w:rPr>
          <w:sz w:val="24"/>
          <w:szCs w:val="24"/>
        </w:rPr>
        <w:t xml:space="preserve">nd many European countries have multiple sets of accounts describing these statistics.  Most recently the Australian Bureau of Statistics published their cultural and creative activity satellite accounts for 2008-2009.  </w:t>
      </w:r>
      <w:r w:rsidR="00A42905">
        <w:rPr>
          <w:sz w:val="24"/>
          <w:szCs w:val="24"/>
        </w:rPr>
        <w:t>T</w:t>
      </w:r>
      <w:r w:rsidRPr="00EE12E3">
        <w:rPr>
          <w:sz w:val="24"/>
          <w:szCs w:val="24"/>
        </w:rPr>
        <w:t xml:space="preserve">able </w:t>
      </w:r>
      <w:r w:rsidR="00FA6985">
        <w:rPr>
          <w:sz w:val="24"/>
          <w:szCs w:val="24"/>
        </w:rPr>
        <w:t>D</w:t>
      </w:r>
      <w:r w:rsidR="00A42905">
        <w:rPr>
          <w:sz w:val="24"/>
          <w:szCs w:val="24"/>
        </w:rPr>
        <w:t xml:space="preserve"> in the appendix presents a listing of countries that we found sta</w:t>
      </w:r>
      <w:r w:rsidR="005A2B4D">
        <w:rPr>
          <w:sz w:val="24"/>
          <w:szCs w:val="24"/>
        </w:rPr>
        <w:t>ti</w:t>
      </w:r>
      <w:r w:rsidR="00A42905">
        <w:rPr>
          <w:sz w:val="24"/>
          <w:szCs w:val="24"/>
        </w:rPr>
        <w:t xml:space="preserve">stics for art and culture, including a column that shows the average annual percent that arts and cultural comprises of </w:t>
      </w:r>
      <w:r w:rsidR="00341723">
        <w:rPr>
          <w:sz w:val="24"/>
          <w:szCs w:val="24"/>
        </w:rPr>
        <w:t xml:space="preserve">that country's </w:t>
      </w:r>
      <w:r w:rsidR="00A42905">
        <w:rPr>
          <w:sz w:val="24"/>
          <w:szCs w:val="24"/>
        </w:rPr>
        <w:t>GDP</w:t>
      </w:r>
      <w:r w:rsidRPr="00EE12E3">
        <w:rPr>
          <w:sz w:val="24"/>
          <w:szCs w:val="24"/>
        </w:rPr>
        <w:t>.</w:t>
      </w:r>
    </w:p>
    <w:p w:rsidR="004712F9" w:rsidRDefault="00EE12E3">
      <w:pPr>
        <w:rPr>
          <w:sz w:val="24"/>
          <w:szCs w:val="24"/>
        </w:rPr>
      </w:pPr>
      <w:r w:rsidRPr="00EE12E3">
        <w:rPr>
          <w:sz w:val="24"/>
          <w:szCs w:val="24"/>
        </w:rPr>
        <w:t xml:space="preserve">What is </w:t>
      </w:r>
      <w:r w:rsidR="00392518">
        <w:rPr>
          <w:sz w:val="24"/>
          <w:szCs w:val="24"/>
        </w:rPr>
        <w:t xml:space="preserve">perhaps </w:t>
      </w:r>
      <w:r w:rsidRPr="00EE12E3">
        <w:rPr>
          <w:sz w:val="24"/>
          <w:szCs w:val="24"/>
        </w:rPr>
        <w:t>surprising is that despite a broad divergence of methods and sources for developing these accounts</w:t>
      </w:r>
      <w:r w:rsidR="00A156A0">
        <w:rPr>
          <w:sz w:val="24"/>
          <w:szCs w:val="24"/>
        </w:rPr>
        <w:t>,</w:t>
      </w:r>
      <w:r w:rsidRPr="00EE12E3">
        <w:rPr>
          <w:sz w:val="24"/>
          <w:szCs w:val="24"/>
        </w:rPr>
        <w:t xml:space="preserve"> the results are coherent.  The more complex economies show a higher share of their total economy </w:t>
      </w:r>
      <w:r w:rsidR="00A156A0">
        <w:rPr>
          <w:sz w:val="24"/>
          <w:szCs w:val="24"/>
        </w:rPr>
        <w:t>stemming</w:t>
      </w:r>
      <w:r w:rsidR="00A156A0" w:rsidRPr="00EE12E3">
        <w:rPr>
          <w:sz w:val="24"/>
          <w:szCs w:val="24"/>
        </w:rPr>
        <w:t xml:space="preserve"> </w:t>
      </w:r>
      <w:r w:rsidRPr="00EE12E3">
        <w:rPr>
          <w:sz w:val="24"/>
          <w:szCs w:val="24"/>
        </w:rPr>
        <w:t>from art and culture</w:t>
      </w:r>
      <w:r w:rsidR="00A156A0">
        <w:rPr>
          <w:sz w:val="24"/>
          <w:szCs w:val="24"/>
        </w:rPr>
        <w:t xml:space="preserve"> and </w:t>
      </w:r>
      <w:r w:rsidRPr="00EE12E3">
        <w:rPr>
          <w:sz w:val="24"/>
          <w:szCs w:val="24"/>
        </w:rPr>
        <w:t xml:space="preserve">that share is generally within a fairly tight range.  </w:t>
      </w:r>
      <w:r w:rsidR="009625CC">
        <w:rPr>
          <w:sz w:val="24"/>
          <w:szCs w:val="24"/>
        </w:rPr>
        <w:t>For l</w:t>
      </w:r>
      <w:r w:rsidRPr="00EE12E3">
        <w:rPr>
          <w:sz w:val="24"/>
          <w:szCs w:val="24"/>
        </w:rPr>
        <w:t>ess developed economies</w:t>
      </w:r>
      <w:r w:rsidR="009625CC">
        <w:rPr>
          <w:sz w:val="24"/>
          <w:szCs w:val="24"/>
        </w:rPr>
        <w:t>,</w:t>
      </w:r>
      <w:r w:rsidRPr="00EE12E3">
        <w:rPr>
          <w:sz w:val="24"/>
          <w:szCs w:val="24"/>
        </w:rPr>
        <w:t xml:space="preserve"> the share originating from these activities is much lower.</w:t>
      </w:r>
      <w:r w:rsidR="00392518">
        <w:rPr>
          <w:sz w:val="24"/>
          <w:szCs w:val="24"/>
        </w:rPr>
        <w:t xml:space="preserve">  Nevertheless, </w:t>
      </w:r>
      <w:r w:rsidR="004F712D">
        <w:rPr>
          <w:sz w:val="24"/>
          <w:szCs w:val="24"/>
        </w:rPr>
        <w:t xml:space="preserve">these </w:t>
      </w:r>
      <w:r w:rsidR="004F712D" w:rsidRPr="00EE12E3">
        <w:rPr>
          <w:sz w:val="24"/>
          <w:szCs w:val="24"/>
        </w:rPr>
        <w:t>comparisons</w:t>
      </w:r>
      <w:r w:rsidRPr="00EE12E3">
        <w:rPr>
          <w:sz w:val="24"/>
          <w:szCs w:val="24"/>
        </w:rPr>
        <w:t xml:space="preserve"> </w:t>
      </w:r>
      <w:r w:rsidR="00392518">
        <w:rPr>
          <w:sz w:val="24"/>
          <w:szCs w:val="24"/>
        </w:rPr>
        <w:t xml:space="preserve">can be </w:t>
      </w:r>
      <w:r w:rsidRPr="00EE12E3">
        <w:rPr>
          <w:sz w:val="24"/>
          <w:szCs w:val="24"/>
        </w:rPr>
        <w:t xml:space="preserve">tricky as the underlying methods </w:t>
      </w:r>
      <w:r w:rsidR="00392518">
        <w:rPr>
          <w:sz w:val="24"/>
          <w:szCs w:val="24"/>
        </w:rPr>
        <w:t xml:space="preserve">can be quite </w:t>
      </w:r>
      <w:r w:rsidRPr="00EE12E3">
        <w:rPr>
          <w:sz w:val="24"/>
          <w:szCs w:val="24"/>
        </w:rPr>
        <w:t>dissimilar.</w:t>
      </w:r>
    </w:p>
    <w:p w:rsidR="00E2472B" w:rsidRDefault="00E2472B">
      <w:pPr>
        <w:rPr>
          <w:sz w:val="24"/>
          <w:szCs w:val="24"/>
        </w:rPr>
      </w:pPr>
    </w:p>
    <w:p w:rsidR="00E2472B" w:rsidRPr="00E2472B" w:rsidRDefault="00CC352F" w:rsidP="00E2472B">
      <w:pPr>
        <w:rPr>
          <w:sz w:val="28"/>
          <w:szCs w:val="28"/>
        </w:rPr>
      </w:pPr>
      <w:r>
        <w:rPr>
          <w:b/>
          <w:sz w:val="28"/>
          <w:szCs w:val="28"/>
        </w:rPr>
        <w:t>6</w:t>
      </w:r>
      <w:r w:rsidR="00C76D12">
        <w:rPr>
          <w:b/>
          <w:sz w:val="28"/>
          <w:szCs w:val="28"/>
        </w:rPr>
        <w:t>. Future d</w:t>
      </w:r>
      <w:r w:rsidR="00E2472B" w:rsidRPr="00E2472B">
        <w:rPr>
          <w:b/>
          <w:sz w:val="28"/>
          <w:szCs w:val="28"/>
        </w:rPr>
        <w:t>irections</w:t>
      </w:r>
    </w:p>
    <w:p w:rsidR="00E2472B" w:rsidRPr="00E2472B" w:rsidRDefault="00E2472B" w:rsidP="00E2472B">
      <w:pPr>
        <w:rPr>
          <w:sz w:val="24"/>
          <w:szCs w:val="24"/>
        </w:rPr>
      </w:pPr>
      <w:r w:rsidRPr="00E2472B">
        <w:rPr>
          <w:sz w:val="24"/>
          <w:szCs w:val="24"/>
        </w:rPr>
        <w:t>Satellite accounts at BEA evolve on two broad fronts</w:t>
      </w:r>
      <w:r w:rsidR="00CC352F">
        <w:rPr>
          <w:sz w:val="24"/>
          <w:szCs w:val="24"/>
        </w:rPr>
        <w:t>:</w:t>
      </w:r>
      <w:r w:rsidRPr="00E2472B">
        <w:rPr>
          <w:sz w:val="24"/>
          <w:szCs w:val="24"/>
        </w:rPr>
        <w:t xml:space="preserve">  First as the user community provides input into the estimates themselves and second as the underlying structure of the </w:t>
      </w:r>
      <w:r w:rsidR="00E11D6A">
        <w:rPr>
          <w:sz w:val="24"/>
          <w:szCs w:val="24"/>
        </w:rPr>
        <w:t xml:space="preserve">U.S. I-O </w:t>
      </w:r>
      <w:r w:rsidRPr="00E2472B">
        <w:rPr>
          <w:sz w:val="24"/>
          <w:szCs w:val="24"/>
        </w:rPr>
        <w:t>account</w:t>
      </w:r>
      <w:r w:rsidR="00E11D6A">
        <w:rPr>
          <w:sz w:val="24"/>
          <w:szCs w:val="24"/>
        </w:rPr>
        <w:t>s</w:t>
      </w:r>
      <w:r w:rsidRPr="00E2472B">
        <w:rPr>
          <w:sz w:val="24"/>
          <w:szCs w:val="24"/>
        </w:rPr>
        <w:t xml:space="preserve"> </w:t>
      </w:r>
      <w:r w:rsidR="00E11D6A">
        <w:rPr>
          <w:sz w:val="24"/>
          <w:szCs w:val="24"/>
        </w:rPr>
        <w:t xml:space="preserve">evolve </w:t>
      </w:r>
      <w:r w:rsidRPr="00E2472B">
        <w:rPr>
          <w:sz w:val="24"/>
          <w:szCs w:val="24"/>
        </w:rPr>
        <w:t xml:space="preserve">through the five-year revision cycle.  </w:t>
      </w:r>
      <w:r w:rsidR="00EB22D1">
        <w:rPr>
          <w:sz w:val="24"/>
          <w:szCs w:val="24"/>
        </w:rPr>
        <w:t>The evolution, including underlying motivations for change for other BEA satellite accounts</w:t>
      </w:r>
      <w:r w:rsidR="003366EA">
        <w:rPr>
          <w:sz w:val="24"/>
          <w:szCs w:val="24"/>
        </w:rPr>
        <w:t>,</w:t>
      </w:r>
      <w:r w:rsidR="00EB22D1">
        <w:rPr>
          <w:sz w:val="24"/>
          <w:szCs w:val="24"/>
        </w:rPr>
        <w:t xml:space="preserve"> was described previously in the satellites account section.  In this final section, we </w:t>
      </w:r>
      <w:r w:rsidRPr="00E2472B">
        <w:rPr>
          <w:sz w:val="24"/>
          <w:szCs w:val="24"/>
        </w:rPr>
        <w:t xml:space="preserve">describe </w:t>
      </w:r>
      <w:r w:rsidR="00EB22D1">
        <w:rPr>
          <w:sz w:val="24"/>
          <w:szCs w:val="24"/>
        </w:rPr>
        <w:t xml:space="preserve">our future </w:t>
      </w:r>
      <w:r w:rsidRPr="00E2472B">
        <w:rPr>
          <w:sz w:val="24"/>
          <w:szCs w:val="24"/>
        </w:rPr>
        <w:t>plans for th</w:t>
      </w:r>
      <w:r w:rsidR="00EB22D1">
        <w:rPr>
          <w:sz w:val="24"/>
          <w:szCs w:val="24"/>
        </w:rPr>
        <w:t xml:space="preserve">e </w:t>
      </w:r>
      <w:r w:rsidRPr="00E2472B">
        <w:rPr>
          <w:sz w:val="24"/>
          <w:szCs w:val="24"/>
        </w:rPr>
        <w:t>U.S. ACPSA</w:t>
      </w:r>
      <w:r w:rsidR="00EB22D1">
        <w:rPr>
          <w:sz w:val="24"/>
          <w:szCs w:val="24"/>
        </w:rPr>
        <w:t xml:space="preserve">, recognizing that these plans are fluid and subject to change.  </w:t>
      </w:r>
    </w:p>
    <w:p w:rsidR="00E2472B" w:rsidRPr="00E2472B" w:rsidRDefault="00E2472B" w:rsidP="00E2472B">
      <w:pPr>
        <w:rPr>
          <w:sz w:val="24"/>
          <w:szCs w:val="24"/>
        </w:rPr>
      </w:pPr>
      <w:r w:rsidRPr="00E2472B">
        <w:rPr>
          <w:sz w:val="24"/>
          <w:szCs w:val="24"/>
        </w:rPr>
        <w:t xml:space="preserve">Preliminary estimates from the ACPSA were published </w:t>
      </w:r>
      <w:r w:rsidR="00CC352F">
        <w:rPr>
          <w:sz w:val="24"/>
          <w:szCs w:val="24"/>
        </w:rPr>
        <w:t xml:space="preserve">in </w:t>
      </w:r>
      <w:r w:rsidRPr="00E2472B">
        <w:rPr>
          <w:sz w:val="24"/>
          <w:szCs w:val="24"/>
        </w:rPr>
        <w:t>December 2013</w:t>
      </w:r>
      <w:r w:rsidR="00730A6B">
        <w:rPr>
          <w:sz w:val="24"/>
          <w:szCs w:val="24"/>
        </w:rPr>
        <w:t>, just prior to the release of the 2007 Benchmark I-O account and corresponding comprehensive revision</w:t>
      </w:r>
      <w:r w:rsidR="00EB22D1">
        <w:rPr>
          <w:sz w:val="24"/>
          <w:szCs w:val="24"/>
        </w:rPr>
        <w:t xml:space="preserve"> of BEA's industry economic accounts</w:t>
      </w:r>
      <w:r w:rsidR="00730A6B">
        <w:rPr>
          <w:sz w:val="24"/>
          <w:szCs w:val="24"/>
        </w:rPr>
        <w:t xml:space="preserve"> (February, 2014).</w:t>
      </w:r>
      <w:r w:rsidRPr="00E2472B">
        <w:rPr>
          <w:sz w:val="24"/>
          <w:szCs w:val="24"/>
        </w:rPr>
        <w:t xml:space="preserve">  </w:t>
      </w:r>
      <w:r w:rsidR="00730A6B">
        <w:rPr>
          <w:sz w:val="24"/>
          <w:szCs w:val="24"/>
        </w:rPr>
        <w:t xml:space="preserve">These preliminary estimates were developed </w:t>
      </w:r>
      <w:r w:rsidR="00730A6B">
        <w:rPr>
          <w:sz w:val="24"/>
          <w:szCs w:val="24"/>
        </w:rPr>
        <w:lastRenderedPageBreak/>
        <w:t xml:space="preserve">over </w:t>
      </w:r>
      <w:r w:rsidR="00CC352F">
        <w:rPr>
          <w:sz w:val="24"/>
          <w:szCs w:val="24"/>
        </w:rPr>
        <w:t>the</w:t>
      </w:r>
      <w:r w:rsidR="00730A6B">
        <w:rPr>
          <w:sz w:val="24"/>
          <w:szCs w:val="24"/>
        </w:rPr>
        <w:t xml:space="preserve"> period 2012</w:t>
      </w:r>
      <w:r w:rsidR="00CC352F">
        <w:rPr>
          <w:sz w:val="24"/>
          <w:szCs w:val="24"/>
        </w:rPr>
        <w:t xml:space="preserve"> - 2013</w:t>
      </w:r>
      <w:r w:rsidR="00730A6B">
        <w:rPr>
          <w:sz w:val="24"/>
          <w:szCs w:val="24"/>
        </w:rPr>
        <w:t xml:space="preserve"> </w:t>
      </w:r>
      <w:r w:rsidR="00EB22D1">
        <w:rPr>
          <w:sz w:val="24"/>
          <w:szCs w:val="24"/>
        </w:rPr>
        <w:t xml:space="preserve">and were </w:t>
      </w:r>
      <w:r w:rsidR="00730A6B">
        <w:rPr>
          <w:sz w:val="24"/>
          <w:szCs w:val="24"/>
        </w:rPr>
        <w:t xml:space="preserve">based on the </w:t>
      </w:r>
      <w:r w:rsidRPr="00E2472B">
        <w:rPr>
          <w:sz w:val="24"/>
          <w:szCs w:val="24"/>
        </w:rPr>
        <w:t xml:space="preserve">economic structure provided by the 2002 benchmark </w:t>
      </w:r>
      <w:r w:rsidR="00730A6B">
        <w:rPr>
          <w:sz w:val="24"/>
          <w:szCs w:val="24"/>
        </w:rPr>
        <w:t>I-O account.  Immediately following the release of the comprehensive revision</w:t>
      </w:r>
      <w:r w:rsidR="00CC352F">
        <w:rPr>
          <w:sz w:val="24"/>
          <w:szCs w:val="24"/>
        </w:rPr>
        <w:t xml:space="preserve"> of the industry economic accounts</w:t>
      </w:r>
      <w:r w:rsidR="00730A6B">
        <w:rPr>
          <w:sz w:val="24"/>
          <w:szCs w:val="24"/>
        </w:rPr>
        <w:t xml:space="preserve">, BEA began to update the </w:t>
      </w:r>
      <w:r w:rsidRPr="00E2472B">
        <w:rPr>
          <w:sz w:val="24"/>
          <w:szCs w:val="24"/>
        </w:rPr>
        <w:t xml:space="preserve">ACPSA to </w:t>
      </w:r>
      <w:r w:rsidR="00730A6B">
        <w:rPr>
          <w:sz w:val="24"/>
          <w:szCs w:val="24"/>
        </w:rPr>
        <w:t xml:space="preserve">reflect the 2007 </w:t>
      </w:r>
      <w:r w:rsidR="00CC352F">
        <w:rPr>
          <w:sz w:val="24"/>
          <w:szCs w:val="24"/>
        </w:rPr>
        <w:t>b</w:t>
      </w:r>
      <w:r w:rsidR="00730A6B">
        <w:rPr>
          <w:sz w:val="24"/>
          <w:szCs w:val="24"/>
        </w:rPr>
        <w:t xml:space="preserve">enchmark I-O </w:t>
      </w:r>
      <w:r w:rsidR="00CC352F">
        <w:rPr>
          <w:sz w:val="24"/>
          <w:szCs w:val="24"/>
        </w:rPr>
        <w:t>account.  BEA</w:t>
      </w:r>
      <w:r w:rsidRPr="00E2472B">
        <w:rPr>
          <w:sz w:val="24"/>
          <w:szCs w:val="24"/>
        </w:rPr>
        <w:t xml:space="preserve"> will </w:t>
      </w:r>
      <w:r w:rsidR="00CC352F">
        <w:rPr>
          <w:sz w:val="24"/>
          <w:szCs w:val="24"/>
        </w:rPr>
        <w:t>release</w:t>
      </w:r>
      <w:r w:rsidRPr="00E2472B">
        <w:rPr>
          <w:sz w:val="24"/>
          <w:szCs w:val="24"/>
        </w:rPr>
        <w:t xml:space="preserve"> revised ACPSA estimates </w:t>
      </w:r>
      <w:r w:rsidR="00730A6B">
        <w:rPr>
          <w:sz w:val="24"/>
          <w:szCs w:val="24"/>
        </w:rPr>
        <w:t xml:space="preserve">later </w:t>
      </w:r>
      <w:r w:rsidRPr="00E2472B">
        <w:rPr>
          <w:sz w:val="24"/>
          <w:szCs w:val="24"/>
        </w:rPr>
        <w:t>this year</w:t>
      </w:r>
      <w:r w:rsidR="00CC352F">
        <w:rPr>
          <w:sz w:val="24"/>
          <w:szCs w:val="24"/>
        </w:rPr>
        <w:t xml:space="preserve"> that reflect the results of the comprehensive revision</w:t>
      </w:r>
      <w:r w:rsidRPr="00E2472B">
        <w:rPr>
          <w:sz w:val="24"/>
          <w:szCs w:val="24"/>
        </w:rPr>
        <w:t>.</w:t>
      </w:r>
    </w:p>
    <w:p w:rsidR="00E2472B" w:rsidRPr="00E2472B" w:rsidRDefault="00E2472B" w:rsidP="00E2472B">
      <w:pPr>
        <w:rPr>
          <w:sz w:val="24"/>
          <w:szCs w:val="24"/>
        </w:rPr>
      </w:pPr>
      <w:r w:rsidRPr="00E2472B">
        <w:rPr>
          <w:sz w:val="24"/>
          <w:szCs w:val="24"/>
        </w:rPr>
        <w:t>The largest revision</w:t>
      </w:r>
      <w:r w:rsidR="003366EA">
        <w:rPr>
          <w:sz w:val="24"/>
          <w:szCs w:val="24"/>
        </w:rPr>
        <w:t>s</w:t>
      </w:r>
      <w:r w:rsidRPr="00E2472B">
        <w:rPr>
          <w:sz w:val="24"/>
          <w:szCs w:val="24"/>
        </w:rPr>
        <w:t xml:space="preserve"> to the ACPSA will </w:t>
      </w:r>
      <w:r w:rsidR="003366EA">
        <w:rPr>
          <w:sz w:val="24"/>
          <w:szCs w:val="24"/>
        </w:rPr>
        <w:t xml:space="preserve">likely </w:t>
      </w:r>
      <w:r w:rsidR="00730A6B">
        <w:rPr>
          <w:sz w:val="24"/>
          <w:szCs w:val="24"/>
        </w:rPr>
        <w:t xml:space="preserve">stem </w:t>
      </w:r>
      <w:r w:rsidRPr="00E2472B">
        <w:rPr>
          <w:sz w:val="24"/>
          <w:szCs w:val="24"/>
        </w:rPr>
        <w:t xml:space="preserve">from </w:t>
      </w:r>
      <w:r w:rsidR="00730A6B">
        <w:rPr>
          <w:sz w:val="24"/>
          <w:szCs w:val="24"/>
        </w:rPr>
        <w:t xml:space="preserve">incorporating the </w:t>
      </w:r>
      <w:r w:rsidRPr="00E2472B">
        <w:rPr>
          <w:sz w:val="24"/>
          <w:szCs w:val="24"/>
        </w:rPr>
        <w:t xml:space="preserve">2007 benchmark </w:t>
      </w:r>
      <w:r w:rsidR="00730A6B">
        <w:rPr>
          <w:sz w:val="24"/>
          <w:szCs w:val="24"/>
        </w:rPr>
        <w:t xml:space="preserve">I-O statistics.  </w:t>
      </w:r>
      <w:r w:rsidRPr="00E2472B">
        <w:rPr>
          <w:sz w:val="24"/>
          <w:szCs w:val="24"/>
        </w:rPr>
        <w:t>Revisions to th</w:t>
      </w:r>
      <w:r w:rsidR="00730A6B">
        <w:rPr>
          <w:sz w:val="24"/>
          <w:szCs w:val="24"/>
        </w:rPr>
        <w:t>e</w:t>
      </w:r>
      <w:r w:rsidRPr="00E2472B">
        <w:rPr>
          <w:sz w:val="24"/>
          <w:szCs w:val="24"/>
        </w:rPr>
        <w:t xml:space="preserve"> </w:t>
      </w:r>
      <w:r w:rsidR="00F46497">
        <w:rPr>
          <w:sz w:val="24"/>
          <w:szCs w:val="24"/>
        </w:rPr>
        <w:t xml:space="preserve">I-O accounts </w:t>
      </w:r>
      <w:r w:rsidRPr="00E2472B">
        <w:rPr>
          <w:sz w:val="24"/>
          <w:szCs w:val="24"/>
        </w:rPr>
        <w:t>stem from three sources</w:t>
      </w:r>
      <w:r w:rsidR="00F46497">
        <w:rPr>
          <w:sz w:val="24"/>
          <w:szCs w:val="24"/>
        </w:rPr>
        <w:t xml:space="preserve">: </w:t>
      </w:r>
      <w:r w:rsidRPr="00E2472B">
        <w:rPr>
          <w:sz w:val="24"/>
          <w:szCs w:val="24"/>
        </w:rPr>
        <w:t xml:space="preserve"> </w:t>
      </w:r>
      <w:r w:rsidR="00F46497">
        <w:rPr>
          <w:sz w:val="24"/>
          <w:szCs w:val="24"/>
        </w:rPr>
        <w:t>1) c</w:t>
      </w:r>
      <w:r w:rsidRPr="00E2472B">
        <w:rPr>
          <w:sz w:val="24"/>
          <w:szCs w:val="24"/>
        </w:rPr>
        <w:t>hanges in definitions</w:t>
      </w:r>
      <w:r w:rsidR="00F46497">
        <w:rPr>
          <w:sz w:val="24"/>
          <w:szCs w:val="24"/>
        </w:rPr>
        <w:t>,</w:t>
      </w:r>
      <w:r w:rsidRPr="00E2472B">
        <w:rPr>
          <w:sz w:val="24"/>
          <w:szCs w:val="24"/>
        </w:rPr>
        <w:t xml:space="preserve"> </w:t>
      </w:r>
      <w:r w:rsidR="00F46497">
        <w:rPr>
          <w:sz w:val="24"/>
          <w:szCs w:val="24"/>
        </w:rPr>
        <w:t xml:space="preserve">2) </w:t>
      </w:r>
      <w:r w:rsidRPr="00E2472B">
        <w:rPr>
          <w:sz w:val="24"/>
          <w:szCs w:val="24"/>
        </w:rPr>
        <w:t>changes to classification</w:t>
      </w:r>
      <w:r w:rsidR="00F46497">
        <w:rPr>
          <w:sz w:val="24"/>
          <w:szCs w:val="24"/>
        </w:rPr>
        <w:t xml:space="preserve">, </w:t>
      </w:r>
      <w:r w:rsidRPr="00E2472B">
        <w:rPr>
          <w:sz w:val="24"/>
          <w:szCs w:val="24"/>
        </w:rPr>
        <w:t xml:space="preserve">and </w:t>
      </w:r>
      <w:r w:rsidR="00F46497">
        <w:rPr>
          <w:sz w:val="24"/>
          <w:szCs w:val="24"/>
        </w:rPr>
        <w:t xml:space="preserve">3) </w:t>
      </w:r>
      <w:r w:rsidRPr="00E2472B">
        <w:rPr>
          <w:sz w:val="24"/>
          <w:szCs w:val="24"/>
        </w:rPr>
        <w:t>statistical improvements.  Four major changes in definitions were introduced with th</w:t>
      </w:r>
      <w:r w:rsidR="00F46497">
        <w:rPr>
          <w:sz w:val="24"/>
          <w:szCs w:val="24"/>
        </w:rPr>
        <w:t>e 2007</w:t>
      </w:r>
      <w:r w:rsidRPr="00E2472B">
        <w:rPr>
          <w:sz w:val="24"/>
          <w:szCs w:val="24"/>
        </w:rPr>
        <w:t xml:space="preserve"> benchmark</w:t>
      </w:r>
      <w:r w:rsidR="003366EA">
        <w:rPr>
          <w:sz w:val="24"/>
          <w:szCs w:val="24"/>
        </w:rPr>
        <w:t xml:space="preserve"> I-O account</w:t>
      </w:r>
      <w:r w:rsidRPr="00E2472B">
        <w:rPr>
          <w:sz w:val="24"/>
          <w:szCs w:val="24"/>
        </w:rPr>
        <w:t>.  By far the largest impact to the ACPSA is the capitalization of entertainment, literary, and other artistic originals.  This new</w:t>
      </w:r>
      <w:r w:rsidR="00F46497">
        <w:rPr>
          <w:sz w:val="24"/>
          <w:szCs w:val="24"/>
        </w:rPr>
        <w:t xml:space="preserve">ly recognized capital, </w:t>
      </w:r>
      <w:r w:rsidRPr="00E2472B">
        <w:rPr>
          <w:sz w:val="24"/>
          <w:szCs w:val="24"/>
        </w:rPr>
        <w:t>which is recommended by the SNA</w:t>
      </w:r>
      <w:r w:rsidR="00F46497">
        <w:rPr>
          <w:sz w:val="24"/>
          <w:szCs w:val="24"/>
        </w:rPr>
        <w:t>,</w:t>
      </w:r>
      <w:r w:rsidRPr="00E2472B">
        <w:rPr>
          <w:sz w:val="24"/>
          <w:szCs w:val="24"/>
        </w:rPr>
        <w:t xml:space="preserve"> shows that GDP is larger by $74 billion in 2012.  In the 2002 structure of the economy this value was not recognized as investment</w:t>
      </w:r>
      <w:r w:rsidR="00410731">
        <w:rPr>
          <w:sz w:val="24"/>
          <w:szCs w:val="24"/>
        </w:rPr>
        <w:t xml:space="preserve"> (nor output)</w:t>
      </w:r>
      <w:r w:rsidRPr="00E2472B">
        <w:rPr>
          <w:sz w:val="24"/>
          <w:szCs w:val="24"/>
        </w:rPr>
        <w:t xml:space="preserve"> and </w:t>
      </w:r>
      <w:r w:rsidR="00F46497">
        <w:rPr>
          <w:sz w:val="24"/>
          <w:szCs w:val="24"/>
        </w:rPr>
        <w:t xml:space="preserve">therefore </w:t>
      </w:r>
      <w:r w:rsidRPr="00E2472B">
        <w:rPr>
          <w:sz w:val="24"/>
          <w:szCs w:val="24"/>
        </w:rPr>
        <w:t>did not appear in value added for any industr</w:t>
      </w:r>
      <w:r w:rsidR="00F46497">
        <w:rPr>
          <w:sz w:val="24"/>
          <w:szCs w:val="24"/>
        </w:rPr>
        <w:t>y</w:t>
      </w:r>
      <w:r w:rsidRPr="00E2472B">
        <w:rPr>
          <w:sz w:val="24"/>
          <w:szCs w:val="24"/>
        </w:rPr>
        <w:t>.  Much of this value is likely to be identified as commodities that should reside in the ACPSA.</w:t>
      </w:r>
      <w:r w:rsidRPr="00E2472B">
        <w:rPr>
          <w:sz w:val="24"/>
          <w:szCs w:val="24"/>
          <w:vertAlign w:val="superscript"/>
        </w:rPr>
        <w:footnoteReference w:id="12"/>
      </w:r>
    </w:p>
    <w:p w:rsidR="00E2472B" w:rsidRPr="00E2472B" w:rsidRDefault="00E2472B" w:rsidP="00E2472B">
      <w:pPr>
        <w:rPr>
          <w:sz w:val="24"/>
          <w:szCs w:val="24"/>
        </w:rPr>
      </w:pPr>
      <w:r w:rsidRPr="00E2472B">
        <w:rPr>
          <w:sz w:val="24"/>
          <w:szCs w:val="24"/>
        </w:rPr>
        <w:t>The other source</w:t>
      </w:r>
      <w:r w:rsidR="00F46497">
        <w:rPr>
          <w:sz w:val="24"/>
          <w:szCs w:val="24"/>
        </w:rPr>
        <w:t>s</w:t>
      </w:r>
      <w:r w:rsidRPr="00E2472B">
        <w:rPr>
          <w:sz w:val="24"/>
          <w:szCs w:val="24"/>
        </w:rPr>
        <w:t xml:space="preserve"> of revision will come from refinements to source data and methods to develop the satellite account itself.  For example</w:t>
      </w:r>
      <w:r w:rsidR="00CC352F">
        <w:rPr>
          <w:sz w:val="24"/>
          <w:szCs w:val="24"/>
        </w:rPr>
        <w:t>,</w:t>
      </w:r>
      <w:r w:rsidRPr="00E2472B">
        <w:rPr>
          <w:sz w:val="24"/>
          <w:szCs w:val="24"/>
        </w:rPr>
        <w:t xml:space="preserve"> architectural services are currently in the ACPSA but only a small percentage resides there due to data limitations.  It is expected that by using a broader array of external data</w:t>
      </w:r>
      <w:r w:rsidR="00CC352F">
        <w:rPr>
          <w:sz w:val="24"/>
          <w:szCs w:val="24"/>
        </w:rPr>
        <w:t>,</w:t>
      </w:r>
      <w:r w:rsidRPr="00E2472B">
        <w:rPr>
          <w:sz w:val="24"/>
          <w:szCs w:val="24"/>
        </w:rPr>
        <w:t xml:space="preserve"> a much larger portion of th</w:t>
      </w:r>
      <w:r w:rsidR="00956915">
        <w:rPr>
          <w:sz w:val="24"/>
          <w:szCs w:val="24"/>
        </w:rPr>
        <w:t>is</w:t>
      </w:r>
      <w:r w:rsidRPr="00E2472B">
        <w:rPr>
          <w:sz w:val="24"/>
          <w:szCs w:val="24"/>
        </w:rPr>
        <w:t xml:space="preserve"> industry will be identified as creative and thus placed into the account. </w:t>
      </w:r>
    </w:p>
    <w:p w:rsidR="00E2472B" w:rsidRPr="00E2472B" w:rsidRDefault="00E2472B" w:rsidP="00E2472B">
      <w:pPr>
        <w:rPr>
          <w:sz w:val="24"/>
          <w:szCs w:val="24"/>
        </w:rPr>
      </w:pPr>
      <w:r w:rsidRPr="00E2472B">
        <w:rPr>
          <w:sz w:val="24"/>
          <w:szCs w:val="24"/>
        </w:rPr>
        <w:t xml:space="preserve">Increased frequency is not envisioned for the ACPSA </w:t>
      </w:r>
      <w:r w:rsidR="00F46497">
        <w:rPr>
          <w:sz w:val="24"/>
          <w:szCs w:val="24"/>
        </w:rPr>
        <w:t xml:space="preserve">at this time; however </w:t>
      </w:r>
      <w:r w:rsidRPr="00E2472B">
        <w:rPr>
          <w:sz w:val="24"/>
          <w:szCs w:val="24"/>
        </w:rPr>
        <w:t>sub-national estimates are.  The U.S. NEA is charged with promoting art and culture in all 50 of the United States.  To that end</w:t>
      </w:r>
      <w:r w:rsidR="00F46497">
        <w:rPr>
          <w:sz w:val="24"/>
          <w:szCs w:val="24"/>
        </w:rPr>
        <w:t>,</w:t>
      </w:r>
      <w:r w:rsidRPr="00E2472B">
        <w:rPr>
          <w:sz w:val="24"/>
          <w:szCs w:val="24"/>
        </w:rPr>
        <w:t xml:space="preserve"> BEA will begin work on developing state</w:t>
      </w:r>
      <w:r w:rsidR="00F46497">
        <w:rPr>
          <w:sz w:val="24"/>
          <w:szCs w:val="24"/>
        </w:rPr>
        <w:t>-level</w:t>
      </w:r>
      <w:r w:rsidRPr="00E2472B">
        <w:rPr>
          <w:sz w:val="24"/>
          <w:szCs w:val="24"/>
        </w:rPr>
        <w:t xml:space="preserve"> ACPSA estimates over the next three fiscal years.  The relationship between the national GDP estimates and GDP by state is firmly etched in the BEA structure</w:t>
      </w:r>
      <w:r w:rsidR="00CC352F">
        <w:rPr>
          <w:sz w:val="24"/>
          <w:szCs w:val="24"/>
        </w:rPr>
        <w:t xml:space="preserve">.  </w:t>
      </w:r>
      <w:r w:rsidR="003366EA">
        <w:rPr>
          <w:sz w:val="24"/>
          <w:szCs w:val="24"/>
        </w:rPr>
        <w:t>I</w:t>
      </w:r>
      <w:r w:rsidRPr="00E2472B">
        <w:rPr>
          <w:sz w:val="24"/>
          <w:szCs w:val="24"/>
        </w:rPr>
        <w:t>t is expected that this new regionalization task will be extremely helpful to the arts community when published.</w:t>
      </w:r>
      <w:r w:rsidR="00956915">
        <w:rPr>
          <w:sz w:val="24"/>
          <w:szCs w:val="24"/>
        </w:rPr>
        <w:t xml:space="preserve">  BEA also plans to develop chain-type</w:t>
      </w:r>
      <w:r w:rsidR="00956915" w:rsidRPr="00E2472B">
        <w:rPr>
          <w:sz w:val="24"/>
          <w:szCs w:val="24"/>
        </w:rPr>
        <w:t xml:space="preserve"> </w:t>
      </w:r>
      <w:r w:rsidR="00956915">
        <w:rPr>
          <w:sz w:val="24"/>
          <w:szCs w:val="24"/>
        </w:rPr>
        <w:t xml:space="preserve">volume measures, which will be helpful for additional cross-industry comparisons and trend analysis.  </w:t>
      </w:r>
    </w:p>
    <w:p w:rsidR="00A632C6" w:rsidRDefault="00F46497">
      <w:pPr>
        <w:rPr>
          <w:sz w:val="32"/>
          <w:szCs w:val="32"/>
        </w:rPr>
      </w:pPr>
      <w:r>
        <w:rPr>
          <w:sz w:val="24"/>
          <w:szCs w:val="24"/>
        </w:rPr>
        <w:t>Finally, a</w:t>
      </w:r>
      <w:r w:rsidR="00E2472B" w:rsidRPr="00E2472B">
        <w:rPr>
          <w:sz w:val="24"/>
          <w:szCs w:val="24"/>
        </w:rPr>
        <w:t xml:space="preserve"> more subtle evolution of the account will take place as the most recent </w:t>
      </w:r>
      <w:r w:rsidR="00A758C5">
        <w:rPr>
          <w:sz w:val="24"/>
          <w:szCs w:val="24"/>
        </w:rPr>
        <w:t>b</w:t>
      </w:r>
      <w:r w:rsidR="00E2472B" w:rsidRPr="00E2472B">
        <w:rPr>
          <w:sz w:val="24"/>
          <w:szCs w:val="24"/>
        </w:rPr>
        <w:t xml:space="preserve">enchmark I-O </w:t>
      </w:r>
      <w:r>
        <w:rPr>
          <w:sz w:val="24"/>
          <w:szCs w:val="24"/>
        </w:rPr>
        <w:t xml:space="preserve">account </w:t>
      </w:r>
      <w:r w:rsidR="00E2472B" w:rsidRPr="00E2472B">
        <w:rPr>
          <w:sz w:val="24"/>
          <w:szCs w:val="24"/>
        </w:rPr>
        <w:t xml:space="preserve">is fully linked into the arts account.  In particular industry experts at BEA will be asked to review prior work on the ACP ‘partials’ (those industries whose output and value added were not 100% ACP).  By comparing the old and new estimates and searching for new evidence of the split between ACP and </w:t>
      </w:r>
      <w:r w:rsidR="003620CD">
        <w:rPr>
          <w:sz w:val="24"/>
          <w:szCs w:val="24"/>
        </w:rPr>
        <w:t>non-ACP</w:t>
      </w:r>
      <w:r w:rsidR="00956915">
        <w:rPr>
          <w:sz w:val="24"/>
          <w:szCs w:val="24"/>
        </w:rPr>
        <w:t xml:space="preserve"> activity</w:t>
      </w:r>
      <w:r w:rsidR="00A758C5">
        <w:rPr>
          <w:sz w:val="24"/>
          <w:szCs w:val="24"/>
        </w:rPr>
        <w:t>,</w:t>
      </w:r>
      <w:r w:rsidR="00E2472B" w:rsidRPr="00E2472B">
        <w:rPr>
          <w:sz w:val="24"/>
          <w:szCs w:val="24"/>
        </w:rPr>
        <w:t xml:space="preserve"> we expect some </w:t>
      </w:r>
      <w:r w:rsidR="00956915">
        <w:rPr>
          <w:sz w:val="24"/>
          <w:szCs w:val="24"/>
        </w:rPr>
        <w:t xml:space="preserve">improvements to stem from this research.  </w:t>
      </w:r>
      <w:r w:rsidR="00A632C6">
        <w:rPr>
          <w:sz w:val="32"/>
          <w:szCs w:val="32"/>
        </w:rPr>
        <w:br w:type="page"/>
      </w:r>
    </w:p>
    <w:p w:rsidR="00991DC7" w:rsidRDefault="00991DC7" w:rsidP="00EE12E3">
      <w:pPr>
        <w:jc w:val="center"/>
        <w:rPr>
          <w:sz w:val="32"/>
          <w:szCs w:val="32"/>
        </w:rPr>
        <w:sectPr w:rsidR="00991DC7" w:rsidSect="0005688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p w:rsidR="004F712D" w:rsidRDefault="00AD70ED" w:rsidP="00EE12E3">
      <w:pPr>
        <w:jc w:val="center"/>
        <w:rPr>
          <w:sz w:val="32"/>
          <w:szCs w:val="32"/>
        </w:rPr>
      </w:pPr>
      <w:r w:rsidRPr="00FE56EE">
        <w:rPr>
          <w:noProof/>
        </w:rPr>
        <w:lastRenderedPageBreak/>
        <w:drawing>
          <wp:inline distT="0" distB="0" distL="0" distR="0" wp14:anchorId="39AE137D" wp14:editId="662E6B9D">
            <wp:extent cx="8673002" cy="4483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673002" cy="4483100"/>
                    </a:xfrm>
                    <a:prstGeom prst="rect">
                      <a:avLst/>
                    </a:prstGeom>
                    <a:noFill/>
                    <a:ln>
                      <a:noFill/>
                    </a:ln>
                  </pic:spPr>
                </pic:pic>
              </a:graphicData>
            </a:graphic>
          </wp:inline>
        </w:drawing>
      </w:r>
    </w:p>
    <w:p w:rsidR="004F712D" w:rsidRDefault="004F712D" w:rsidP="00EE12E3">
      <w:pPr>
        <w:jc w:val="center"/>
        <w:rPr>
          <w:sz w:val="24"/>
          <w:szCs w:val="24"/>
        </w:rPr>
      </w:pPr>
    </w:p>
    <w:p w:rsidR="001703C8" w:rsidRPr="00693271" w:rsidRDefault="001703C8" w:rsidP="00EE12E3">
      <w:pPr>
        <w:jc w:val="center"/>
        <w:rPr>
          <w:sz w:val="24"/>
          <w:szCs w:val="24"/>
        </w:rPr>
      </w:pPr>
    </w:p>
    <w:p w:rsidR="00EE12E3" w:rsidRDefault="00EE12E3"/>
    <w:p w:rsidR="00061761" w:rsidRDefault="00061761">
      <w:r>
        <w:br w:type="page"/>
      </w:r>
    </w:p>
    <w:tbl>
      <w:tblPr>
        <w:tblpPr w:leftFromText="180" w:rightFromText="180" w:horzAnchor="page" w:tblpX="1948" w:tblpY="825"/>
        <w:tblW w:w="12253" w:type="dxa"/>
        <w:tblLook w:val="04A0" w:firstRow="1" w:lastRow="0" w:firstColumn="1" w:lastColumn="0" w:noHBand="0" w:noVBand="1"/>
      </w:tblPr>
      <w:tblGrid>
        <w:gridCol w:w="4569"/>
        <w:gridCol w:w="1397"/>
        <w:gridCol w:w="1397"/>
        <w:gridCol w:w="1397"/>
        <w:gridCol w:w="1125"/>
        <w:gridCol w:w="1290"/>
        <w:gridCol w:w="1078"/>
      </w:tblGrid>
      <w:tr w:rsidR="00991DC7" w:rsidRPr="00991DC7" w:rsidTr="00061761">
        <w:trPr>
          <w:trHeight w:val="306"/>
        </w:trPr>
        <w:tc>
          <w:tcPr>
            <w:tcW w:w="12253" w:type="dxa"/>
            <w:gridSpan w:val="7"/>
            <w:tcBorders>
              <w:top w:val="nil"/>
              <w:left w:val="nil"/>
              <w:bottom w:val="nil"/>
              <w:right w:val="nil"/>
            </w:tcBorders>
            <w:shd w:val="clear" w:color="auto" w:fill="auto"/>
            <w:vAlign w:val="bottom"/>
            <w:hideMark/>
          </w:tcPr>
          <w:p w:rsidR="00991DC7" w:rsidRPr="00991DC7" w:rsidRDefault="00991DC7" w:rsidP="00991DC7">
            <w:pPr>
              <w:spacing w:after="0" w:line="240" w:lineRule="auto"/>
              <w:jc w:val="center"/>
              <w:rPr>
                <w:rFonts w:ascii="Arial" w:eastAsia="Times New Roman" w:hAnsi="Arial" w:cs="Arial"/>
                <w:b/>
                <w:bCs/>
                <w:sz w:val="18"/>
                <w:szCs w:val="18"/>
              </w:rPr>
            </w:pPr>
            <w:r w:rsidRPr="00991DC7">
              <w:rPr>
                <w:rFonts w:ascii="Arial" w:eastAsia="Times New Roman" w:hAnsi="Arial" w:cs="Arial"/>
                <w:b/>
                <w:bCs/>
                <w:sz w:val="18"/>
                <w:szCs w:val="18"/>
              </w:rPr>
              <w:lastRenderedPageBreak/>
              <w:t>Table B. Output and Value Added by Industry, 2011</w:t>
            </w:r>
          </w:p>
        </w:tc>
      </w:tr>
      <w:tr w:rsidR="00991DC7" w:rsidRPr="00991DC7" w:rsidTr="00061761">
        <w:trPr>
          <w:trHeight w:val="326"/>
        </w:trPr>
        <w:tc>
          <w:tcPr>
            <w:tcW w:w="12253" w:type="dxa"/>
            <w:gridSpan w:val="7"/>
            <w:tcBorders>
              <w:top w:val="nil"/>
              <w:left w:val="nil"/>
              <w:bottom w:val="nil"/>
              <w:right w:val="nil"/>
            </w:tcBorders>
            <w:shd w:val="clear" w:color="auto" w:fill="auto"/>
            <w:vAlign w:val="bottom"/>
            <w:hideMark/>
          </w:tcPr>
          <w:p w:rsidR="00991DC7" w:rsidRPr="00991DC7" w:rsidRDefault="00991DC7" w:rsidP="00991DC7">
            <w:pPr>
              <w:spacing w:after="0" w:line="240" w:lineRule="auto"/>
              <w:jc w:val="center"/>
              <w:rPr>
                <w:rFonts w:ascii="Arial" w:eastAsia="Times New Roman" w:hAnsi="Arial" w:cs="Arial"/>
                <w:sz w:val="16"/>
                <w:szCs w:val="16"/>
              </w:rPr>
            </w:pPr>
            <w:r w:rsidRPr="00991DC7">
              <w:rPr>
                <w:rFonts w:ascii="Arial" w:eastAsia="Times New Roman" w:hAnsi="Arial" w:cs="Arial"/>
                <w:sz w:val="16"/>
                <w:szCs w:val="16"/>
              </w:rPr>
              <w:t>[Millions of dollars]</w:t>
            </w:r>
          </w:p>
        </w:tc>
      </w:tr>
      <w:tr w:rsidR="00991DC7" w:rsidRPr="00991DC7" w:rsidTr="00991DC7">
        <w:trPr>
          <w:trHeight w:val="862"/>
        </w:trPr>
        <w:tc>
          <w:tcPr>
            <w:tcW w:w="4569" w:type="dxa"/>
            <w:tcBorders>
              <w:top w:val="single" w:sz="4" w:space="0" w:color="auto"/>
              <w:left w:val="nil"/>
              <w:bottom w:val="single" w:sz="4" w:space="0" w:color="auto"/>
              <w:right w:val="single" w:sz="4" w:space="0" w:color="auto"/>
            </w:tcBorders>
            <w:shd w:val="clear" w:color="auto" w:fill="auto"/>
            <w:vAlign w:val="center"/>
            <w:hideMark/>
          </w:tcPr>
          <w:p w:rsidR="00991DC7" w:rsidRPr="00991DC7" w:rsidRDefault="00991DC7" w:rsidP="00991DC7">
            <w:pPr>
              <w:spacing w:after="0" w:line="240" w:lineRule="auto"/>
              <w:jc w:val="center"/>
              <w:rPr>
                <w:rFonts w:ascii="Arial" w:eastAsia="Times New Roman" w:hAnsi="Arial" w:cs="Arial"/>
                <w:sz w:val="16"/>
                <w:szCs w:val="16"/>
              </w:rPr>
            </w:pPr>
            <w:r w:rsidRPr="00991DC7">
              <w:rPr>
                <w:rFonts w:ascii="Arial" w:eastAsia="Times New Roman" w:hAnsi="Arial" w:cs="Arial"/>
                <w:sz w:val="16"/>
                <w:szCs w:val="16"/>
              </w:rPr>
              <w:t>Industry</w:t>
            </w:r>
          </w:p>
        </w:tc>
        <w:tc>
          <w:tcPr>
            <w:tcW w:w="1397" w:type="dxa"/>
            <w:tcBorders>
              <w:top w:val="single" w:sz="4" w:space="0" w:color="auto"/>
              <w:left w:val="nil"/>
              <w:bottom w:val="single" w:sz="4" w:space="0" w:color="auto"/>
              <w:right w:val="single" w:sz="4" w:space="0" w:color="auto"/>
            </w:tcBorders>
            <w:shd w:val="clear" w:color="auto" w:fill="auto"/>
            <w:vAlign w:val="center"/>
            <w:hideMark/>
          </w:tcPr>
          <w:p w:rsidR="00991DC7" w:rsidRPr="00991DC7" w:rsidRDefault="00991DC7" w:rsidP="00991DC7">
            <w:pPr>
              <w:spacing w:after="0" w:line="240" w:lineRule="auto"/>
              <w:jc w:val="center"/>
              <w:rPr>
                <w:rFonts w:ascii="Arial" w:eastAsia="Times New Roman" w:hAnsi="Arial" w:cs="Arial"/>
                <w:sz w:val="16"/>
                <w:szCs w:val="16"/>
              </w:rPr>
            </w:pPr>
            <w:r w:rsidRPr="00991DC7">
              <w:rPr>
                <w:rFonts w:ascii="Arial" w:eastAsia="Times New Roman" w:hAnsi="Arial" w:cs="Arial"/>
                <w:sz w:val="16"/>
                <w:szCs w:val="16"/>
              </w:rPr>
              <w:t>Industry output</w:t>
            </w:r>
          </w:p>
        </w:tc>
        <w:tc>
          <w:tcPr>
            <w:tcW w:w="1397" w:type="dxa"/>
            <w:tcBorders>
              <w:top w:val="single" w:sz="4" w:space="0" w:color="auto"/>
              <w:left w:val="nil"/>
              <w:bottom w:val="single" w:sz="4" w:space="0" w:color="auto"/>
              <w:right w:val="single" w:sz="4" w:space="0" w:color="auto"/>
            </w:tcBorders>
            <w:shd w:val="clear" w:color="auto" w:fill="auto"/>
            <w:vAlign w:val="center"/>
            <w:hideMark/>
          </w:tcPr>
          <w:p w:rsidR="00991DC7" w:rsidRPr="00991DC7" w:rsidRDefault="00991DC7" w:rsidP="00991DC7">
            <w:pPr>
              <w:spacing w:after="0" w:line="240" w:lineRule="auto"/>
              <w:jc w:val="center"/>
              <w:rPr>
                <w:rFonts w:ascii="Arial" w:eastAsia="Times New Roman" w:hAnsi="Arial" w:cs="Arial"/>
                <w:sz w:val="16"/>
                <w:szCs w:val="16"/>
              </w:rPr>
            </w:pPr>
            <w:r w:rsidRPr="00991DC7">
              <w:rPr>
                <w:rFonts w:ascii="Arial" w:eastAsia="Times New Roman" w:hAnsi="Arial" w:cs="Arial"/>
                <w:sz w:val="16"/>
                <w:szCs w:val="16"/>
              </w:rPr>
              <w:t>Intermediate consumption</w:t>
            </w:r>
          </w:p>
        </w:tc>
        <w:tc>
          <w:tcPr>
            <w:tcW w:w="1397" w:type="dxa"/>
            <w:tcBorders>
              <w:top w:val="single" w:sz="4" w:space="0" w:color="auto"/>
              <w:left w:val="nil"/>
              <w:bottom w:val="single" w:sz="4" w:space="0" w:color="auto"/>
              <w:right w:val="single" w:sz="4" w:space="0" w:color="auto"/>
            </w:tcBorders>
            <w:shd w:val="clear" w:color="auto" w:fill="auto"/>
            <w:vAlign w:val="center"/>
            <w:hideMark/>
          </w:tcPr>
          <w:p w:rsidR="00991DC7" w:rsidRPr="00991DC7" w:rsidRDefault="00991DC7" w:rsidP="00991DC7">
            <w:pPr>
              <w:spacing w:after="0" w:line="240" w:lineRule="auto"/>
              <w:jc w:val="center"/>
              <w:rPr>
                <w:rFonts w:ascii="Arial" w:eastAsia="Times New Roman" w:hAnsi="Arial" w:cs="Arial"/>
                <w:sz w:val="16"/>
                <w:szCs w:val="16"/>
              </w:rPr>
            </w:pPr>
            <w:r w:rsidRPr="00991DC7">
              <w:rPr>
                <w:rFonts w:ascii="Arial" w:eastAsia="Times New Roman" w:hAnsi="Arial" w:cs="Arial"/>
                <w:sz w:val="16"/>
                <w:szCs w:val="16"/>
              </w:rPr>
              <w:t>Value added</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991DC7" w:rsidRPr="00991DC7" w:rsidRDefault="00991DC7" w:rsidP="00991DC7">
            <w:pPr>
              <w:spacing w:after="0" w:line="240" w:lineRule="auto"/>
              <w:jc w:val="center"/>
              <w:rPr>
                <w:rFonts w:ascii="Arial" w:eastAsia="Times New Roman" w:hAnsi="Arial" w:cs="Arial"/>
                <w:sz w:val="16"/>
                <w:szCs w:val="16"/>
              </w:rPr>
            </w:pPr>
            <w:r w:rsidRPr="00991DC7">
              <w:rPr>
                <w:rFonts w:ascii="Arial" w:eastAsia="Times New Roman" w:hAnsi="Arial" w:cs="Arial"/>
                <w:sz w:val="16"/>
                <w:szCs w:val="16"/>
              </w:rPr>
              <w:t>ACPSA output</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991DC7" w:rsidRPr="00991DC7" w:rsidRDefault="00991DC7" w:rsidP="00991DC7">
            <w:pPr>
              <w:spacing w:after="0" w:line="240" w:lineRule="auto"/>
              <w:jc w:val="center"/>
              <w:rPr>
                <w:rFonts w:ascii="Arial" w:eastAsia="Times New Roman" w:hAnsi="Arial" w:cs="Arial"/>
                <w:sz w:val="16"/>
                <w:szCs w:val="16"/>
              </w:rPr>
            </w:pPr>
            <w:r w:rsidRPr="00991DC7">
              <w:rPr>
                <w:rFonts w:ascii="Arial" w:eastAsia="Times New Roman" w:hAnsi="Arial" w:cs="Arial"/>
                <w:sz w:val="16"/>
                <w:szCs w:val="16"/>
              </w:rPr>
              <w:t>ACPSA intermediate consumption</w:t>
            </w:r>
          </w:p>
        </w:tc>
        <w:tc>
          <w:tcPr>
            <w:tcW w:w="1078" w:type="dxa"/>
            <w:tcBorders>
              <w:top w:val="single" w:sz="4" w:space="0" w:color="auto"/>
              <w:left w:val="nil"/>
              <w:bottom w:val="single" w:sz="4" w:space="0" w:color="auto"/>
              <w:right w:val="nil"/>
            </w:tcBorders>
            <w:shd w:val="clear" w:color="auto" w:fill="auto"/>
            <w:vAlign w:val="center"/>
            <w:hideMark/>
          </w:tcPr>
          <w:p w:rsidR="00991DC7" w:rsidRPr="00991DC7" w:rsidRDefault="00991DC7" w:rsidP="00991DC7">
            <w:pPr>
              <w:spacing w:after="0" w:line="240" w:lineRule="auto"/>
              <w:jc w:val="center"/>
              <w:rPr>
                <w:rFonts w:ascii="Arial" w:eastAsia="Times New Roman" w:hAnsi="Arial" w:cs="Arial"/>
                <w:sz w:val="16"/>
                <w:szCs w:val="16"/>
              </w:rPr>
            </w:pPr>
            <w:r w:rsidRPr="00991DC7">
              <w:rPr>
                <w:rFonts w:ascii="Arial" w:eastAsia="Times New Roman" w:hAnsi="Arial" w:cs="Arial"/>
                <w:sz w:val="16"/>
                <w:szCs w:val="16"/>
              </w:rPr>
              <w:t>ACPSA value added</w:t>
            </w:r>
          </w:p>
        </w:tc>
      </w:tr>
      <w:tr w:rsidR="00991DC7" w:rsidRPr="00991DC7" w:rsidTr="00991DC7">
        <w:trPr>
          <w:trHeight w:val="326"/>
        </w:trPr>
        <w:tc>
          <w:tcPr>
            <w:tcW w:w="4569" w:type="dxa"/>
            <w:tcBorders>
              <w:top w:val="nil"/>
              <w:left w:val="nil"/>
              <w:bottom w:val="nil"/>
              <w:right w:val="nil"/>
            </w:tcBorders>
            <w:shd w:val="clear" w:color="auto" w:fill="auto"/>
            <w:noWrap/>
            <w:vAlign w:val="center"/>
            <w:hideMark/>
          </w:tcPr>
          <w:p w:rsidR="00991DC7" w:rsidRPr="00991DC7" w:rsidRDefault="00991DC7" w:rsidP="00991DC7">
            <w:pPr>
              <w:spacing w:after="0" w:line="240" w:lineRule="auto"/>
              <w:rPr>
                <w:rFonts w:ascii="Arial" w:eastAsia="Times New Roman" w:hAnsi="Arial" w:cs="Arial"/>
                <w:b/>
                <w:bCs/>
                <w:sz w:val="20"/>
                <w:szCs w:val="20"/>
              </w:rPr>
            </w:pPr>
            <w:r w:rsidRPr="00991DC7">
              <w:rPr>
                <w:rFonts w:ascii="Arial" w:eastAsia="Times New Roman" w:hAnsi="Arial" w:cs="Arial"/>
                <w:b/>
                <w:bCs/>
                <w:sz w:val="20"/>
                <w:szCs w:val="20"/>
              </w:rPr>
              <w:t>Core arts and cultural production</w:t>
            </w:r>
          </w:p>
        </w:tc>
        <w:tc>
          <w:tcPr>
            <w:tcW w:w="1397" w:type="dxa"/>
            <w:tcBorders>
              <w:top w:val="nil"/>
              <w:left w:val="single" w:sz="4" w:space="0" w:color="auto"/>
              <w:bottom w:val="nil"/>
              <w:right w:val="single" w:sz="4" w:space="0" w:color="auto"/>
            </w:tcBorders>
            <w:shd w:val="clear" w:color="auto" w:fill="auto"/>
            <w:vAlign w:val="center"/>
            <w:hideMark/>
          </w:tcPr>
          <w:p w:rsidR="00991DC7" w:rsidRPr="00991DC7" w:rsidRDefault="00991DC7" w:rsidP="00991DC7">
            <w:pPr>
              <w:spacing w:after="0" w:line="240" w:lineRule="auto"/>
              <w:jc w:val="right"/>
              <w:rPr>
                <w:rFonts w:ascii="Arial" w:eastAsia="Times New Roman" w:hAnsi="Arial" w:cs="Arial"/>
                <w:b/>
                <w:bCs/>
                <w:sz w:val="20"/>
                <w:szCs w:val="20"/>
              </w:rPr>
            </w:pPr>
            <w:r w:rsidRPr="00991DC7">
              <w:rPr>
                <w:rFonts w:ascii="Arial" w:eastAsia="Times New Roman" w:hAnsi="Arial" w:cs="Arial"/>
                <w:b/>
                <w:bCs/>
                <w:sz w:val="20"/>
                <w:szCs w:val="20"/>
              </w:rPr>
              <w:t xml:space="preserve">618,737 </w:t>
            </w:r>
          </w:p>
        </w:tc>
        <w:tc>
          <w:tcPr>
            <w:tcW w:w="1397" w:type="dxa"/>
            <w:tcBorders>
              <w:top w:val="nil"/>
              <w:left w:val="nil"/>
              <w:bottom w:val="nil"/>
              <w:right w:val="single" w:sz="4" w:space="0" w:color="auto"/>
            </w:tcBorders>
            <w:shd w:val="clear" w:color="auto" w:fill="auto"/>
            <w:vAlign w:val="center"/>
            <w:hideMark/>
          </w:tcPr>
          <w:p w:rsidR="00991DC7" w:rsidRPr="00991DC7" w:rsidRDefault="00991DC7" w:rsidP="00991DC7">
            <w:pPr>
              <w:spacing w:after="0" w:line="240" w:lineRule="auto"/>
              <w:jc w:val="right"/>
              <w:rPr>
                <w:rFonts w:ascii="Arial" w:eastAsia="Times New Roman" w:hAnsi="Arial" w:cs="Arial"/>
                <w:b/>
                <w:bCs/>
                <w:sz w:val="20"/>
                <w:szCs w:val="20"/>
              </w:rPr>
            </w:pPr>
            <w:r w:rsidRPr="00991DC7">
              <w:rPr>
                <w:rFonts w:ascii="Arial" w:eastAsia="Times New Roman" w:hAnsi="Arial" w:cs="Arial"/>
                <w:b/>
                <w:bCs/>
                <w:sz w:val="20"/>
                <w:szCs w:val="20"/>
              </w:rPr>
              <w:t xml:space="preserve">180,392 </w:t>
            </w:r>
          </w:p>
        </w:tc>
        <w:tc>
          <w:tcPr>
            <w:tcW w:w="1397" w:type="dxa"/>
            <w:tcBorders>
              <w:top w:val="nil"/>
              <w:left w:val="nil"/>
              <w:bottom w:val="nil"/>
              <w:right w:val="single" w:sz="4" w:space="0" w:color="auto"/>
            </w:tcBorders>
            <w:shd w:val="clear" w:color="auto" w:fill="auto"/>
            <w:vAlign w:val="center"/>
            <w:hideMark/>
          </w:tcPr>
          <w:p w:rsidR="00991DC7" w:rsidRPr="00991DC7" w:rsidRDefault="00991DC7" w:rsidP="00991DC7">
            <w:pPr>
              <w:spacing w:after="0" w:line="240" w:lineRule="auto"/>
              <w:jc w:val="right"/>
              <w:rPr>
                <w:rFonts w:ascii="Arial" w:eastAsia="Times New Roman" w:hAnsi="Arial" w:cs="Arial"/>
                <w:b/>
                <w:bCs/>
                <w:sz w:val="20"/>
                <w:szCs w:val="20"/>
              </w:rPr>
            </w:pPr>
            <w:r w:rsidRPr="00991DC7">
              <w:rPr>
                <w:rFonts w:ascii="Arial" w:eastAsia="Times New Roman" w:hAnsi="Arial" w:cs="Arial"/>
                <w:b/>
                <w:bCs/>
                <w:sz w:val="20"/>
                <w:szCs w:val="20"/>
              </w:rPr>
              <w:t xml:space="preserve">438,345 </w:t>
            </w:r>
          </w:p>
        </w:tc>
        <w:tc>
          <w:tcPr>
            <w:tcW w:w="1125" w:type="dxa"/>
            <w:tcBorders>
              <w:top w:val="nil"/>
              <w:left w:val="nil"/>
              <w:bottom w:val="nil"/>
              <w:right w:val="single" w:sz="4" w:space="0" w:color="auto"/>
            </w:tcBorders>
            <w:shd w:val="clear" w:color="auto" w:fill="auto"/>
            <w:vAlign w:val="center"/>
            <w:hideMark/>
          </w:tcPr>
          <w:p w:rsidR="00991DC7" w:rsidRPr="00991DC7" w:rsidRDefault="00991DC7" w:rsidP="00991DC7">
            <w:pPr>
              <w:spacing w:after="0" w:line="240" w:lineRule="auto"/>
              <w:jc w:val="right"/>
              <w:rPr>
                <w:rFonts w:ascii="Arial" w:eastAsia="Times New Roman" w:hAnsi="Arial" w:cs="Arial"/>
                <w:b/>
                <w:bCs/>
                <w:sz w:val="20"/>
                <w:szCs w:val="20"/>
              </w:rPr>
            </w:pPr>
            <w:r w:rsidRPr="00991DC7">
              <w:rPr>
                <w:rFonts w:ascii="Arial" w:eastAsia="Times New Roman" w:hAnsi="Arial" w:cs="Arial"/>
                <w:b/>
                <w:bCs/>
                <w:sz w:val="20"/>
                <w:szCs w:val="20"/>
              </w:rPr>
              <w:t xml:space="preserve">195,827 </w:t>
            </w:r>
          </w:p>
        </w:tc>
        <w:tc>
          <w:tcPr>
            <w:tcW w:w="1290" w:type="dxa"/>
            <w:tcBorders>
              <w:top w:val="nil"/>
              <w:left w:val="nil"/>
              <w:bottom w:val="nil"/>
              <w:right w:val="single" w:sz="4" w:space="0" w:color="auto"/>
            </w:tcBorders>
            <w:shd w:val="clear" w:color="auto" w:fill="auto"/>
            <w:vAlign w:val="center"/>
            <w:hideMark/>
          </w:tcPr>
          <w:p w:rsidR="00991DC7" w:rsidRPr="00991DC7" w:rsidRDefault="00991DC7" w:rsidP="00991DC7">
            <w:pPr>
              <w:spacing w:after="0" w:line="240" w:lineRule="auto"/>
              <w:jc w:val="right"/>
              <w:rPr>
                <w:rFonts w:ascii="Arial" w:eastAsia="Times New Roman" w:hAnsi="Arial" w:cs="Arial"/>
                <w:b/>
                <w:bCs/>
                <w:sz w:val="20"/>
                <w:szCs w:val="20"/>
              </w:rPr>
            </w:pPr>
            <w:r w:rsidRPr="00991DC7">
              <w:rPr>
                <w:rFonts w:ascii="Arial" w:eastAsia="Times New Roman" w:hAnsi="Arial" w:cs="Arial"/>
                <w:b/>
                <w:bCs/>
                <w:sz w:val="20"/>
                <w:szCs w:val="20"/>
              </w:rPr>
              <w:t xml:space="preserve">60,576 </w:t>
            </w:r>
          </w:p>
        </w:tc>
        <w:tc>
          <w:tcPr>
            <w:tcW w:w="1078" w:type="dxa"/>
            <w:tcBorders>
              <w:top w:val="nil"/>
              <w:left w:val="nil"/>
              <w:bottom w:val="nil"/>
              <w:right w:val="nil"/>
            </w:tcBorders>
            <w:shd w:val="clear" w:color="auto" w:fill="auto"/>
            <w:vAlign w:val="center"/>
            <w:hideMark/>
          </w:tcPr>
          <w:p w:rsidR="00991DC7" w:rsidRPr="00991DC7" w:rsidRDefault="00991DC7" w:rsidP="00991DC7">
            <w:pPr>
              <w:spacing w:after="0" w:line="240" w:lineRule="auto"/>
              <w:jc w:val="right"/>
              <w:rPr>
                <w:rFonts w:ascii="Arial" w:eastAsia="Times New Roman" w:hAnsi="Arial" w:cs="Arial"/>
                <w:b/>
                <w:bCs/>
                <w:sz w:val="20"/>
                <w:szCs w:val="20"/>
              </w:rPr>
            </w:pPr>
            <w:r w:rsidRPr="00991DC7">
              <w:rPr>
                <w:rFonts w:ascii="Arial" w:eastAsia="Times New Roman" w:hAnsi="Arial" w:cs="Arial"/>
                <w:b/>
                <w:bCs/>
                <w:sz w:val="20"/>
                <w:szCs w:val="20"/>
              </w:rPr>
              <w:t xml:space="preserve">135,251 </w:t>
            </w:r>
          </w:p>
        </w:tc>
      </w:tr>
      <w:tr w:rsidR="00991DC7" w:rsidRPr="00991DC7" w:rsidTr="00991DC7">
        <w:trPr>
          <w:trHeight w:val="287"/>
        </w:trPr>
        <w:tc>
          <w:tcPr>
            <w:tcW w:w="4569"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ind w:firstLineChars="100" w:firstLine="160"/>
              <w:rPr>
                <w:rFonts w:ascii="Arial" w:eastAsia="Times New Roman" w:hAnsi="Arial" w:cs="Arial"/>
                <w:sz w:val="16"/>
                <w:szCs w:val="16"/>
              </w:rPr>
            </w:pPr>
            <w:r w:rsidRPr="00991DC7">
              <w:rPr>
                <w:rFonts w:ascii="Arial" w:eastAsia="Times New Roman" w:hAnsi="Arial" w:cs="Arial"/>
                <w:sz w:val="16"/>
                <w:szCs w:val="16"/>
              </w:rPr>
              <w:t>Performing Arts</w:t>
            </w:r>
          </w:p>
        </w:tc>
        <w:tc>
          <w:tcPr>
            <w:tcW w:w="1397"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83,099</w:t>
            </w:r>
          </w:p>
        </w:tc>
        <w:tc>
          <w:tcPr>
            <w:tcW w:w="1397"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34,575</w:t>
            </w:r>
          </w:p>
        </w:tc>
        <w:tc>
          <w:tcPr>
            <w:tcW w:w="1397"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48,525</w:t>
            </w:r>
          </w:p>
        </w:tc>
        <w:tc>
          <w:tcPr>
            <w:tcW w:w="1125"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71,567</w:t>
            </w:r>
          </w:p>
        </w:tc>
        <w:tc>
          <w:tcPr>
            <w:tcW w:w="1290"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29,064</w:t>
            </w:r>
          </w:p>
        </w:tc>
        <w:tc>
          <w:tcPr>
            <w:tcW w:w="1078" w:type="dxa"/>
            <w:tcBorders>
              <w:top w:val="nil"/>
              <w:left w:val="nil"/>
              <w:bottom w:val="nil"/>
              <w:right w:val="nil"/>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42,503</w:t>
            </w:r>
          </w:p>
        </w:tc>
      </w:tr>
      <w:tr w:rsidR="00991DC7" w:rsidRPr="00991DC7" w:rsidTr="00991DC7">
        <w:trPr>
          <w:trHeight w:val="287"/>
        </w:trPr>
        <w:tc>
          <w:tcPr>
            <w:tcW w:w="4569"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ind w:firstLineChars="100" w:firstLine="160"/>
              <w:rPr>
                <w:rFonts w:ascii="Arial" w:eastAsia="Times New Roman" w:hAnsi="Arial" w:cs="Arial"/>
                <w:sz w:val="16"/>
                <w:szCs w:val="16"/>
              </w:rPr>
            </w:pPr>
            <w:r w:rsidRPr="00991DC7">
              <w:rPr>
                <w:rFonts w:ascii="Arial" w:eastAsia="Times New Roman" w:hAnsi="Arial" w:cs="Arial"/>
                <w:sz w:val="16"/>
                <w:szCs w:val="16"/>
              </w:rPr>
              <w:t>Museums</w:t>
            </w:r>
          </w:p>
        </w:tc>
        <w:tc>
          <w:tcPr>
            <w:tcW w:w="1397"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16,539</w:t>
            </w:r>
          </w:p>
        </w:tc>
        <w:tc>
          <w:tcPr>
            <w:tcW w:w="1397"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7,095</w:t>
            </w:r>
          </w:p>
        </w:tc>
        <w:tc>
          <w:tcPr>
            <w:tcW w:w="1397"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9,444</w:t>
            </w:r>
          </w:p>
        </w:tc>
        <w:tc>
          <w:tcPr>
            <w:tcW w:w="1125"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15,127</w:t>
            </w:r>
          </w:p>
        </w:tc>
        <w:tc>
          <w:tcPr>
            <w:tcW w:w="1290"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6,485</w:t>
            </w:r>
          </w:p>
        </w:tc>
        <w:tc>
          <w:tcPr>
            <w:tcW w:w="1078" w:type="dxa"/>
            <w:tcBorders>
              <w:top w:val="nil"/>
              <w:left w:val="nil"/>
              <w:bottom w:val="nil"/>
              <w:right w:val="nil"/>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8,643</w:t>
            </w:r>
          </w:p>
        </w:tc>
      </w:tr>
      <w:tr w:rsidR="00991DC7" w:rsidRPr="00991DC7" w:rsidTr="00991DC7">
        <w:trPr>
          <w:trHeight w:val="287"/>
        </w:trPr>
        <w:tc>
          <w:tcPr>
            <w:tcW w:w="4569"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ind w:firstLineChars="100" w:firstLine="160"/>
              <w:rPr>
                <w:rFonts w:ascii="Arial" w:eastAsia="Times New Roman" w:hAnsi="Arial" w:cs="Arial"/>
                <w:sz w:val="16"/>
                <w:szCs w:val="16"/>
              </w:rPr>
            </w:pPr>
            <w:r w:rsidRPr="00991DC7">
              <w:rPr>
                <w:rFonts w:ascii="Arial" w:eastAsia="Times New Roman" w:hAnsi="Arial" w:cs="Arial"/>
                <w:sz w:val="16"/>
                <w:szCs w:val="16"/>
              </w:rPr>
              <w:t>Design Services</w:t>
            </w:r>
          </w:p>
        </w:tc>
        <w:tc>
          <w:tcPr>
            <w:tcW w:w="1397"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340,462</w:t>
            </w:r>
          </w:p>
        </w:tc>
        <w:tc>
          <w:tcPr>
            <w:tcW w:w="1397"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76,501</w:t>
            </w:r>
          </w:p>
        </w:tc>
        <w:tc>
          <w:tcPr>
            <w:tcW w:w="1397"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263,962</w:t>
            </w:r>
          </w:p>
        </w:tc>
        <w:tc>
          <w:tcPr>
            <w:tcW w:w="1125"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97,965</w:t>
            </w:r>
          </w:p>
        </w:tc>
        <w:tc>
          <w:tcPr>
            <w:tcW w:w="1290"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21,453</w:t>
            </w:r>
          </w:p>
        </w:tc>
        <w:tc>
          <w:tcPr>
            <w:tcW w:w="1078" w:type="dxa"/>
            <w:tcBorders>
              <w:top w:val="nil"/>
              <w:left w:val="nil"/>
              <w:bottom w:val="nil"/>
              <w:right w:val="nil"/>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76,512</w:t>
            </w:r>
          </w:p>
        </w:tc>
      </w:tr>
      <w:tr w:rsidR="00991DC7" w:rsidRPr="00991DC7" w:rsidTr="00991DC7">
        <w:trPr>
          <w:trHeight w:val="287"/>
        </w:trPr>
        <w:tc>
          <w:tcPr>
            <w:tcW w:w="4569"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ind w:firstLineChars="100" w:firstLine="160"/>
              <w:rPr>
                <w:rFonts w:ascii="Arial" w:eastAsia="Times New Roman" w:hAnsi="Arial" w:cs="Arial"/>
                <w:sz w:val="16"/>
                <w:szCs w:val="16"/>
              </w:rPr>
            </w:pPr>
            <w:r w:rsidRPr="00991DC7">
              <w:rPr>
                <w:rFonts w:ascii="Arial" w:eastAsia="Times New Roman" w:hAnsi="Arial" w:cs="Arial"/>
                <w:sz w:val="16"/>
                <w:szCs w:val="16"/>
              </w:rPr>
              <w:t>Arts Education</w:t>
            </w:r>
          </w:p>
        </w:tc>
        <w:tc>
          <w:tcPr>
            <w:tcW w:w="1397"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178,637</w:t>
            </w:r>
          </w:p>
        </w:tc>
        <w:tc>
          <w:tcPr>
            <w:tcW w:w="1397"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62,221</w:t>
            </w:r>
          </w:p>
        </w:tc>
        <w:tc>
          <w:tcPr>
            <w:tcW w:w="1397"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116,415</w:t>
            </w:r>
          </w:p>
        </w:tc>
        <w:tc>
          <w:tcPr>
            <w:tcW w:w="1125"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11,167</w:t>
            </w:r>
          </w:p>
        </w:tc>
        <w:tc>
          <w:tcPr>
            <w:tcW w:w="1290"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3,574</w:t>
            </w:r>
          </w:p>
        </w:tc>
        <w:tc>
          <w:tcPr>
            <w:tcW w:w="1078" w:type="dxa"/>
            <w:tcBorders>
              <w:top w:val="nil"/>
              <w:left w:val="nil"/>
              <w:bottom w:val="nil"/>
              <w:right w:val="nil"/>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7,593</w:t>
            </w:r>
          </w:p>
        </w:tc>
      </w:tr>
      <w:tr w:rsidR="00991DC7" w:rsidRPr="00991DC7" w:rsidTr="00991DC7">
        <w:trPr>
          <w:trHeight w:val="326"/>
        </w:trPr>
        <w:tc>
          <w:tcPr>
            <w:tcW w:w="4569" w:type="dxa"/>
            <w:tcBorders>
              <w:top w:val="nil"/>
              <w:left w:val="nil"/>
              <w:bottom w:val="nil"/>
              <w:right w:val="nil"/>
            </w:tcBorders>
            <w:shd w:val="clear" w:color="auto" w:fill="auto"/>
            <w:noWrap/>
            <w:vAlign w:val="center"/>
            <w:hideMark/>
          </w:tcPr>
          <w:p w:rsidR="00991DC7" w:rsidRPr="00991DC7" w:rsidRDefault="00991DC7" w:rsidP="00991DC7">
            <w:pPr>
              <w:spacing w:after="0" w:line="240" w:lineRule="auto"/>
              <w:rPr>
                <w:rFonts w:ascii="Arial" w:eastAsia="Times New Roman" w:hAnsi="Arial" w:cs="Arial"/>
                <w:b/>
                <w:bCs/>
                <w:sz w:val="20"/>
                <w:szCs w:val="20"/>
              </w:rPr>
            </w:pPr>
            <w:r w:rsidRPr="00991DC7">
              <w:rPr>
                <w:rFonts w:ascii="Arial" w:eastAsia="Times New Roman" w:hAnsi="Arial" w:cs="Arial"/>
                <w:b/>
                <w:bCs/>
                <w:sz w:val="20"/>
                <w:szCs w:val="20"/>
              </w:rPr>
              <w:t>Supporting arts and cultural production</w:t>
            </w:r>
          </w:p>
        </w:tc>
        <w:tc>
          <w:tcPr>
            <w:tcW w:w="1397" w:type="dxa"/>
            <w:tcBorders>
              <w:top w:val="nil"/>
              <w:left w:val="single" w:sz="4" w:space="0" w:color="auto"/>
              <w:bottom w:val="nil"/>
              <w:right w:val="single" w:sz="4" w:space="0" w:color="auto"/>
            </w:tcBorders>
            <w:shd w:val="clear" w:color="auto" w:fill="auto"/>
            <w:vAlign w:val="center"/>
            <w:hideMark/>
          </w:tcPr>
          <w:p w:rsidR="00991DC7" w:rsidRPr="00991DC7" w:rsidRDefault="00991DC7" w:rsidP="00991DC7">
            <w:pPr>
              <w:spacing w:after="0" w:line="240" w:lineRule="auto"/>
              <w:jc w:val="right"/>
              <w:rPr>
                <w:rFonts w:ascii="Arial" w:eastAsia="Times New Roman" w:hAnsi="Arial" w:cs="Arial"/>
                <w:b/>
                <w:bCs/>
                <w:sz w:val="20"/>
                <w:szCs w:val="20"/>
              </w:rPr>
            </w:pPr>
            <w:r w:rsidRPr="00991DC7">
              <w:rPr>
                <w:rFonts w:ascii="Arial" w:eastAsia="Times New Roman" w:hAnsi="Arial" w:cs="Arial"/>
                <w:b/>
                <w:bCs/>
                <w:sz w:val="20"/>
                <w:szCs w:val="20"/>
              </w:rPr>
              <w:t xml:space="preserve">2,808,398 </w:t>
            </w:r>
          </w:p>
        </w:tc>
        <w:tc>
          <w:tcPr>
            <w:tcW w:w="1397" w:type="dxa"/>
            <w:tcBorders>
              <w:top w:val="nil"/>
              <w:left w:val="nil"/>
              <w:bottom w:val="nil"/>
              <w:right w:val="single" w:sz="4" w:space="0" w:color="auto"/>
            </w:tcBorders>
            <w:shd w:val="clear" w:color="auto" w:fill="auto"/>
            <w:vAlign w:val="center"/>
            <w:hideMark/>
          </w:tcPr>
          <w:p w:rsidR="00991DC7" w:rsidRPr="00991DC7" w:rsidRDefault="00991DC7" w:rsidP="00991DC7">
            <w:pPr>
              <w:spacing w:after="0" w:line="240" w:lineRule="auto"/>
              <w:jc w:val="right"/>
              <w:rPr>
                <w:rFonts w:ascii="Arial" w:eastAsia="Times New Roman" w:hAnsi="Arial" w:cs="Arial"/>
                <w:b/>
                <w:bCs/>
                <w:sz w:val="20"/>
                <w:szCs w:val="20"/>
              </w:rPr>
            </w:pPr>
            <w:r w:rsidRPr="00991DC7">
              <w:rPr>
                <w:rFonts w:ascii="Arial" w:eastAsia="Times New Roman" w:hAnsi="Arial" w:cs="Arial"/>
                <w:b/>
                <w:bCs/>
                <w:sz w:val="20"/>
                <w:szCs w:val="20"/>
              </w:rPr>
              <w:t xml:space="preserve">1,197,561 </w:t>
            </w:r>
          </w:p>
        </w:tc>
        <w:tc>
          <w:tcPr>
            <w:tcW w:w="1397" w:type="dxa"/>
            <w:tcBorders>
              <w:top w:val="nil"/>
              <w:left w:val="nil"/>
              <w:bottom w:val="nil"/>
              <w:right w:val="single" w:sz="4" w:space="0" w:color="auto"/>
            </w:tcBorders>
            <w:shd w:val="clear" w:color="auto" w:fill="auto"/>
            <w:vAlign w:val="center"/>
            <w:hideMark/>
          </w:tcPr>
          <w:p w:rsidR="00991DC7" w:rsidRPr="00991DC7" w:rsidRDefault="00991DC7" w:rsidP="00991DC7">
            <w:pPr>
              <w:spacing w:after="0" w:line="240" w:lineRule="auto"/>
              <w:jc w:val="right"/>
              <w:rPr>
                <w:rFonts w:ascii="Arial" w:eastAsia="Times New Roman" w:hAnsi="Arial" w:cs="Arial"/>
                <w:b/>
                <w:bCs/>
                <w:sz w:val="20"/>
                <w:szCs w:val="20"/>
              </w:rPr>
            </w:pPr>
            <w:r w:rsidRPr="00991DC7">
              <w:rPr>
                <w:rFonts w:ascii="Arial" w:eastAsia="Times New Roman" w:hAnsi="Arial" w:cs="Arial"/>
                <w:b/>
                <w:bCs/>
                <w:sz w:val="20"/>
                <w:szCs w:val="20"/>
              </w:rPr>
              <w:t xml:space="preserve">1,610,837 </w:t>
            </w:r>
          </w:p>
        </w:tc>
        <w:tc>
          <w:tcPr>
            <w:tcW w:w="1125" w:type="dxa"/>
            <w:tcBorders>
              <w:top w:val="nil"/>
              <w:left w:val="nil"/>
              <w:bottom w:val="nil"/>
              <w:right w:val="single" w:sz="4" w:space="0" w:color="auto"/>
            </w:tcBorders>
            <w:shd w:val="clear" w:color="auto" w:fill="auto"/>
            <w:vAlign w:val="center"/>
            <w:hideMark/>
          </w:tcPr>
          <w:p w:rsidR="00991DC7" w:rsidRPr="00991DC7" w:rsidRDefault="00991DC7" w:rsidP="00991DC7">
            <w:pPr>
              <w:spacing w:after="0" w:line="240" w:lineRule="auto"/>
              <w:jc w:val="right"/>
              <w:rPr>
                <w:rFonts w:ascii="Arial" w:eastAsia="Times New Roman" w:hAnsi="Arial" w:cs="Arial"/>
                <w:b/>
                <w:bCs/>
                <w:sz w:val="20"/>
                <w:szCs w:val="20"/>
              </w:rPr>
            </w:pPr>
            <w:r w:rsidRPr="00991DC7">
              <w:rPr>
                <w:rFonts w:ascii="Arial" w:eastAsia="Times New Roman" w:hAnsi="Arial" w:cs="Arial"/>
                <w:b/>
                <w:bCs/>
                <w:sz w:val="20"/>
                <w:szCs w:val="20"/>
              </w:rPr>
              <w:t xml:space="preserve">678,525 </w:t>
            </w:r>
          </w:p>
        </w:tc>
        <w:tc>
          <w:tcPr>
            <w:tcW w:w="1290" w:type="dxa"/>
            <w:tcBorders>
              <w:top w:val="nil"/>
              <w:left w:val="nil"/>
              <w:bottom w:val="nil"/>
              <w:right w:val="single" w:sz="4" w:space="0" w:color="auto"/>
            </w:tcBorders>
            <w:shd w:val="clear" w:color="auto" w:fill="auto"/>
            <w:vAlign w:val="center"/>
            <w:hideMark/>
          </w:tcPr>
          <w:p w:rsidR="00991DC7" w:rsidRPr="00991DC7" w:rsidRDefault="00991DC7" w:rsidP="00991DC7">
            <w:pPr>
              <w:spacing w:after="0" w:line="240" w:lineRule="auto"/>
              <w:jc w:val="right"/>
              <w:rPr>
                <w:rFonts w:ascii="Arial" w:eastAsia="Times New Roman" w:hAnsi="Arial" w:cs="Arial"/>
                <w:b/>
                <w:bCs/>
                <w:sz w:val="20"/>
                <w:szCs w:val="20"/>
              </w:rPr>
            </w:pPr>
            <w:r w:rsidRPr="00991DC7">
              <w:rPr>
                <w:rFonts w:ascii="Arial" w:eastAsia="Times New Roman" w:hAnsi="Arial" w:cs="Arial"/>
                <w:b/>
                <w:bCs/>
                <w:sz w:val="20"/>
                <w:szCs w:val="20"/>
              </w:rPr>
              <w:t xml:space="preserve">332,859 </w:t>
            </w:r>
          </w:p>
        </w:tc>
        <w:tc>
          <w:tcPr>
            <w:tcW w:w="1078" w:type="dxa"/>
            <w:tcBorders>
              <w:top w:val="nil"/>
              <w:left w:val="nil"/>
              <w:bottom w:val="nil"/>
              <w:right w:val="nil"/>
            </w:tcBorders>
            <w:shd w:val="clear" w:color="auto" w:fill="auto"/>
            <w:vAlign w:val="center"/>
            <w:hideMark/>
          </w:tcPr>
          <w:p w:rsidR="00991DC7" w:rsidRPr="00991DC7" w:rsidRDefault="00991DC7" w:rsidP="00991DC7">
            <w:pPr>
              <w:spacing w:after="0" w:line="240" w:lineRule="auto"/>
              <w:jc w:val="right"/>
              <w:rPr>
                <w:rFonts w:ascii="Arial" w:eastAsia="Times New Roman" w:hAnsi="Arial" w:cs="Arial"/>
                <w:b/>
                <w:bCs/>
                <w:sz w:val="20"/>
                <w:szCs w:val="20"/>
              </w:rPr>
            </w:pPr>
            <w:r w:rsidRPr="00991DC7">
              <w:rPr>
                <w:rFonts w:ascii="Arial" w:eastAsia="Times New Roman" w:hAnsi="Arial" w:cs="Arial"/>
                <w:b/>
                <w:bCs/>
                <w:sz w:val="20"/>
                <w:szCs w:val="20"/>
              </w:rPr>
              <w:t xml:space="preserve">345,665 </w:t>
            </w:r>
          </w:p>
        </w:tc>
      </w:tr>
      <w:tr w:rsidR="00991DC7" w:rsidRPr="00991DC7" w:rsidTr="00991DC7">
        <w:trPr>
          <w:trHeight w:val="287"/>
        </w:trPr>
        <w:tc>
          <w:tcPr>
            <w:tcW w:w="4569"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ind w:firstLineChars="100" w:firstLine="160"/>
              <w:rPr>
                <w:rFonts w:ascii="Arial" w:eastAsia="Times New Roman" w:hAnsi="Arial" w:cs="Arial"/>
                <w:sz w:val="16"/>
                <w:szCs w:val="16"/>
              </w:rPr>
            </w:pPr>
            <w:r w:rsidRPr="00991DC7">
              <w:rPr>
                <w:rFonts w:ascii="Arial" w:eastAsia="Times New Roman" w:hAnsi="Arial" w:cs="Arial"/>
                <w:sz w:val="16"/>
                <w:szCs w:val="16"/>
              </w:rPr>
              <w:t>Art support</w:t>
            </w:r>
          </w:p>
        </w:tc>
        <w:tc>
          <w:tcPr>
            <w:tcW w:w="1397"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1,598,413</w:t>
            </w:r>
          </w:p>
        </w:tc>
        <w:tc>
          <w:tcPr>
            <w:tcW w:w="1397"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574,256</w:t>
            </w:r>
          </w:p>
        </w:tc>
        <w:tc>
          <w:tcPr>
            <w:tcW w:w="1397"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1,024,157</w:t>
            </w:r>
          </w:p>
        </w:tc>
        <w:tc>
          <w:tcPr>
            <w:tcW w:w="1125"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145,417</w:t>
            </w:r>
          </w:p>
        </w:tc>
        <w:tc>
          <w:tcPr>
            <w:tcW w:w="1290"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52,845</w:t>
            </w:r>
          </w:p>
        </w:tc>
        <w:tc>
          <w:tcPr>
            <w:tcW w:w="1078" w:type="dxa"/>
            <w:tcBorders>
              <w:top w:val="nil"/>
              <w:left w:val="nil"/>
              <w:bottom w:val="nil"/>
              <w:right w:val="nil"/>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92,572</w:t>
            </w:r>
          </w:p>
        </w:tc>
      </w:tr>
      <w:tr w:rsidR="00991DC7" w:rsidRPr="00991DC7" w:rsidTr="00991DC7">
        <w:trPr>
          <w:trHeight w:val="287"/>
        </w:trPr>
        <w:tc>
          <w:tcPr>
            <w:tcW w:w="4569"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ind w:firstLineChars="100" w:firstLine="160"/>
              <w:rPr>
                <w:rFonts w:ascii="Arial" w:eastAsia="Times New Roman" w:hAnsi="Arial" w:cs="Arial"/>
                <w:sz w:val="16"/>
                <w:szCs w:val="16"/>
              </w:rPr>
            </w:pPr>
            <w:r w:rsidRPr="00991DC7">
              <w:rPr>
                <w:rFonts w:ascii="Arial" w:eastAsia="Times New Roman" w:hAnsi="Arial" w:cs="Arial"/>
                <w:sz w:val="16"/>
                <w:szCs w:val="16"/>
              </w:rPr>
              <w:t>Information</w:t>
            </w:r>
          </w:p>
        </w:tc>
        <w:tc>
          <w:tcPr>
            <w:tcW w:w="1397"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666,341</w:t>
            </w:r>
          </w:p>
        </w:tc>
        <w:tc>
          <w:tcPr>
            <w:tcW w:w="1397"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374,640</w:t>
            </w:r>
          </w:p>
        </w:tc>
        <w:tc>
          <w:tcPr>
            <w:tcW w:w="1397"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291,700</w:t>
            </w:r>
          </w:p>
        </w:tc>
        <w:tc>
          <w:tcPr>
            <w:tcW w:w="1125"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433,490</w:t>
            </w:r>
          </w:p>
        </w:tc>
        <w:tc>
          <w:tcPr>
            <w:tcW w:w="1290"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234,811</w:t>
            </w:r>
          </w:p>
        </w:tc>
        <w:tc>
          <w:tcPr>
            <w:tcW w:w="1078" w:type="dxa"/>
            <w:tcBorders>
              <w:top w:val="nil"/>
              <w:left w:val="nil"/>
              <w:bottom w:val="nil"/>
              <w:right w:val="nil"/>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198,679</w:t>
            </w:r>
          </w:p>
        </w:tc>
      </w:tr>
      <w:tr w:rsidR="00991DC7" w:rsidRPr="00991DC7" w:rsidTr="00991DC7">
        <w:trPr>
          <w:trHeight w:val="287"/>
        </w:trPr>
        <w:tc>
          <w:tcPr>
            <w:tcW w:w="4569"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ind w:firstLineChars="100" w:firstLine="160"/>
              <w:rPr>
                <w:rFonts w:ascii="Arial" w:eastAsia="Times New Roman" w:hAnsi="Arial" w:cs="Arial"/>
                <w:sz w:val="16"/>
                <w:szCs w:val="16"/>
              </w:rPr>
            </w:pPr>
            <w:r w:rsidRPr="00991DC7">
              <w:rPr>
                <w:rFonts w:ascii="Arial" w:eastAsia="Times New Roman" w:hAnsi="Arial" w:cs="Arial"/>
                <w:sz w:val="16"/>
                <w:szCs w:val="16"/>
              </w:rPr>
              <w:t>Manufacturing</w:t>
            </w:r>
          </w:p>
        </w:tc>
        <w:tc>
          <w:tcPr>
            <w:tcW w:w="1397"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120,478</w:t>
            </w:r>
          </w:p>
        </w:tc>
        <w:tc>
          <w:tcPr>
            <w:tcW w:w="1397"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75,056</w:t>
            </w:r>
          </w:p>
        </w:tc>
        <w:tc>
          <w:tcPr>
            <w:tcW w:w="1397"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45,422</w:t>
            </w:r>
          </w:p>
        </w:tc>
        <w:tc>
          <w:tcPr>
            <w:tcW w:w="1125"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33,506</w:t>
            </w:r>
          </w:p>
        </w:tc>
        <w:tc>
          <w:tcPr>
            <w:tcW w:w="1290"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20,934</w:t>
            </w:r>
          </w:p>
        </w:tc>
        <w:tc>
          <w:tcPr>
            <w:tcW w:w="1078" w:type="dxa"/>
            <w:tcBorders>
              <w:top w:val="nil"/>
              <w:left w:val="nil"/>
              <w:bottom w:val="nil"/>
              <w:right w:val="nil"/>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12,572</w:t>
            </w:r>
          </w:p>
        </w:tc>
      </w:tr>
      <w:tr w:rsidR="00991DC7" w:rsidRPr="00991DC7" w:rsidTr="00991DC7">
        <w:trPr>
          <w:trHeight w:val="287"/>
        </w:trPr>
        <w:tc>
          <w:tcPr>
            <w:tcW w:w="4569"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ind w:firstLineChars="100" w:firstLine="160"/>
              <w:rPr>
                <w:rFonts w:ascii="Arial" w:eastAsia="Times New Roman" w:hAnsi="Arial" w:cs="Arial"/>
                <w:sz w:val="16"/>
                <w:szCs w:val="16"/>
              </w:rPr>
            </w:pPr>
            <w:r w:rsidRPr="00991DC7">
              <w:rPr>
                <w:rFonts w:ascii="Arial" w:eastAsia="Times New Roman" w:hAnsi="Arial" w:cs="Arial"/>
                <w:sz w:val="16"/>
                <w:szCs w:val="16"/>
              </w:rPr>
              <w:t>Wholesale &amp; Retail Trade</w:t>
            </w:r>
          </w:p>
        </w:tc>
        <w:tc>
          <w:tcPr>
            <w:tcW w:w="1397"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329,561</w:t>
            </w:r>
          </w:p>
        </w:tc>
        <w:tc>
          <w:tcPr>
            <w:tcW w:w="1397"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130,538</w:t>
            </w:r>
          </w:p>
        </w:tc>
        <w:tc>
          <w:tcPr>
            <w:tcW w:w="1397"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199,023</w:t>
            </w:r>
          </w:p>
        </w:tc>
        <w:tc>
          <w:tcPr>
            <w:tcW w:w="1125"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44,605</w:t>
            </w:r>
          </w:p>
        </w:tc>
        <w:tc>
          <w:tcPr>
            <w:tcW w:w="1290"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14,374</w:t>
            </w:r>
          </w:p>
        </w:tc>
        <w:tc>
          <w:tcPr>
            <w:tcW w:w="1078" w:type="dxa"/>
            <w:tcBorders>
              <w:top w:val="nil"/>
              <w:left w:val="nil"/>
              <w:bottom w:val="nil"/>
              <w:right w:val="nil"/>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30,232</w:t>
            </w:r>
          </w:p>
        </w:tc>
      </w:tr>
      <w:tr w:rsidR="00991DC7" w:rsidRPr="00991DC7" w:rsidTr="00991DC7">
        <w:trPr>
          <w:trHeight w:val="287"/>
        </w:trPr>
        <w:tc>
          <w:tcPr>
            <w:tcW w:w="4569"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ind w:firstLineChars="100" w:firstLine="160"/>
              <w:rPr>
                <w:rFonts w:ascii="Arial" w:eastAsia="Times New Roman" w:hAnsi="Arial" w:cs="Arial"/>
                <w:sz w:val="16"/>
                <w:szCs w:val="16"/>
              </w:rPr>
            </w:pPr>
            <w:r w:rsidRPr="00991DC7">
              <w:rPr>
                <w:rFonts w:ascii="Arial" w:eastAsia="Times New Roman" w:hAnsi="Arial" w:cs="Arial"/>
                <w:sz w:val="16"/>
                <w:szCs w:val="16"/>
              </w:rPr>
              <w:t>Construction</w:t>
            </w:r>
          </w:p>
        </w:tc>
        <w:tc>
          <w:tcPr>
            <w:tcW w:w="1397"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93,605</w:t>
            </w:r>
          </w:p>
        </w:tc>
        <w:tc>
          <w:tcPr>
            <w:tcW w:w="1397"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43,071</w:t>
            </w:r>
          </w:p>
        </w:tc>
        <w:tc>
          <w:tcPr>
            <w:tcW w:w="1397"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50,534</w:t>
            </w:r>
          </w:p>
        </w:tc>
        <w:tc>
          <w:tcPr>
            <w:tcW w:w="1125"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21,506</w:t>
            </w:r>
          </w:p>
        </w:tc>
        <w:tc>
          <w:tcPr>
            <w:tcW w:w="1290"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9,896</w:t>
            </w:r>
          </w:p>
        </w:tc>
        <w:tc>
          <w:tcPr>
            <w:tcW w:w="1078" w:type="dxa"/>
            <w:tcBorders>
              <w:top w:val="nil"/>
              <w:left w:val="nil"/>
              <w:bottom w:val="nil"/>
              <w:right w:val="nil"/>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11,610</w:t>
            </w:r>
          </w:p>
        </w:tc>
      </w:tr>
      <w:tr w:rsidR="00991DC7" w:rsidRPr="00991DC7" w:rsidTr="00991DC7">
        <w:trPr>
          <w:trHeight w:val="326"/>
        </w:trPr>
        <w:tc>
          <w:tcPr>
            <w:tcW w:w="4569"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rPr>
                <w:rFonts w:ascii="Arial" w:eastAsia="Times New Roman" w:hAnsi="Arial" w:cs="Arial"/>
                <w:b/>
                <w:bCs/>
                <w:sz w:val="20"/>
                <w:szCs w:val="20"/>
              </w:rPr>
            </w:pPr>
            <w:r w:rsidRPr="00991DC7">
              <w:rPr>
                <w:rFonts w:ascii="Arial" w:eastAsia="Times New Roman" w:hAnsi="Arial" w:cs="Arial"/>
                <w:b/>
                <w:bCs/>
                <w:sz w:val="20"/>
                <w:szCs w:val="20"/>
              </w:rPr>
              <w:t>All other industries</w:t>
            </w:r>
          </w:p>
        </w:tc>
        <w:tc>
          <w:tcPr>
            <w:tcW w:w="1397"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b/>
                <w:bCs/>
                <w:sz w:val="20"/>
                <w:szCs w:val="20"/>
              </w:rPr>
            </w:pPr>
            <w:r w:rsidRPr="00991DC7">
              <w:rPr>
                <w:rFonts w:ascii="Arial" w:eastAsia="Times New Roman" w:hAnsi="Arial" w:cs="Arial"/>
                <w:b/>
                <w:bCs/>
                <w:sz w:val="20"/>
                <w:szCs w:val="20"/>
              </w:rPr>
              <w:t>23,827,708</w:t>
            </w:r>
          </w:p>
        </w:tc>
        <w:tc>
          <w:tcPr>
            <w:tcW w:w="1397"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b/>
                <w:bCs/>
                <w:sz w:val="20"/>
                <w:szCs w:val="20"/>
              </w:rPr>
            </w:pPr>
            <w:r w:rsidRPr="00991DC7">
              <w:rPr>
                <w:rFonts w:ascii="Arial" w:eastAsia="Times New Roman" w:hAnsi="Arial" w:cs="Arial"/>
                <w:b/>
                <w:bCs/>
                <w:sz w:val="20"/>
                <w:szCs w:val="20"/>
              </w:rPr>
              <w:t>10,801,223</w:t>
            </w:r>
          </w:p>
        </w:tc>
        <w:tc>
          <w:tcPr>
            <w:tcW w:w="1397"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b/>
                <w:bCs/>
                <w:sz w:val="20"/>
                <w:szCs w:val="20"/>
              </w:rPr>
            </w:pPr>
            <w:r w:rsidRPr="00991DC7">
              <w:rPr>
                <w:rFonts w:ascii="Arial" w:eastAsia="Times New Roman" w:hAnsi="Arial" w:cs="Arial"/>
                <w:b/>
                <w:bCs/>
                <w:sz w:val="20"/>
                <w:szCs w:val="20"/>
              </w:rPr>
              <w:t>13,026,485</w:t>
            </w:r>
          </w:p>
        </w:tc>
        <w:tc>
          <w:tcPr>
            <w:tcW w:w="1125"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b/>
                <w:bCs/>
                <w:sz w:val="20"/>
                <w:szCs w:val="20"/>
              </w:rPr>
            </w:pPr>
            <w:r w:rsidRPr="00991DC7">
              <w:rPr>
                <w:rFonts w:ascii="Arial" w:eastAsia="Times New Roman" w:hAnsi="Arial" w:cs="Arial"/>
                <w:b/>
                <w:bCs/>
                <w:sz w:val="20"/>
                <w:szCs w:val="20"/>
              </w:rPr>
              <w:t>41,514</w:t>
            </w:r>
          </w:p>
        </w:tc>
        <w:tc>
          <w:tcPr>
            <w:tcW w:w="1290"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b/>
                <w:bCs/>
                <w:sz w:val="20"/>
                <w:szCs w:val="20"/>
              </w:rPr>
            </w:pPr>
            <w:r w:rsidRPr="00991DC7">
              <w:rPr>
                <w:rFonts w:ascii="Arial" w:eastAsia="Times New Roman" w:hAnsi="Arial" w:cs="Arial"/>
                <w:b/>
                <w:bCs/>
                <w:sz w:val="20"/>
                <w:szCs w:val="20"/>
              </w:rPr>
              <w:t>18,039</w:t>
            </w:r>
          </w:p>
        </w:tc>
        <w:tc>
          <w:tcPr>
            <w:tcW w:w="1078" w:type="dxa"/>
            <w:tcBorders>
              <w:top w:val="nil"/>
              <w:left w:val="nil"/>
              <w:bottom w:val="nil"/>
              <w:right w:val="nil"/>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b/>
                <w:bCs/>
                <w:sz w:val="20"/>
                <w:szCs w:val="20"/>
              </w:rPr>
            </w:pPr>
            <w:r w:rsidRPr="00991DC7">
              <w:rPr>
                <w:rFonts w:ascii="Arial" w:eastAsia="Times New Roman" w:hAnsi="Arial" w:cs="Arial"/>
                <w:b/>
                <w:bCs/>
                <w:sz w:val="20"/>
                <w:szCs w:val="20"/>
              </w:rPr>
              <w:t>23,475</w:t>
            </w:r>
          </w:p>
        </w:tc>
      </w:tr>
      <w:tr w:rsidR="00991DC7" w:rsidRPr="00991DC7" w:rsidTr="00991DC7">
        <w:trPr>
          <w:trHeight w:val="326"/>
        </w:trPr>
        <w:tc>
          <w:tcPr>
            <w:tcW w:w="4569" w:type="dxa"/>
            <w:tcBorders>
              <w:top w:val="nil"/>
              <w:left w:val="nil"/>
              <w:bottom w:val="single" w:sz="4" w:space="0" w:color="auto"/>
              <w:right w:val="single" w:sz="4" w:space="0" w:color="auto"/>
            </w:tcBorders>
            <w:shd w:val="clear" w:color="auto" w:fill="auto"/>
            <w:vAlign w:val="bottom"/>
            <w:hideMark/>
          </w:tcPr>
          <w:p w:rsidR="00991DC7" w:rsidRPr="00991DC7" w:rsidRDefault="00991DC7" w:rsidP="00991DC7">
            <w:pPr>
              <w:spacing w:after="0" w:line="240" w:lineRule="auto"/>
              <w:rPr>
                <w:rFonts w:ascii="Arial" w:eastAsia="Times New Roman" w:hAnsi="Arial" w:cs="Arial"/>
                <w:b/>
                <w:bCs/>
                <w:sz w:val="20"/>
                <w:szCs w:val="20"/>
              </w:rPr>
            </w:pPr>
            <w:r w:rsidRPr="00991DC7">
              <w:rPr>
                <w:rFonts w:ascii="Arial" w:eastAsia="Times New Roman" w:hAnsi="Arial" w:cs="Arial"/>
                <w:b/>
                <w:bCs/>
                <w:sz w:val="20"/>
                <w:szCs w:val="20"/>
              </w:rPr>
              <w:t>Total</w:t>
            </w:r>
          </w:p>
        </w:tc>
        <w:tc>
          <w:tcPr>
            <w:tcW w:w="1397" w:type="dxa"/>
            <w:tcBorders>
              <w:top w:val="nil"/>
              <w:left w:val="nil"/>
              <w:bottom w:val="single" w:sz="4" w:space="0" w:color="auto"/>
              <w:right w:val="single" w:sz="4" w:space="0" w:color="auto"/>
            </w:tcBorders>
            <w:shd w:val="clear" w:color="auto" w:fill="auto"/>
            <w:noWrap/>
            <w:vAlign w:val="bottom"/>
            <w:hideMark/>
          </w:tcPr>
          <w:p w:rsidR="00991DC7" w:rsidRPr="00991DC7" w:rsidRDefault="00991DC7" w:rsidP="00991DC7">
            <w:pPr>
              <w:spacing w:after="0" w:line="240" w:lineRule="auto"/>
              <w:jc w:val="right"/>
              <w:rPr>
                <w:rFonts w:ascii="Arial" w:eastAsia="Times New Roman" w:hAnsi="Arial" w:cs="Arial"/>
                <w:b/>
                <w:bCs/>
                <w:sz w:val="20"/>
                <w:szCs w:val="20"/>
              </w:rPr>
            </w:pPr>
            <w:r w:rsidRPr="00991DC7">
              <w:rPr>
                <w:rFonts w:ascii="Arial" w:eastAsia="Times New Roman" w:hAnsi="Arial" w:cs="Arial"/>
                <w:b/>
                <w:bCs/>
                <w:sz w:val="20"/>
                <w:szCs w:val="20"/>
              </w:rPr>
              <w:t>27,254,842</w:t>
            </w:r>
          </w:p>
        </w:tc>
        <w:tc>
          <w:tcPr>
            <w:tcW w:w="1397" w:type="dxa"/>
            <w:tcBorders>
              <w:top w:val="nil"/>
              <w:left w:val="nil"/>
              <w:bottom w:val="single" w:sz="4" w:space="0" w:color="auto"/>
              <w:right w:val="single" w:sz="4" w:space="0" w:color="auto"/>
            </w:tcBorders>
            <w:shd w:val="clear" w:color="auto" w:fill="auto"/>
            <w:noWrap/>
            <w:vAlign w:val="bottom"/>
            <w:hideMark/>
          </w:tcPr>
          <w:p w:rsidR="00991DC7" w:rsidRPr="00991DC7" w:rsidRDefault="00991DC7" w:rsidP="00991DC7">
            <w:pPr>
              <w:spacing w:after="0" w:line="240" w:lineRule="auto"/>
              <w:jc w:val="right"/>
              <w:rPr>
                <w:rFonts w:ascii="Arial" w:eastAsia="Times New Roman" w:hAnsi="Arial" w:cs="Arial"/>
                <w:b/>
                <w:bCs/>
                <w:sz w:val="20"/>
                <w:szCs w:val="20"/>
              </w:rPr>
            </w:pPr>
            <w:r w:rsidRPr="00991DC7">
              <w:rPr>
                <w:rFonts w:ascii="Arial" w:eastAsia="Times New Roman" w:hAnsi="Arial" w:cs="Arial"/>
                <w:b/>
                <w:bCs/>
                <w:sz w:val="20"/>
                <w:szCs w:val="20"/>
              </w:rPr>
              <w:t>12,179,175</w:t>
            </w:r>
          </w:p>
        </w:tc>
        <w:tc>
          <w:tcPr>
            <w:tcW w:w="1397" w:type="dxa"/>
            <w:tcBorders>
              <w:top w:val="nil"/>
              <w:left w:val="nil"/>
              <w:bottom w:val="single" w:sz="4" w:space="0" w:color="auto"/>
              <w:right w:val="single" w:sz="4" w:space="0" w:color="auto"/>
            </w:tcBorders>
            <w:shd w:val="clear" w:color="auto" w:fill="auto"/>
            <w:noWrap/>
            <w:vAlign w:val="bottom"/>
            <w:hideMark/>
          </w:tcPr>
          <w:p w:rsidR="00991DC7" w:rsidRPr="00991DC7" w:rsidRDefault="00991DC7" w:rsidP="00991DC7">
            <w:pPr>
              <w:spacing w:after="0" w:line="240" w:lineRule="auto"/>
              <w:jc w:val="right"/>
              <w:rPr>
                <w:rFonts w:ascii="Arial" w:eastAsia="Times New Roman" w:hAnsi="Arial" w:cs="Arial"/>
                <w:b/>
                <w:bCs/>
                <w:sz w:val="20"/>
                <w:szCs w:val="20"/>
              </w:rPr>
            </w:pPr>
            <w:r w:rsidRPr="00991DC7">
              <w:rPr>
                <w:rFonts w:ascii="Arial" w:eastAsia="Times New Roman" w:hAnsi="Arial" w:cs="Arial"/>
                <w:b/>
                <w:bCs/>
                <w:sz w:val="20"/>
                <w:szCs w:val="20"/>
              </w:rPr>
              <w:t>15,075,667</w:t>
            </w:r>
          </w:p>
        </w:tc>
        <w:tc>
          <w:tcPr>
            <w:tcW w:w="1125" w:type="dxa"/>
            <w:tcBorders>
              <w:top w:val="nil"/>
              <w:left w:val="nil"/>
              <w:bottom w:val="single" w:sz="4" w:space="0" w:color="auto"/>
              <w:right w:val="single" w:sz="4" w:space="0" w:color="auto"/>
            </w:tcBorders>
            <w:shd w:val="clear" w:color="auto" w:fill="auto"/>
            <w:noWrap/>
            <w:vAlign w:val="bottom"/>
            <w:hideMark/>
          </w:tcPr>
          <w:p w:rsidR="00991DC7" w:rsidRPr="00991DC7" w:rsidRDefault="00991DC7" w:rsidP="00991DC7">
            <w:pPr>
              <w:spacing w:after="0" w:line="240" w:lineRule="auto"/>
              <w:jc w:val="right"/>
              <w:rPr>
                <w:rFonts w:ascii="Arial" w:eastAsia="Times New Roman" w:hAnsi="Arial" w:cs="Arial"/>
                <w:b/>
                <w:bCs/>
                <w:sz w:val="20"/>
                <w:szCs w:val="20"/>
              </w:rPr>
            </w:pPr>
            <w:r w:rsidRPr="00991DC7">
              <w:rPr>
                <w:rFonts w:ascii="Arial" w:eastAsia="Times New Roman" w:hAnsi="Arial" w:cs="Arial"/>
                <w:b/>
                <w:bCs/>
                <w:sz w:val="20"/>
                <w:szCs w:val="20"/>
              </w:rPr>
              <w:t>915,865</w:t>
            </w:r>
          </w:p>
        </w:tc>
        <w:tc>
          <w:tcPr>
            <w:tcW w:w="1290" w:type="dxa"/>
            <w:tcBorders>
              <w:top w:val="nil"/>
              <w:left w:val="nil"/>
              <w:bottom w:val="single" w:sz="4" w:space="0" w:color="auto"/>
              <w:right w:val="single" w:sz="4" w:space="0" w:color="auto"/>
            </w:tcBorders>
            <w:shd w:val="clear" w:color="auto" w:fill="auto"/>
            <w:noWrap/>
            <w:vAlign w:val="bottom"/>
            <w:hideMark/>
          </w:tcPr>
          <w:p w:rsidR="00991DC7" w:rsidRPr="00991DC7" w:rsidRDefault="00991DC7" w:rsidP="00991DC7">
            <w:pPr>
              <w:spacing w:after="0" w:line="240" w:lineRule="auto"/>
              <w:jc w:val="right"/>
              <w:rPr>
                <w:rFonts w:ascii="Arial" w:eastAsia="Times New Roman" w:hAnsi="Arial" w:cs="Arial"/>
                <w:b/>
                <w:bCs/>
                <w:sz w:val="20"/>
                <w:szCs w:val="20"/>
              </w:rPr>
            </w:pPr>
            <w:r w:rsidRPr="00991DC7">
              <w:rPr>
                <w:rFonts w:ascii="Arial" w:eastAsia="Times New Roman" w:hAnsi="Arial" w:cs="Arial"/>
                <w:b/>
                <w:bCs/>
                <w:sz w:val="20"/>
                <w:szCs w:val="20"/>
              </w:rPr>
              <w:t>411,474</w:t>
            </w:r>
          </w:p>
        </w:tc>
        <w:tc>
          <w:tcPr>
            <w:tcW w:w="1078" w:type="dxa"/>
            <w:tcBorders>
              <w:top w:val="nil"/>
              <w:left w:val="nil"/>
              <w:bottom w:val="single" w:sz="4" w:space="0" w:color="auto"/>
              <w:right w:val="nil"/>
            </w:tcBorders>
            <w:shd w:val="clear" w:color="auto" w:fill="auto"/>
            <w:noWrap/>
            <w:vAlign w:val="bottom"/>
            <w:hideMark/>
          </w:tcPr>
          <w:p w:rsidR="00991DC7" w:rsidRPr="00991DC7" w:rsidRDefault="00991DC7" w:rsidP="00991DC7">
            <w:pPr>
              <w:spacing w:after="0" w:line="240" w:lineRule="auto"/>
              <w:jc w:val="right"/>
              <w:rPr>
                <w:rFonts w:ascii="Arial" w:eastAsia="Times New Roman" w:hAnsi="Arial" w:cs="Arial"/>
                <w:b/>
                <w:bCs/>
                <w:sz w:val="20"/>
                <w:szCs w:val="20"/>
              </w:rPr>
            </w:pPr>
            <w:r w:rsidRPr="00991DC7">
              <w:rPr>
                <w:rFonts w:ascii="Arial" w:eastAsia="Times New Roman" w:hAnsi="Arial" w:cs="Arial"/>
                <w:b/>
                <w:bCs/>
                <w:sz w:val="20"/>
                <w:szCs w:val="20"/>
              </w:rPr>
              <w:t>504,390</w:t>
            </w:r>
          </w:p>
        </w:tc>
      </w:tr>
    </w:tbl>
    <w:p w:rsidR="008F02EC" w:rsidRDefault="008F02EC">
      <w:r>
        <w:br w:type="page"/>
      </w:r>
    </w:p>
    <w:tbl>
      <w:tblPr>
        <w:tblpPr w:leftFromText="180" w:rightFromText="180" w:vertAnchor="text" w:horzAnchor="margin" w:tblpY="769"/>
        <w:tblW w:w="13003" w:type="dxa"/>
        <w:tblLook w:val="04A0" w:firstRow="1" w:lastRow="0" w:firstColumn="1" w:lastColumn="0" w:noHBand="0" w:noVBand="1"/>
      </w:tblPr>
      <w:tblGrid>
        <w:gridCol w:w="5756"/>
        <w:gridCol w:w="1870"/>
        <w:gridCol w:w="1823"/>
        <w:gridCol w:w="1782"/>
        <w:gridCol w:w="1772"/>
      </w:tblGrid>
      <w:tr w:rsidR="00991DC7" w:rsidRPr="00991DC7" w:rsidTr="00991DC7">
        <w:trPr>
          <w:trHeight w:val="376"/>
        </w:trPr>
        <w:tc>
          <w:tcPr>
            <w:tcW w:w="13003" w:type="dxa"/>
            <w:gridSpan w:val="5"/>
            <w:tcBorders>
              <w:top w:val="nil"/>
              <w:left w:val="nil"/>
              <w:bottom w:val="nil"/>
              <w:right w:val="nil"/>
            </w:tcBorders>
            <w:shd w:val="clear" w:color="auto" w:fill="auto"/>
            <w:noWrap/>
            <w:vAlign w:val="bottom"/>
            <w:hideMark/>
          </w:tcPr>
          <w:p w:rsidR="00991DC7" w:rsidRPr="00991DC7" w:rsidRDefault="00991DC7" w:rsidP="00991DC7">
            <w:pPr>
              <w:spacing w:after="0" w:line="240" w:lineRule="auto"/>
              <w:jc w:val="center"/>
              <w:rPr>
                <w:rFonts w:ascii="Arial" w:eastAsia="Times New Roman" w:hAnsi="Arial" w:cs="Arial"/>
                <w:b/>
                <w:bCs/>
                <w:sz w:val="18"/>
                <w:szCs w:val="18"/>
              </w:rPr>
            </w:pPr>
            <w:r w:rsidRPr="00991DC7">
              <w:rPr>
                <w:rFonts w:ascii="Arial" w:eastAsia="Times New Roman" w:hAnsi="Arial" w:cs="Arial"/>
                <w:b/>
                <w:bCs/>
                <w:sz w:val="18"/>
                <w:szCs w:val="18"/>
              </w:rPr>
              <w:lastRenderedPageBreak/>
              <w:t>Table C.  Employment and Compensation of Employees by Industry, 2011</w:t>
            </w:r>
          </w:p>
        </w:tc>
      </w:tr>
      <w:tr w:rsidR="00991DC7" w:rsidRPr="00991DC7" w:rsidTr="00991DC7">
        <w:trPr>
          <w:trHeight w:val="1411"/>
        </w:trPr>
        <w:tc>
          <w:tcPr>
            <w:tcW w:w="5756" w:type="dxa"/>
            <w:tcBorders>
              <w:top w:val="single" w:sz="4" w:space="0" w:color="auto"/>
              <w:left w:val="nil"/>
              <w:bottom w:val="single" w:sz="4" w:space="0" w:color="auto"/>
              <w:right w:val="single" w:sz="4" w:space="0" w:color="auto"/>
            </w:tcBorders>
            <w:shd w:val="clear" w:color="auto" w:fill="auto"/>
            <w:vAlign w:val="center"/>
            <w:hideMark/>
          </w:tcPr>
          <w:p w:rsidR="00991DC7" w:rsidRPr="00991DC7" w:rsidRDefault="00991DC7" w:rsidP="00991DC7">
            <w:pPr>
              <w:spacing w:after="0" w:line="240" w:lineRule="auto"/>
              <w:jc w:val="center"/>
              <w:rPr>
                <w:rFonts w:ascii="Arial" w:eastAsia="Times New Roman" w:hAnsi="Arial" w:cs="Arial"/>
                <w:sz w:val="16"/>
                <w:szCs w:val="16"/>
              </w:rPr>
            </w:pPr>
            <w:r w:rsidRPr="00991DC7">
              <w:rPr>
                <w:rFonts w:ascii="Arial" w:eastAsia="Times New Roman" w:hAnsi="Arial" w:cs="Arial"/>
                <w:sz w:val="16"/>
                <w:szCs w:val="16"/>
              </w:rPr>
              <w:t>Industry</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rsidR="00991DC7" w:rsidRPr="00991DC7" w:rsidRDefault="00991DC7" w:rsidP="00991DC7">
            <w:pPr>
              <w:spacing w:after="0" w:line="240" w:lineRule="auto"/>
              <w:jc w:val="center"/>
              <w:rPr>
                <w:rFonts w:ascii="Arial" w:eastAsia="Times New Roman" w:hAnsi="Arial" w:cs="Arial"/>
                <w:sz w:val="16"/>
                <w:szCs w:val="16"/>
              </w:rPr>
            </w:pPr>
            <w:r w:rsidRPr="00991DC7">
              <w:rPr>
                <w:rFonts w:ascii="Arial" w:eastAsia="Times New Roman" w:hAnsi="Arial" w:cs="Arial"/>
                <w:sz w:val="16"/>
                <w:szCs w:val="16"/>
              </w:rPr>
              <w:t>Total employment (thousands of employees)</w:t>
            </w:r>
          </w:p>
        </w:tc>
        <w:tc>
          <w:tcPr>
            <w:tcW w:w="1823" w:type="dxa"/>
            <w:tcBorders>
              <w:top w:val="single" w:sz="4" w:space="0" w:color="auto"/>
              <w:left w:val="nil"/>
              <w:bottom w:val="single" w:sz="4" w:space="0" w:color="auto"/>
              <w:right w:val="single" w:sz="4" w:space="0" w:color="auto"/>
            </w:tcBorders>
            <w:shd w:val="clear" w:color="auto" w:fill="auto"/>
            <w:vAlign w:val="center"/>
            <w:hideMark/>
          </w:tcPr>
          <w:p w:rsidR="00991DC7" w:rsidRPr="00991DC7" w:rsidRDefault="00991DC7" w:rsidP="00991DC7">
            <w:pPr>
              <w:spacing w:after="0" w:line="240" w:lineRule="auto"/>
              <w:jc w:val="center"/>
              <w:rPr>
                <w:rFonts w:ascii="Arial" w:eastAsia="Times New Roman" w:hAnsi="Arial" w:cs="Arial"/>
                <w:sz w:val="16"/>
                <w:szCs w:val="16"/>
              </w:rPr>
            </w:pPr>
            <w:r w:rsidRPr="00991DC7">
              <w:rPr>
                <w:rFonts w:ascii="Arial" w:eastAsia="Times New Roman" w:hAnsi="Arial" w:cs="Arial"/>
                <w:sz w:val="16"/>
                <w:szCs w:val="16"/>
              </w:rPr>
              <w:t>Compensation (millions of dollars)</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991DC7" w:rsidRPr="00991DC7" w:rsidRDefault="00991DC7" w:rsidP="00991DC7">
            <w:pPr>
              <w:spacing w:after="0" w:line="240" w:lineRule="auto"/>
              <w:jc w:val="center"/>
              <w:rPr>
                <w:rFonts w:ascii="Arial" w:eastAsia="Times New Roman" w:hAnsi="Arial" w:cs="Arial"/>
                <w:sz w:val="16"/>
                <w:szCs w:val="16"/>
              </w:rPr>
            </w:pPr>
            <w:r w:rsidRPr="00991DC7">
              <w:rPr>
                <w:rFonts w:ascii="Arial" w:eastAsia="Times New Roman" w:hAnsi="Arial" w:cs="Arial"/>
                <w:sz w:val="16"/>
                <w:szCs w:val="16"/>
              </w:rPr>
              <w:t>ACPSA employment (thousands of employees)</w:t>
            </w:r>
          </w:p>
        </w:tc>
        <w:tc>
          <w:tcPr>
            <w:tcW w:w="1772" w:type="dxa"/>
            <w:tcBorders>
              <w:top w:val="single" w:sz="4" w:space="0" w:color="auto"/>
              <w:left w:val="nil"/>
              <w:bottom w:val="single" w:sz="4" w:space="0" w:color="auto"/>
              <w:right w:val="nil"/>
            </w:tcBorders>
            <w:shd w:val="clear" w:color="auto" w:fill="auto"/>
            <w:vAlign w:val="center"/>
            <w:hideMark/>
          </w:tcPr>
          <w:p w:rsidR="00991DC7" w:rsidRPr="00991DC7" w:rsidRDefault="00991DC7" w:rsidP="00991DC7">
            <w:pPr>
              <w:spacing w:after="0" w:line="240" w:lineRule="auto"/>
              <w:jc w:val="center"/>
              <w:rPr>
                <w:rFonts w:ascii="Arial" w:eastAsia="Times New Roman" w:hAnsi="Arial" w:cs="Arial"/>
                <w:sz w:val="16"/>
                <w:szCs w:val="16"/>
              </w:rPr>
            </w:pPr>
            <w:r w:rsidRPr="00991DC7">
              <w:rPr>
                <w:rFonts w:ascii="Arial" w:eastAsia="Times New Roman" w:hAnsi="Arial" w:cs="Arial"/>
                <w:sz w:val="16"/>
                <w:szCs w:val="16"/>
              </w:rPr>
              <w:t>ACPSA compensation (millions of dollars)</w:t>
            </w:r>
          </w:p>
        </w:tc>
      </w:tr>
      <w:tr w:rsidR="00991DC7" w:rsidRPr="00991DC7" w:rsidTr="00991DC7">
        <w:trPr>
          <w:trHeight w:val="400"/>
        </w:trPr>
        <w:tc>
          <w:tcPr>
            <w:tcW w:w="5756" w:type="dxa"/>
            <w:tcBorders>
              <w:top w:val="nil"/>
              <w:left w:val="nil"/>
              <w:bottom w:val="nil"/>
              <w:right w:val="single" w:sz="4" w:space="0" w:color="auto"/>
            </w:tcBorders>
            <w:shd w:val="clear" w:color="auto" w:fill="auto"/>
            <w:noWrap/>
            <w:vAlign w:val="center"/>
            <w:hideMark/>
          </w:tcPr>
          <w:p w:rsidR="00991DC7" w:rsidRPr="00991DC7" w:rsidRDefault="00991DC7" w:rsidP="00991DC7">
            <w:pPr>
              <w:spacing w:after="0" w:line="240" w:lineRule="auto"/>
              <w:rPr>
                <w:rFonts w:ascii="Arial" w:eastAsia="Times New Roman" w:hAnsi="Arial" w:cs="Arial"/>
                <w:b/>
                <w:bCs/>
                <w:sz w:val="20"/>
                <w:szCs w:val="20"/>
              </w:rPr>
            </w:pPr>
            <w:r w:rsidRPr="00991DC7">
              <w:rPr>
                <w:rFonts w:ascii="Arial" w:eastAsia="Times New Roman" w:hAnsi="Arial" w:cs="Arial"/>
                <w:b/>
                <w:bCs/>
                <w:sz w:val="20"/>
                <w:szCs w:val="20"/>
              </w:rPr>
              <w:t>Core arts and cultural production</w:t>
            </w:r>
          </w:p>
        </w:tc>
        <w:tc>
          <w:tcPr>
            <w:tcW w:w="1870" w:type="dxa"/>
            <w:tcBorders>
              <w:top w:val="nil"/>
              <w:left w:val="nil"/>
              <w:bottom w:val="nil"/>
              <w:right w:val="single" w:sz="4" w:space="0" w:color="auto"/>
            </w:tcBorders>
            <w:shd w:val="clear" w:color="auto" w:fill="auto"/>
            <w:vAlign w:val="center"/>
            <w:hideMark/>
          </w:tcPr>
          <w:p w:rsidR="00991DC7" w:rsidRPr="00991DC7" w:rsidRDefault="00991DC7" w:rsidP="00991DC7">
            <w:pPr>
              <w:spacing w:after="0" w:line="240" w:lineRule="auto"/>
              <w:jc w:val="right"/>
              <w:rPr>
                <w:rFonts w:ascii="Arial" w:eastAsia="Times New Roman" w:hAnsi="Arial" w:cs="Arial"/>
                <w:b/>
                <w:bCs/>
                <w:sz w:val="20"/>
                <w:szCs w:val="20"/>
              </w:rPr>
            </w:pPr>
            <w:r w:rsidRPr="00991DC7">
              <w:rPr>
                <w:rFonts w:ascii="Arial" w:eastAsia="Times New Roman" w:hAnsi="Arial" w:cs="Arial"/>
                <w:b/>
                <w:bCs/>
                <w:sz w:val="20"/>
                <w:szCs w:val="20"/>
              </w:rPr>
              <w:t xml:space="preserve">3,979 </w:t>
            </w:r>
          </w:p>
        </w:tc>
        <w:tc>
          <w:tcPr>
            <w:tcW w:w="1823" w:type="dxa"/>
            <w:tcBorders>
              <w:top w:val="nil"/>
              <w:left w:val="nil"/>
              <w:bottom w:val="nil"/>
              <w:right w:val="single" w:sz="4" w:space="0" w:color="auto"/>
            </w:tcBorders>
            <w:shd w:val="clear" w:color="auto" w:fill="auto"/>
            <w:vAlign w:val="center"/>
            <w:hideMark/>
          </w:tcPr>
          <w:p w:rsidR="00991DC7" w:rsidRPr="00991DC7" w:rsidRDefault="00991DC7" w:rsidP="00991DC7">
            <w:pPr>
              <w:spacing w:after="0" w:line="240" w:lineRule="auto"/>
              <w:jc w:val="right"/>
              <w:rPr>
                <w:rFonts w:ascii="Arial" w:eastAsia="Times New Roman" w:hAnsi="Arial" w:cs="Arial"/>
                <w:b/>
                <w:bCs/>
                <w:sz w:val="20"/>
                <w:szCs w:val="20"/>
              </w:rPr>
            </w:pPr>
            <w:r w:rsidRPr="00991DC7">
              <w:rPr>
                <w:rFonts w:ascii="Arial" w:eastAsia="Times New Roman" w:hAnsi="Arial" w:cs="Arial"/>
                <w:b/>
                <w:bCs/>
                <w:sz w:val="20"/>
                <w:szCs w:val="20"/>
              </w:rPr>
              <w:t xml:space="preserve">300,341 </w:t>
            </w:r>
          </w:p>
        </w:tc>
        <w:tc>
          <w:tcPr>
            <w:tcW w:w="1782" w:type="dxa"/>
            <w:tcBorders>
              <w:top w:val="nil"/>
              <w:left w:val="nil"/>
              <w:bottom w:val="nil"/>
              <w:right w:val="single" w:sz="4" w:space="0" w:color="auto"/>
            </w:tcBorders>
            <w:shd w:val="clear" w:color="auto" w:fill="auto"/>
            <w:vAlign w:val="center"/>
            <w:hideMark/>
          </w:tcPr>
          <w:p w:rsidR="00991DC7" w:rsidRPr="00991DC7" w:rsidRDefault="00991DC7" w:rsidP="00991DC7">
            <w:pPr>
              <w:spacing w:after="0" w:line="240" w:lineRule="auto"/>
              <w:jc w:val="right"/>
              <w:rPr>
                <w:rFonts w:ascii="Arial" w:eastAsia="Times New Roman" w:hAnsi="Arial" w:cs="Arial"/>
                <w:b/>
                <w:bCs/>
                <w:sz w:val="20"/>
                <w:szCs w:val="20"/>
              </w:rPr>
            </w:pPr>
            <w:r w:rsidRPr="00991DC7">
              <w:rPr>
                <w:rFonts w:ascii="Arial" w:eastAsia="Times New Roman" w:hAnsi="Arial" w:cs="Arial"/>
                <w:b/>
                <w:bCs/>
                <w:sz w:val="20"/>
                <w:szCs w:val="20"/>
              </w:rPr>
              <w:t xml:space="preserve">622 </w:t>
            </w:r>
          </w:p>
        </w:tc>
        <w:tc>
          <w:tcPr>
            <w:tcW w:w="1772" w:type="dxa"/>
            <w:tcBorders>
              <w:top w:val="nil"/>
              <w:left w:val="nil"/>
              <w:bottom w:val="nil"/>
              <w:right w:val="nil"/>
            </w:tcBorders>
            <w:shd w:val="clear" w:color="auto" w:fill="auto"/>
            <w:vAlign w:val="center"/>
            <w:hideMark/>
          </w:tcPr>
          <w:p w:rsidR="00991DC7" w:rsidRPr="00991DC7" w:rsidRDefault="00991DC7" w:rsidP="00991DC7">
            <w:pPr>
              <w:spacing w:after="0" w:line="240" w:lineRule="auto"/>
              <w:jc w:val="right"/>
              <w:rPr>
                <w:rFonts w:ascii="Arial" w:eastAsia="Times New Roman" w:hAnsi="Arial" w:cs="Arial"/>
                <w:b/>
                <w:bCs/>
                <w:sz w:val="20"/>
                <w:szCs w:val="20"/>
              </w:rPr>
            </w:pPr>
            <w:r w:rsidRPr="00991DC7">
              <w:rPr>
                <w:rFonts w:ascii="Arial" w:eastAsia="Times New Roman" w:hAnsi="Arial" w:cs="Arial"/>
                <w:b/>
                <w:bCs/>
                <w:sz w:val="20"/>
                <w:szCs w:val="20"/>
              </w:rPr>
              <w:t xml:space="preserve">65,576 </w:t>
            </w:r>
          </w:p>
        </w:tc>
      </w:tr>
      <w:tr w:rsidR="00991DC7" w:rsidRPr="00991DC7" w:rsidTr="00991DC7">
        <w:trPr>
          <w:trHeight w:val="353"/>
        </w:trPr>
        <w:tc>
          <w:tcPr>
            <w:tcW w:w="5756" w:type="dxa"/>
            <w:tcBorders>
              <w:top w:val="nil"/>
              <w:left w:val="nil"/>
              <w:bottom w:val="nil"/>
              <w:right w:val="nil"/>
            </w:tcBorders>
            <w:shd w:val="clear" w:color="auto" w:fill="auto"/>
            <w:vAlign w:val="bottom"/>
            <w:hideMark/>
          </w:tcPr>
          <w:p w:rsidR="00991DC7" w:rsidRPr="00991DC7" w:rsidRDefault="00991DC7" w:rsidP="00991DC7">
            <w:pPr>
              <w:spacing w:after="0" w:line="240" w:lineRule="auto"/>
              <w:ind w:firstLineChars="100" w:firstLine="160"/>
              <w:rPr>
                <w:rFonts w:ascii="Arial" w:eastAsia="Times New Roman" w:hAnsi="Arial" w:cs="Arial"/>
                <w:sz w:val="16"/>
                <w:szCs w:val="16"/>
              </w:rPr>
            </w:pPr>
            <w:r w:rsidRPr="00991DC7">
              <w:rPr>
                <w:rFonts w:ascii="Arial" w:eastAsia="Times New Roman" w:hAnsi="Arial" w:cs="Arial"/>
                <w:sz w:val="16"/>
                <w:szCs w:val="16"/>
              </w:rPr>
              <w:t>Performing Arts</w:t>
            </w:r>
          </w:p>
        </w:tc>
        <w:tc>
          <w:tcPr>
            <w:tcW w:w="1870" w:type="dxa"/>
            <w:tcBorders>
              <w:top w:val="nil"/>
              <w:left w:val="single" w:sz="4" w:space="0" w:color="auto"/>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283</w:t>
            </w:r>
          </w:p>
        </w:tc>
        <w:tc>
          <w:tcPr>
            <w:tcW w:w="1823"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19,231</w:t>
            </w:r>
          </w:p>
        </w:tc>
        <w:tc>
          <w:tcPr>
            <w:tcW w:w="1782"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211</w:t>
            </w:r>
          </w:p>
        </w:tc>
        <w:tc>
          <w:tcPr>
            <w:tcW w:w="1772" w:type="dxa"/>
            <w:tcBorders>
              <w:top w:val="nil"/>
              <w:left w:val="nil"/>
              <w:bottom w:val="nil"/>
              <w:right w:val="nil"/>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16,937</w:t>
            </w:r>
          </w:p>
        </w:tc>
      </w:tr>
      <w:tr w:rsidR="00991DC7" w:rsidRPr="00991DC7" w:rsidTr="00991DC7">
        <w:trPr>
          <w:trHeight w:val="353"/>
        </w:trPr>
        <w:tc>
          <w:tcPr>
            <w:tcW w:w="5756" w:type="dxa"/>
            <w:tcBorders>
              <w:top w:val="nil"/>
              <w:left w:val="nil"/>
              <w:bottom w:val="nil"/>
              <w:right w:val="nil"/>
            </w:tcBorders>
            <w:shd w:val="clear" w:color="auto" w:fill="auto"/>
            <w:vAlign w:val="bottom"/>
            <w:hideMark/>
          </w:tcPr>
          <w:p w:rsidR="00991DC7" w:rsidRPr="00991DC7" w:rsidRDefault="00991DC7" w:rsidP="00991DC7">
            <w:pPr>
              <w:spacing w:after="0" w:line="240" w:lineRule="auto"/>
              <w:ind w:firstLineChars="100" w:firstLine="160"/>
              <w:rPr>
                <w:rFonts w:ascii="Arial" w:eastAsia="Times New Roman" w:hAnsi="Arial" w:cs="Arial"/>
                <w:sz w:val="16"/>
                <w:szCs w:val="16"/>
              </w:rPr>
            </w:pPr>
            <w:r w:rsidRPr="00991DC7">
              <w:rPr>
                <w:rFonts w:ascii="Arial" w:eastAsia="Times New Roman" w:hAnsi="Arial" w:cs="Arial"/>
                <w:sz w:val="16"/>
                <w:szCs w:val="16"/>
              </w:rPr>
              <w:t>Museums</w:t>
            </w:r>
          </w:p>
        </w:tc>
        <w:tc>
          <w:tcPr>
            <w:tcW w:w="1870" w:type="dxa"/>
            <w:tcBorders>
              <w:top w:val="nil"/>
              <w:left w:val="single" w:sz="4" w:space="0" w:color="auto"/>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130</w:t>
            </w:r>
          </w:p>
        </w:tc>
        <w:tc>
          <w:tcPr>
            <w:tcW w:w="1823"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6,450</w:t>
            </w:r>
          </w:p>
        </w:tc>
        <w:tc>
          <w:tcPr>
            <w:tcW w:w="1782"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109</w:t>
            </w:r>
          </w:p>
        </w:tc>
        <w:tc>
          <w:tcPr>
            <w:tcW w:w="1772" w:type="dxa"/>
            <w:tcBorders>
              <w:top w:val="nil"/>
              <w:left w:val="nil"/>
              <w:bottom w:val="nil"/>
              <w:right w:val="nil"/>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5,918</w:t>
            </w:r>
          </w:p>
        </w:tc>
      </w:tr>
      <w:tr w:rsidR="00991DC7" w:rsidRPr="00991DC7" w:rsidTr="00991DC7">
        <w:trPr>
          <w:trHeight w:val="353"/>
        </w:trPr>
        <w:tc>
          <w:tcPr>
            <w:tcW w:w="5756" w:type="dxa"/>
            <w:tcBorders>
              <w:top w:val="nil"/>
              <w:left w:val="nil"/>
              <w:bottom w:val="nil"/>
              <w:right w:val="nil"/>
            </w:tcBorders>
            <w:shd w:val="clear" w:color="auto" w:fill="auto"/>
            <w:vAlign w:val="bottom"/>
            <w:hideMark/>
          </w:tcPr>
          <w:p w:rsidR="00991DC7" w:rsidRPr="00991DC7" w:rsidRDefault="00991DC7" w:rsidP="00991DC7">
            <w:pPr>
              <w:spacing w:after="0" w:line="240" w:lineRule="auto"/>
              <w:ind w:firstLineChars="100" w:firstLine="160"/>
              <w:rPr>
                <w:rFonts w:ascii="Arial" w:eastAsia="Times New Roman" w:hAnsi="Arial" w:cs="Arial"/>
                <w:sz w:val="16"/>
                <w:szCs w:val="16"/>
              </w:rPr>
            </w:pPr>
            <w:r w:rsidRPr="00991DC7">
              <w:rPr>
                <w:rFonts w:ascii="Arial" w:eastAsia="Times New Roman" w:hAnsi="Arial" w:cs="Arial"/>
                <w:sz w:val="16"/>
                <w:szCs w:val="16"/>
              </w:rPr>
              <w:t>Design Services</w:t>
            </w:r>
          </w:p>
        </w:tc>
        <w:tc>
          <w:tcPr>
            <w:tcW w:w="1870" w:type="dxa"/>
            <w:tcBorders>
              <w:top w:val="nil"/>
              <w:left w:val="single" w:sz="4" w:space="0" w:color="auto"/>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1,509</w:t>
            </w:r>
          </w:p>
        </w:tc>
        <w:tc>
          <w:tcPr>
            <w:tcW w:w="1823"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174,419</w:t>
            </w:r>
          </w:p>
        </w:tc>
        <w:tc>
          <w:tcPr>
            <w:tcW w:w="1782"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283</w:t>
            </w:r>
          </w:p>
        </w:tc>
        <w:tc>
          <w:tcPr>
            <w:tcW w:w="1772" w:type="dxa"/>
            <w:tcBorders>
              <w:top w:val="nil"/>
              <w:left w:val="nil"/>
              <w:bottom w:val="nil"/>
              <w:right w:val="nil"/>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36,789</w:t>
            </w:r>
          </w:p>
        </w:tc>
      </w:tr>
      <w:tr w:rsidR="00991DC7" w:rsidRPr="00991DC7" w:rsidTr="00991DC7">
        <w:trPr>
          <w:trHeight w:val="353"/>
        </w:trPr>
        <w:tc>
          <w:tcPr>
            <w:tcW w:w="5756" w:type="dxa"/>
            <w:tcBorders>
              <w:top w:val="nil"/>
              <w:left w:val="nil"/>
              <w:bottom w:val="nil"/>
              <w:right w:val="nil"/>
            </w:tcBorders>
            <w:shd w:val="clear" w:color="auto" w:fill="auto"/>
            <w:vAlign w:val="bottom"/>
            <w:hideMark/>
          </w:tcPr>
          <w:p w:rsidR="00991DC7" w:rsidRPr="00991DC7" w:rsidRDefault="00991DC7" w:rsidP="00991DC7">
            <w:pPr>
              <w:spacing w:after="0" w:line="240" w:lineRule="auto"/>
              <w:ind w:firstLineChars="100" w:firstLine="160"/>
              <w:rPr>
                <w:rFonts w:ascii="Arial" w:eastAsia="Times New Roman" w:hAnsi="Arial" w:cs="Arial"/>
                <w:sz w:val="16"/>
                <w:szCs w:val="16"/>
              </w:rPr>
            </w:pPr>
            <w:r w:rsidRPr="00991DC7">
              <w:rPr>
                <w:rFonts w:ascii="Arial" w:eastAsia="Times New Roman" w:hAnsi="Arial" w:cs="Arial"/>
                <w:sz w:val="16"/>
                <w:szCs w:val="16"/>
              </w:rPr>
              <w:t>Arts Education</w:t>
            </w:r>
          </w:p>
        </w:tc>
        <w:tc>
          <w:tcPr>
            <w:tcW w:w="1870" w:type="dxa"/>
            <w:tcBorders>
              <w:top w:val="nil"/>
              <w:left w:val="single" w:sz="4" w:space="0" w:color="auto"/>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2,057</w:t>
            </w:r>
          </w:p>
        </w:tc>
        <w:tc>
          <w:tcPr>
            <w:tcW w:w="1823"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100,242</w:t>
            </w:r>
          </w:p>
        </w:tc>
        <w:tc>
          <w:tcPr>
            <w:tcW w:w="1782"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18</w:t>
            </w:r>
          </w:p>
        </w:tc>
        <w:tc>
          <w:tcPr>
            <w:tcW w:w="1772" w:type="dxa"/>
            <w:tcBorders>
              <w:top w:val="nil"/>
              <w:left w:val="nil"/>
              <w:bottom w:val="nil"/>
              <w:right w:val="nil"/>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5,931</w:t>
            </w:r>
          </w:p>
        </w:tc>
      </w:tr>
      <w:tr w:rsidR="00991DC7" w:rsidRPr="00991DC7" w:rsidTr="00991DC7">
        <w:trPr>
          <w:trHeight w:val="400"/>
        </w:trPr>
        <w:tc>
          <w:tcPr>
            <w:tcW w:w="5756" w:type="dxa"/>
            <w:tcBorders>
              <w:top w:val="nil"/>
              <w:left w:val="nil"/>
              <w:bottom w:val="nil"/>
              <w:right w:val="nil"/>
            </w:tcBorders>
            <w:shd w:val="clear" w:color="auto" w:fill="auto"/>
            <w:noWrap/>
            <w:vAlign w:val="center"/>
            <w:hideMark/>
          </w:tcPr>
          <w:p w:rsidR="00991DC7" w:rsidRPr="00991DC7" w:rsidRDefault="00991DC7" w:rsidP="00991DC7">
            <w:pPr>
              <w:spacing w:after="0" w:line="240" w:lineRule="auto"/>
              <w:rPr>
                <w:rFonts w:ascii="Arial" w:eastAsia="Times New Roman" w:hAnsi="Arial" w:cs="Arial"/>
                <w:b/>
                <w:bCs/>
                <w:sz w:val="20"/>
                <w:szCs w:val="20"/>
              </w:rPr>
            </w:pPr>
            <w:r w:rsidRPr="00991DC7">
              <w:rPr>
                <w:rFonts w:ascii="Arial" w:eastAsia="Times New Roman" w:hAnsi="Arial" w:cs="Arial"/>
                <w:b/>
                <w:bCs/>
                <w:sz w:val="20"/>
                <w:szCs w:val="20"/>
              </w:rPr>
              <w:t>Supporting arts and cultural production</w:t>
            </w:r>
          </w:p>
        </w:tc>
        <w:tc>
          <w:tcPr>
            <w:tcW w:w="1870" w:type="dxa"/>
            <w:tcBorders>
              <w:top w:val="nil"/>
              <w:left w:val="single" w:sz="4" w:space="0" w:color="auto"/>
              <w:bottom w:val="nil"/>
              <w:right w:val="single" w:sz="4" w:space="0" w:color="auto"/>
            </w:tcBorders>
            <w:shd w:val="clear" w:color="auto" w:fill="auto"/>
            <w:vAlign w:val="center"/>
            <w:hideMark/>
          </w:tcPr>
          <w:p w:rsidR="00991DC7" w:rsidRPr="00991DC7" w:rsidRDefault="00991DC7" w:rsidP="00991DC7">
            <w:pPr>
              <w:spacing w:after="0" w:line="240" w:lineRule="auto"/>
              <w:jc w:val="right"/>
              <w:rPr>
                <w:rFonts w:ascii="Arial" w:eastAsia="Times New Roman" w:hAnsi="Arial" w:cs="Arial"/>
                <w:b/>
                <w:bCs/>
                <w:sz w:val="20"/>
                <w:szCs w:val="20"/>
              </w:rPr>
            </w:pPr>
            <w:r w:rsidRPr="00991DC7">
              <w:rPr>
                <w:rFonts w:ascii="Arial" w:eastAsia="Times New Roman" w:hAnsi="Arial" w:cs="Arial"/>
                <w:b/>
                <w:bCs/>
                <w:sz w:val="20"/>
                <w:szCs w:val="20"/>
              </w:rPr>
              <w:t xml:space="preserve">19,078 </w:t>
            </w:r>
          </w:p>
        </w:tc>
        <w:tc>
          <w:tcPr>
            <w:tcW w:w="1823" w:type="dxa"/>
            <w:tcBorders>
              <w:top w:val="nil"/>
              <w:left w:val="nil"/>
              <w:bottom w:val="nil"/>
              <w:right w:val="single" w:sz="4" w:space="0" w:color="auto"/>
            </w:tcBorders>
            <w:shd w:val="clear" w:color="auto" w:fill="auto"/>
            <w:vAlign w:val="center"/>
            <w:hideMark/>
          </w:tcPr>
          <w:p w:rsidR="00991DC7" w:rsidRPr="00991DC7" w:rsidRDefault="00991DC7" w:rsidP="00991DC7">
            <w:pPr>
              <w:spacing w:after="0" w:line="240" w:lineRule="auto"/>
              <w:jc w:val="right"/>
              <w:rPr>
                <w:rFonts w:ascii="Arial" w:eastAsia="Times New Roman" w:hAnsi="Arial" w:cs="Arial"/>
                <w:b/>
                <w:bCs/>
                <w:sz w:val="20"/>
                <w:szCs w:val="20"/>
              </w:rPr>
            </w:pPr>
            <w:r w:rsidRPr="00991DC7">
              <w:rPr>
                <w:rFonts w:ascii="Arial" w:eastAsia="Times New Roman" w:hAnsi="Arial" w:cs="Arial"/>
                <w:b/>
                <w:bCs/>
                <w:sz w:val="20"/>
                <w:szCs w:val="20"/>
              </w:rPr>
              <w:t xml:space="preserve">1,257,038 </w:t>
            </w:r>
          </w:p>
        </w:tc>
        <w:tc>
          <w:tcPr>
            <w:tcW w:w="1782" w:type="dxa"/>
            <w:tcBorders>
              <w:top w:val="nil"/>
              <w:left w:val="nil"/>
              <w:bottom w:val="nil"/>
              <w:right w:val="single" w:sz="4" w:space="0" w:color="auto"/>
            </w:tcBorders>
            <w:shd w:val="clear" w:color="auto" w:fill="auto"/>
            <w:vAlign w:val="center"/>
            <w:hideMark/>
          </w:tcPr>
          <w:p w:rsidR="00991DC7" w:rsidRPr="00991DC7" w:rsidRDefault="00991DC7" w:rsidP="00991DC7">
            <w:pPr>
              <w:spacing w:after="0" w:line="240" w:lineRule="auto"/>
              <w:jc w:val="right"/>
              <w:rPr>
                <w:rFonts w:ascii="Arial" w:eastAsia="Times New Roman" w:hAnsi="Arial" w:cs="Arial"/>
                <w:b/>
                <w:bCs/>
                <w:sz w:val="20"/>
                <w:szCs w:val="20"/>
              </w:rPr>
            </w:pPr>
            <w:r w:rsidRPr="00991DC7">
              <w:rPr>
                <w:rFonts w:ascii="Arial" w:eastAsia="Times New Roman" w:hAnsi="Arial" w:cs="Arial"/>
                <w:b/>
                <w:bCs/>
                <w:sz w:val="20"/>
                <w:szCs w:val="20"/>
              </w:rPr>
              <w:t xml:space="preserve">1,335 </w:t>
            </w:r>
          </w:p>
        </w:tc>
        <w:tc>
          <w:tcPr>
            <w:tcW w:w="1772" w:type="dxa"/>
            <w:tcBorders>
              <w:top w:val="nil"/>
              <w:left w:val="nil"/>
              <w:bottom w:val="nil"/>
              <w:right w:val="nil"/>
            </w:tcBorders>
            <w:shd w:val="clear" w:color="auto" w:fill="auto"/>
            <w:vAlign w:val="center"/>
            <w:hideMark/>
          </w:tcPr>
          <w:p w:rsidR="00991DC7" w:rsidRPr="00991DC7" w:rsidRDefault="00991DC7" w:rsidP="00991DC7">
            <w:pPr>
              <w:spacing w:after="0" w:line="240" w:lineRule="auto"/>
              <w:jc w:val="right"/>
              <w:rPr>
                <w:rFonts w:ascii="Arial" w:eastAsia="Times New Roman" w:hAnsi="Arial" w:cs="Arial"/>
                <w:b/>
                <w:bCs/>
                <w:sz w:val="20"/>
                <w:szCs w:val="20"/>
              </w:rPr>
            </w:pPr>
            <w:r w:rsidRPr="00991DC7">
              <w:rPr>
                <w:rFonts w:ascii="Arial" w:eastAsia="Times New Roman" w:hAnsi="Arial" w:cs="Arial"/>
                <w:b/>
                <w:bCs/>
                <w:sz w:val="20"/>
                <w:szCs w:val="20"/>
              </w:rPr>
              <w:t xml:space="preserve">211,611 </w:t>
            </w:r>
          </w:p>
        </w:tc>
      </w:tr>
      <w:tr w:rsidR="00991DC7" w:rsidRPr="00991DC7" w:rsidTr="00991DC7">
        <w:trPr>
          <w:trHeight w:val="353"/>
        </w:trPr>
        <w:tc>
          <w:tcPr>
            <w:tcW w:w="5756" w:type="dxa"/>
            <w:tcBorders>
              <w:top w:val="nil"/>
              <w:left w:val="nil"/>
              <w:bottom w:val="nil"/>
              <w:right w:val="nil"/>
            </w:tcBorders>
            <w:shd w:val="clear" w:color="auto" w:fill="auto"/>
            <w:vAlign w:val="bottom"/>
            <w:hideMark/>
          </w:tcPr>
          <w:p w:rsidR="00991DC7" w:rsidRPr="00991DC7" w:rsidRDefault="00991DC7" w:rsidP="00991DC7">
            <w:pPr>
              <w:spacing w:after="0" w:line="240" w:lineRule="auto"/>
              <w:ind w:firstLineChars="100" w:firstLine="160"/>
              <w:rPr>
                <w:rFonts w:ascii="Arial" w:eastAsia="Times New Roman" w:hAnsi="Arial" w:cs="Arial"/>
                <w:sz w:val="16"/>
                <w:szCs w:val="16"/>
              </w:rPr>
            </w:pPr>
            <w:r w:rsidRPr="00991DC7">
              <w:rPr>
                <w:rFonts w:ascii="Arial" w:eastAsia="Times New Roman" w:hAnsi="Arial" w:cs="Arial"/>
                <w:sz w:val="16"/>
                <w:szCs w:val="16"/>
              </w:rPr>
              <w:t>Art support</w:t>
            </w:r>
          </w:p>
        </w:tc>
        <w:tc>
          <w:tcPr>
            <w:tcW w:w="1870" w:type="dxa"/>
            <w:tcBorders>
              <w:top w:val="nil"/>
              <w:left w:val="single" w:sz="4" w:space="0" w:color="auto"/>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14,653</w:t>
            </w:r>
          </w:p>
        </w:tc>
        <w:tc>
          <w:tcPr>
            <w:tcW w:w="1823"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922,925</w:t>
            </w:r>
          </w:p>
        </w:tc>
        <w:tc>
          <w:tcPr>
            <w:tcW w:w="1782"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129</w:t>
            </w:r>
          </w:p>
        </w:tc>
        <w:tc>
          <w:tcPr>
            <w:tcW w:w="1772" w:type="dxa"/>
            <w:tcBorders>
              <w:top w:val="nil"/>
              <w:left w:val="nil"/>
              <w:bottom w:val="nil"/>
              <w:right w:val="nil"/>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82,061</w:t>
            </w:r>
          </w:p>
        </w:tc>
      </w:tr>
      <w:tr w:rsidR="00991DC7" w:rsidRPr="00991DC7" w:rsidTr="00991DC7">
        <w:trPr>
          <w:trHeight w:val="353"/>
        </w:trPr>
        <w:tc>
          <w:tcPr>
            <w:tcW w:w="5756" w:type="dxa"/>
            <w:tcBorders>
              <w:top w:val="nil"/>
              <w:left w:val="nil"/>
              <w:bottom w:val="nil"/>
              <w:right w:val="nil"/>
            </w:tcBorders>
            <w:shd w:val="clear" w:color="auto" w:fill="auto"/>
            <w:vAlign w:val="bottom"/>
            <w:hideMark/>
          </w:tcPr>
          <w:p w:rsidR="00991DC7" w:rsidRPr="00991DC7" w:rsidRDefault="00991DC7" w:rsidP="00991DC7">
            <w:pPr>
              <w:spacing w:after="0" w:line="240" w:lineRule="auto"/>
              <w:ind w:firstLineChars="100" w:firstLine="160"/>
              <w:rPr>
                <w:rFonts w:ascii="Arial" w:eastAsia="Times New Roman" w:hAnsi="Arial" w:cs="Arial"/>
                <w:sz w:val="16"/>
                <w:szCs w:val="16"/>
              </w:rPr>
            </w:pPr>
            <w:r w:rsidRPr="00991DC7">
              <w:rPr>
                <w:rFonts w:ascii="Arial" w:eastAsia="Times New Roman" w:hAnsi="Arial" w:cs="Arial"/>
                <w:sz w:val="16"/>
                <w:szCs w:val="16"/>
              </w:rPr>
              <w:t>Information</w:t>
            </w:r>
          </w:p>
        </w:tc>
        <w:tc>
          <w:tcPr>
            <w:tcW w:w="1870" w:type="dxa"/>
            <w:tcBorders>
              <w:top w:val="nil"/>
              <w:left w:val="single" w:sz="4" w:space="0" w:color="auto"/>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1,615</w:t>
            </w:r>
          </w:p>
        </w:tc>
        <w:tc>
          <w:tcPr>
            <w:tcW w:w="1823"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142,533</w:t>
            </w:r>
          </w:p>
        </w:tc>
        <w:tc>
          <w:tcPr>
            <w:tcW w:w="1782"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913</w:t>
            </w:r>
          </w:p>
        </w:tc>
        <w:tc>
          <w:tcPr>
            <w:tcW w:w="1772" w:type="dxa"/>
            <w:tcBorders>
              <w:top w:val="nil"/>
              <w:left w:val="nil"/>
              <w:bottom w:val="nil"/>
              <w:right w:val="nil"/>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92,869</w:t>
            </w:r>
          </w:p>
        </w:tc>
      </w:tr>
      <w:tr w:rsidR="00991DC7" w:rsidRPr="00991DC7" w:rsidTr="00991DC7">
        <w:trPr>
          <w:trHeight w:val="353"/>
        </w:trPr>
        <w:tc>
          <w:tcPr>
            <w:tcW w:w="5756" w:type="dxa"/>
            <w:tcBorders>
              <w:top w:val="nil"/>
              <w:left w:val="nil"/>
              <w:bottom w:val="nil"/>
              <w:right w:val="nil"/>
            </w:tcBorders>
            <w:shd w:val="clear" w:color="auto" w:fill="auto"/>
            <w:vAlign w:val="bottom"/>
            <w:hideMark/>
          </w:tcPr>
          <w:p w:rsidR="00991DC7" w:rsidRPr="00991DC7" w:rsidRDefault="00991DC7" w:rsidP="00991DC7">
            <w:pPr>
              <w:spacing w:after="0" w:line="240" w:lineRule="auto"/>
              <w:ind w:firstLineChars="100" w:firstLine="160"/>
              <w:rPr>
                <w:rFonts w:ascii="Arial" w:eastAsia="Times New Roman" w:hAnsi="Arial" w:cs="Arial"/>
                <w:sz w:val="16"/>
                <w:szCs w:val="16"/>
              </w:rPr>
            </w:pPr>
            <w:r w:rsidRPr="00991DC7">
              <w:rPr>
                <w:rFonts w:ascii="Arial" w:eastAsia="Times New Roman" w:hAnsi="Arial" w:cs="Arial"/>
                <w:sz w:val="16"/>
                <w:szCs w:val="16"/>
              </w:rPr>
              <w:t>Manufacturing</w:t>
            </w:r>
          </w:p>
        </w:tc>
        <w:tc>
          <w:tcPr>
            <w:tcW w:w="1870" w:type="dxa"/>
            <w:tcBorders>
              <w:top w:val="nil"/>
              <w:left w:val="single" w:sz="4" w:space="0" w:color="auto"/>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619</w:t>
            </w:r>
          </w:p>
        </w:tc>
        <w:tc>
          <w:tcPr>
            <w:tcW w:w="1823"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33,606</w:t>
            </w:r>
          </w:p>
        </w:tc>
        <w:tc>
          <w:tcPr>
            <w:tcW w:w="1782"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81</w:t>
            </w:r>
          </w:p>
        </w:tc>
        <w:tc>
          <w:tcPr>
            <w:tcW w:w="1772" w:type="dxa"/>
            <w:tcBorders>
              <w:top w:val="nil"/>
              <w:left w:val="nil"/>
              <w:bottom w:val="nil"/>
              <w:right w:val="nil"/>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9,446</w:t>
            </w:r>
          </w:p>
        </w:tc>
      </w:tr>
      <w:tr w:rsidR="00991DC7" w:rsidRPr="00991DC7" w:rsidTr="00991DC7">
        <w:trPr>
          <w:trHeight w:val="353"/>
        </w:trPr>
        <w:tc>
          <w:tcPr>
            <w:tcW w:w="5756" w:type="dxa"/>
            <w:tcBorders>
              <w:top w:val="nil"/>
              <w:left w:val="nil"/>
              <w:bottom w:val="nil"/>
              <w:right w:val="nil"/>
            </w:tcBorders>
            <w:shd w:val="clear" w:color="auto" w:fill="auto"/>
            <w:vAlign w:val="bottom"/>
            <w:hideMark/>
          </w:tcPr>
          <w:p w:rsidR="00991DC7" w:rsidRPr="00991DC7" w:rsidRDefault="00991DC7" w:rsidP="00991DC7">
            <w:pPr>
              <w:spacing w:after="0" w:line="240" w:lineRule="auto"/>
              <w:ind w:firstLineChars="100" w:firstLine="160"/>
              <w:rPr>
                <w:rFonts w:ascii="Arial" w:eastAsia="Times New Roman" w:hAnsi="Arial" w:cs="Arial"/>
                <w:sz w:val="16"/>
                <w:szCs w:val="16"/>
              </w:rPr>
            </w:pPr>
            <w:r w:rsidRPr="00991DC7">
              <w:rPr>
                <w:rFonts w:ascii="Arial" w:eastAsia="Times New Roman" w:hAnsi="Arial" w:cs="Arial"/>
                <w:sz w:val="16"/>
                <w:szCs w:val="16"/>
              </w:rPr>
              <w:t>Wholesale &amp; Retail Trade</w:t>
            </w:r>
          </w:p>
        </w:tc>
        <w:tc>
          <w:tcPr>
            <w:tcW w:w="1870" w:type="dxa"/>
            <w:tcBorders>
              <w:top w:val="nil"/>
              <w:left w:val="single" w:sz="4" w:space="0" w:color="auto"/>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1,727</w:t>
            </w:r>
          </w:p>
        </w:tc>
        <w:tc>
          <w:tcPr>
            <w:tcW w:w="1823"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115,944</w:t>
            </w:r>
          </w:p>
        </w:tc>
        <w:tc>
          <w:tcPr>
            <w:tcW w:w="1782"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187</w:t>
            </w:r>
          </w:p>
        </w:tc>
        <w:tc>
          <w:tcPr>
            <w:tcW w:w="1772" w:type="dxa"/>
            <w:tcBorders>
              <w:top w:val="nil"/>
              <w:left w:val="nil"/>
              <w:bottom w:val="nil"/>
              <w:right w:val="nil"/>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17,578</w:t>
            </w:r>
          </w:p>
        </w:tc>
      </w:tr>
      <w:tr w:rsidR="00991DC7" w:rsidRPr="00991DC7" w:rsidTr="00991DC7">
        <w:trPr>
          <w:trHeight w:val="353"/>
        </w:trPr>
        <w:tc>
          <w:tcPr>
            <w:tcW w:w="5756" w:type="dxa"/>
            <w:tcBorders>
              <w:top w:val="nil"/>
              <w:left w:val="nil"/>
              <w:bottom w:val="nil"/>
              <w:right w:val="nil"/>
            </w:tcBorders>
            <w:shd w:val="clear" w:color="auto" w:fill="auto"/>
            <w:vAlign w:val="bottom"/>
            <w:hideMark/>
          </w:tcPr>
          <w:p w:rsidR="00991DC7" w:rsidRPr="00991DC7" w:rsidRDefault="00991DC7" w:rsidP="00991DC7">
            <w:pPr>
              <w:spacing w:after="0" w:line="240" w:lineRule="auto"/>
              <w:ind w:firstLineChars="100" w:firstLine="160"/>
              <w:rPr>
                <w:rFonts w:ascii="Arial" w:eastAsia="Times New Roman" w:hAnsi="Arial" w:cs="Arial"/>
                <w:sz w:val="16"/>
                <w:szCs w:val="16"/>
              </w:rPr>
            </w:pPr>
            <w:r w:rsidRPr="00991DC7">
              <w:rPr>
                <w:rFonts w:ascii="Arial" w:eastAsia="Times New Roman" w:hAnsi="Arial" w:cs="Arial"/>
                <w:sz w:val="16"/>
                <w:szCs w:val="16"/>
              </w:rPr>
              <w:t>Construction</w:t>
            </w:r>
          </w:p>
        </w:tc>
        <w:tc>
          <w:tcPr>
            <w:tcW w:w="1870" w:type="dxa"/>
            <w:tcBorders>
              <w:top w:val="nil"/>
              <w:left w:val="single" w:sz="4" w:space="0" w:color="auto"/>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464</w:t>
            </w:r>
          </w:p>
        </w:tc>
        <w:tc>
          <w:tcPr>
            <w:tcW w:w="1823"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42,029</w:t>
            </w:r>
          </w:p>
        </w:tc>
        <w:tc>
          <w:tcPr>
            <w:tcW w:w="1782"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25</w:t>
            </w:r>
          </w:p>
        </w:tc>
        <w:tc>
          <w:tcPr>
            <w:tcW w:w="1772" w:type="dxa"/>
            <w:tcBorders>
              <w:top w:val="nil"/>
              <w:left w:val="nil"/>
              <w:bottom w:val="nil"/>
              <w:right w:val="nil"/>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sz w:val="16"/>
                <w:szCs w:val="16"/>
              </w:rPr>
            </w:pPr>
            <w:r w:rsidRPr="00991DC7">
              <w:rPr>
                <w:rFonts w:ascii="Arial" w:eastAsia="Times New Roman" w:hAnsi="Arial" w:cs="Arial"/>
                <w:sz w:val="16"/>
                <w:szCs w:val="16"/>
              </w:rPr>
              <w:t>9,656</w:t>
            </w:r>
          </w:p>
        </w:tc>
      </w:tr>
      <w:tr w:rsidR="00991DC7" w:rsidRPr="00991DC7" w:rsidTr="00991DC7">
        <w:trPr>
          <w:trHeight w:val="400"/>
        </w:trPr>
        <w:tc>
          <w:tcPr>
            <w:tcW w:w="5756" w:type="dxa"/>
            <w:tcBorders>
              <w:top w:val="nil"/>
              <w:left w:val="nil"/>
              <w:bottom w:val="nil"/>
              <w:right w:val="nil"/>
            </w:tcBorders>
            <w:shd w:val="clear" w:color="auto" w:fill="auto"/>
            <w:vAlign w:val="bottom"/>
            <w:hideMark/>
          </w:tcPr>
          <w:p w:rsidR="00991DC7" w:rsidRPr="00991DC7" w:rsidRDefault="00991DC7" w:rsidP="00991DC7">
            <w:pPr>
              <w:spacing w:after="0" w:line="240" w:lineRule="auto"/>
              <w:rPr>
                <w:rFonts w:ascii="Arial" w:eastAsia="Times New Roman" w:hAnsi="Arial" w:cs="Arial"/>
                <w:b/>
                <w:bCs/>
                <w:sz w:val="20"/>
                <w:szCs w:val="20"/>
              </w:rPr>
            </w:pPr>
            <w:r w:rsidRPr="00991DC7">
              <w:rPr>
                <w:rFonts w:ascii="Arial" w:eastAsia="Times New Roman" w:hAnsi="Arial" w:cs="Arial"/>
                <w:b/>
                <w:bCs/>
                <w:sz w:val="20"/>
                <w:szCs w:val="20"/>
              </w:rPr>
              <w:t>All other industries</w:t>
            </w:r>
          </w:p>
        </w:tc>
        <w:tc>
          <w:tcPr>
            <w:tcW w:w="1870" w:type="dxa"/>
            <w:tcBorders>
              <w:top w:val="nil"/>
              <w:left w:val="single" w:sz="4" w:space="0" w:color="auto"/>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b/>
                <w:bCs/>
                <w:sz w:val="20"/>
                <w:szCs w:val="20"/>
              </w:rPr>
            </w:pPr>
            <w:r w:rsidRPr="00991DC7">
              <w:rPr>
                <w:rFonts w:ascii="Arial" w:eastAsia="Times New Roman" w:hAnsi="Arial" w:cs="Arial"/>
                <w:b/>
                <w:bCs/>
                <w:sz w:val="20"/>
                <w:szCs w:val="20"/>
              </w:rPr>
              <w:t>114,944</w:t>
            </w:r>
          </w:p>
        </w:tc>
        <w:tc>
          <w:tcPr>
            <w:tcW w:w="1823"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b/>
                <w:bCs/>
                <w:sz w:val="20"/>
                <w:szCs w:val="20"/>
              </w:rPr>
            </w:pPr>
            <w:r w:rsidRPr="00991DC7">
              <w:rPr>
                <w:rFonts w:ascii="Arial" w:eastAsia="Times New Roman" w:hAnsi="Arial" w:cs="Arial"/>
                <w:b/>
                <w:bCs/>
                <w:sz w:val="20"/>
                <w:szCs w:val="20"/>
              </w:rPr>
              <w:t>6,745,866</w:t>
            </w:r>
          </w:p>
        </w:tc>
        <w:tc>
          <w:tcPr>
            <w:tcW w:w="1782" w:type="dxa"/>
            <w:tcBorders>
              <w:top w:val="nil"/>
              <w:left w:val="nil"/>
              <w:bottom w:val="nil"/>
              <w:right w:val="single" w:sz="4" w:space="0" w:color="auto"/>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b/>
                <w:bCs/>
                <w:sz w:val="20"/>
                <w:szCs w:val="20"/>
              </w:rPr>
            </w:pPr>
            <w:r w:rsidRPr="00991DC7">
              <w:rPr>
                <w:rFonts w:ascii="Arial" w:eastAsia="Times New Roman" w:hAnsi="Arial" w:cs="Arial"/>
                <w:b/>
                <w:bCs/>
                <w:sz w:val="20"/>
                <w:szCs w:val="20"/>
              </w:rPr>
              <w:t>1</w:t>
            </w:r>
          </w:p>
        </w:tc>
        <w:tc>
          <w:tcPr>
            <w:tcW w:w="1772" w:type="dxa"/>
            <w:tcBorders>
              <w:top w:val="nil"/>
              <w:left w:val="nil"/>
              <w:bottom w:val="nil"/>
              <w:right w:val="nil"/>
            </w:tcBorders>
            <w:shd w:val="clear" w:color="auto" w:fill="auto"/>
            <w:vAlign w:val="bottom"/>
            <w:hideMark/>
          </w:tcPr>
          <w:p w:rsidR="00991DC7" w:rsidRPr="00991DC7" w:rsidRDefault="00991DC7" w:rsidP="00991DC7">
            <w:pPr>
              <w:spacing w:after="0" w:line="240" w:lineRule="auto"/>
              <w:jc w:val="right"/>
              <w:rPr>
                <w:rFonts w:ascii="Arial" w:eastAsia="Times New Roman" w:hAnsi="Arial" w:cs="Arial"/>
                <w:b/>
                <w:bCs/>
                <w:sz w:val="20"/>
                <w:szCs w:val="20"/>
              </w:rPr>
            </w:pPr>
            <w:r w:rsidRPr="00991DC7">
              <w:rPr>
                <w:rFonts w:ascii="Arial" w:eastAsia="Times New Roman" w:hAnsi="Arial" w:cs="Arial"/>
                <w:b/>
                <w:bCs/>
                <w:sz w:val="20"/>
                <w:szCs w:val="20"/>
              </w:rPr>
              <w:t>12,313</w:t>
            </w:r>
          </w:p>
        </w:tc>
      </w:tr>
      <w:tr w:rsidR="00991DC7" w:rsidRPr="00991DC7" w:rsidTr="00991DC7">
        <w:trPr>
          <w:trHeight w:val="400"/>
        </w:trPr>
        <w:tc>
          <w:tcPr>
            <w:tcW w:w="5756" w:type="dxa"/>
            <w:tcBorders>
              <w:top w:val="nil"/>
              <w:left w:val="nil"/>
              <w:bottom w:val="single" w:sz="4" w:space="0" w:color="auto"/>
              <w:right w:val="single" w:sz="4" w:space="0" w:color="auto"/>
            </w:tcBorders>
            <w:shd w:val="clear" w:color="auto" w:fill="auto"/>
            <w:vAlign w:val="bottom"/>
            <w:hideMark/>
          </w:tcPr>
          <w:p w:rsidR="00991DC7" w:rsidRPr="00991DC7" w:rsidRDefault="00991DC7" w:rsidP="00991DC7">
            <w:pPr>
              <w:spacing w:after="0" w:line="240" w:lineRule="auto"/>
              <w:rPr>
                <w:rFonts w:ascii="Arial" w:eastAsia="Times New Roman" w:hAnsi="Arial" w:cs="Arial"/>
                <w:b/>
                <w:bCs/>
                <w:sz w:val="20"/>
                <w:szCs w:val="20"/>
              </w:rPr>
            </w:pPr>
            <w:r w:rsidRPr="00991DC7">
              <w:rPr>
                <w:rFonts w:ascii="Arial" w:eastAsia="Times New Roman" w:hAnsi="Arial" w:cs="Arial"/>
                <w:b/>
                <w:bCs/>
                <w:sz w:val="20"/>
                <w:szCs w:val="20"/>
              </w:rPr>
              <w:t>Total</w:t>
            </w:r>
          </w:p>
        </w:tc>
        <w:tc>
          <w:tcPr>
            <w:tcW w:w="1870" w:type="dxa"/>
            <w:tcBorders>
              <w:top w:val="nil"/>
              <w:left w:val="nil"/>
              <w:bottom w:val="single" w:sz="4" w:space="0" w:color="auto"/>
              <w:right w:val="single" w:sz="4" w:space="0" w:color="auto"/>
            </w:tcBorders>
            <w:shd w:val="clear" w:color="auto" w:fill="auto"/>
            <w:noWrap/>
            <w:vAlign w:val="bottom"/>
            <w:hideMark/>
          </w:tcPr>
          <w:p w:rsidR="00991DC7" w:rsidRPr="00991DC7" w:rsidRDefault="00991DC7" w:rsidP="00991DC7">
            <w:pPr>
              <w:spacing w:after="0" w:line="240" w:lineRule="auto"/>
              <w:jc w:val="right"/>
              <w:rPr>
                <w:rFonts w:ascii="Arial" w:eastAsia="Times New Roman" w:hAnsi="Arial" w:cs="Arial"/>
                <w:b/>
                <w:bCs/>
                <w:sz w:val="20"/>
                <w:szCs w:val="20"/>
              </w:rPr>
            </w:pPr>
            <w:r w:rsidRPr="00991DC7">
              <w:rPr>
                <w:rFonts w:ascii="Arial" w:eastAsia="Times New Roman" w:hAnsi="Arial" w:cs="Arial"/>
                <w:b/>
                <w:bCs/>
                <w:sz w:val="20"/>
                <w:szCs w:val="20"/>
              </w:rPr>
              <w:t>138,002</w:t>
            </w:r>
          </w:p>
        </w:tc>
        <w:tc>
          <w:tcPr>
            <w:tcW w:w="1823" w:type="dxa"/>
            <w:tcBorders>
              <w:top w:val="nil"/>
              <w:left w:val="nil"/>
              <w:bottom w:val="single" w:sz="4" w:space="0" w:color="auto"/>
              <w:right w:val="single" w:sz="4" w:space="0" w:color="auto"/>
            </w:tcBorders>
            <w:shd w:val="clear" w:color="auto" w:fill="auto"/>
            <w:noWrap/>
            <w:vAlign w:val="bottom"/>
            <w:hideMark/>
          </w:tcPr>
          <w:p w:rsidR="00991DC7" w:rsidRPr="00991DC7" w:rsidRDefault="00991DC7" w:rsidP="00991DC7">
            <w:pPr>
              <w:spacing w:after="0" w:line="240" w:lineRule="auto"/>
              <w:jc w:val="right"/>
              <w:rPr>
                <w:rFonts w:ascii="Arial" w:eastAsia="Times New Roman" w:hAnsi="Arial" w:cs="Arial"/>
                <w:b/>
                <w:bCs/>
                <w:sz w:val="20"/>
                <w:szCs w:val="20"/>
              </w:rPr>
            </w:pPr>
            <w:r w:rsidRPr="00991DC7">
              <w:rPr>
                <w:rFonts w:ascii="Arial" w:eastAsia="Times New Roman" w:hAnsi="Arial" w:cs="Arial"/>
                <w:b/>
                <w:bCs/>
                <w:sz w:val="20"/>
                <w:szCs w:val="20"/>
              </w:rPr>
              <w:t>8,303,245</w:t>
            </w:r>
          </w:p>
        </w:tc>
        <w:tc>
          <w:tcPr>
            <w:tcW w:w="1782" w:type="dxa"/>
            <w:tcBorders>
              <w:top w:val="nil"/>
              <w:left w:val="nil"/>
              <w:bottom w:val="single" w:sz="4" w:space="0" w:color="auto"/>
              <w:right w:val="single" w:sz="4" w:space="0" w:color="auto"/>
            </w:tcBorders>
            <w:shd w:val="clear" w:color="auto" w:fill="auto"/>
            <w:noWrap/>
            <w:vAlign w:val="bottom"/>
            <w:hideMark/>
          </w:tcPr>
          <w:p w:rsidR="00991DC7" w:rsidRPr="00991DC7" w:rsidRDefault="00991DC7" w:rsidP="00991DC7">
            <w:pPr>
              <w:spacing w:after="0" w:line="240" w:lineRule="auto"/>
              <w:jc w:val="right"/>
              <w:rPr>
                <w:rFonts w:ascii="Arial" w:eastAsia="Times New Roman" w:hAnsi="Arial" w:cs="Arial"/>
                <w:b/>
                <w:bCs/>
                <w:sz w:val="20"/>
                <w:szCs w:val="20"/>
              </w:rPr>
            </w:pPr>
            <w:r w:rsidRPr="00991DC7">
              <w:rPr>
                <w:rFonts w:ascii="Arial" w:eastAsia="Times New Roman" w:hAnsi="Arial" w:cs="Arial"/>
                <w:b/>
                <w:bCs/>
                <w:sz w:val="20"/>
                <w:szCs w:val="20"/>
              </w:rPr>
              <w:t>1,957</w:t>
            </w:r>
          </w:p>
        </w:tc>
        <w:tc>
          <w:tcPr>
            <w:tcW w:w="1772" w:type="dxa"/>
            <w:tcBorders>
              <w:top w:val="nil"/>
              <w:left w:val="nil"/>
              <w:bottom w:val="single" w:sz="4" w:space="0" w:color="auto"/>
              <w:right w:val="nil"/>
            </w:tcBorders>
            <w:shd w:val="clear" w:color="auto" w:fill="auto"/>
            <w:noWrap/>
            <w:vAlign w:val="bottom"/>
            <w:hideMark/>
          </w:tcPr>
          <w:p w:rsidR="00991DC7" w:rsidRPr="00991DC7" w:rsidRDefault="00991DC7" w:rsidP="00991DC7">
            <w:pPr>
              <w:spacing w:after="0" w:line="240" w:lineRule="auto"/>
              <w:jc w:val="right"/>
              <w:rPr>
                <w:rFonts w:ascii="Arial" w:eastAsia="Times New Roman" w:hAnsi="Arial" w:cs="Arial"/>
                <w:b/>
                <w:bCs/>
                <w:sz w:val="20"/>
                <w:szCs w:val="20"/>
              </w:rPr>
            </w:pPr>
            <w:r w:rsidRPr="00991DC7">
              <w:rPr>
                <w:rFonts w:ascii="Arial" w:eastAsia="Times New Roman" w:hAnsi="Arial" w:cs="Arial"/>
                <w:b/>
                <w:bCs/>
                <w:sz w:val="20"/>
                <w:szCs w:val="20"/>
              </w:rPr>
              <w:t>289,500</w:t>
            </w:r>
          </w:p>
        </w:tc>
      </w:tr>
    </w:tbl>
    <w:p w:rsidR="00EE12E3" w:rsidRDefault="008F02EC">
      <w:r>
        <w:br w:type="page"/>
      </w:r>
    </w:p>
    <w:tbl>
      <w:tblPr>
        <w:tblW w:w="9544" w:type="dxa"/>
        <w:tblInd w:w="93" w:type="dxa"/>
        <w:tblLook w:val="04A0" w:firstRow="1" w:lastRow="0" w:firstColumn="1" w:lastColumn="0" w:noHBand="0" w:noVBand="1"/>
      </w:tblPr>
      <w:tblGrid>
        <w:gridCol w:w="2088"/>
        <w:gridCol w:w="1347"/>
        <w:gridCol w:w="1210"/>
        <w:gridCol w:w="254"/>
        <w:gridCol w:w="2088"/>
        <w:gridCol w:w="1347"/>
        <w:gridCol w:w="1210"/>
      </w:tblGrid>
      <w:tr w:rsidR="00392518" w:rsidRPr="00392518" w:rsidTr="000C3CBF">
        <w:trPr>
          <w:trHeight w:val="262"/>
        </w:trPr>
        <w:tc>
          <w:tcPr>
            <w:tcW w:w="9544" w:type="dxa"/>
            <w:gridSpan w:val="7"/>
            <w:tcBorders>
              <w:top w:val="nil"/>
              <w:left w:val="nil"/>
              <w:bottom w:val="nil"/>
              <w:right w:val="nil"/>
            </w:tcBorders>
            <w:shd w:val="clear" w:color="auto" w:fill="auto"/>
            <w:noWrap/>
            <w:vAlign w:val="bottom"/>
            <w:hideMark/>
          </w:tcPr>
          <w:p w:rsidR="00502B22" w:rsidRDefault="00392518" w:rsidP="0041524D">
            <w:pPr>
              <w:spacing w:after="0" w:line="240" w:lineRule="auto"/>
              <w:jc w:val="center"/>
              <w:rPr>
                <w:rFonts w:ascii="Calibri" w:eastAsia="Times New Roman" w:hAnsi="Calibri" w:cs="Times New Roman"/>
                <w:b/>
                <w:bCs/>
                <w:i/>
                <w:iCs/>
                <w:color w:val="000000"/>
              </w:rPr>
            </w:pPr>
            <w:r w:rsidRPr="00392518">
              <w:rPr>
                <w:rFonts w:ascii="Calibri" w:eastAsia="Times New Roman" w:hAnsi="Calibri" w:cs="Times New Roman"/>
                <w:b/>
                <w:bCs/>
                <w:color w:val="000000"/>
              </w:rPr>
              <w:lastRenderedPageBreak/>
              <w:t xml:space="preserve">Table </w:t>
            </w:r>
            <w:r w:rsidR="0041524D">
              <w:rPr>
                <w:rFonts w:ascii="Calibri" w:eastAsia="Times New Roman" w:hAnsi="Calibri" w:cs="Times New Roman"/>
                <w:b/>
                <w:bCs/>
                <w:color w:val="000000"/>
              </w:rPr>
              <w:t>D</w:t>
            </w:r>
            <w:r w:rsidRPr="00392518">
              <w:rPr>
                <w:rFonts w:ascii="Calibri" w:eastAsia="Times New Roman" w:hAnsi="Calibri" w:cs="Times New Roman"/>
                <w:b/>
                <w:bCs/>
                <w:color w:val="000000"/>
              </w:rPr>
              <w:t>.   Countries with Published Statistics on Arts and Cultural Production</w:t>
            </w:r>
          </w:p>
        </w:tc>
      </w:tr>
      <w:tr w:rsidR="00392518" w:rsidRPr="00392518" w:rsidTr="000C3CBF">
        <w:trPr>
          <w:trHeight w:val="262"/>
        </w:trPr>
        <w:tc>
          <w:tcPr>
            <w:tcW w:w="2088" w:type="dxa"/>
            <w:tcBorders>
              <w:top w:val="nil"/>
              <w:left w:val="nil"/>
              <w:bottom w:val="nil"/>
              <w:right w:val="nil"/>
            </w:tcBorders>
            <w:shd w:val="clear" w:color="auto" w:fill="auto"/>
            <w:noWrap/>
            <w:vAlign w:val="bottom"/>
            <w:hideMark/>
          </w:tcPr>
          <w:p w:rsidR="00392518" w:rsidRPr="00392518" w:rsidRDefault="00392518" w:rsidP="00392518">
            <w:pPr>
              <w:spacing w:after="0" w:line="240" w:lineRule="auto"/>
              <w:rPr>
                <w:rFonts w:ascii="Calibri" w:eastAsia="Times New Roman" w:hAnsi="Calibri" w:cs="Times New Roman"/>
                <w:color w:val="000000"/>
              </w:rPr>
            </w:pPr>
          </w:p>
        </w:tc>
        <w:tc>
          <w:tcPr>
            <w:tcW w:w="1347" w:type="dxa"/>
            <w:tcBorders>
              <w:top w:val="nil"/>
              <w:left w:val="nil"/>
              <w:bottom w:val="nil"/>
              <w:right w:val="nil"/>
            </w:tcBorders>
            <w:shd w:val="clear" w:color="auto" w:fill="auto"/>
            <w:noWrap/>
            <w:vAlign w:val="bottom"/>
            <w:hideMark/>
          </w:tcPr>
          <w:p w:rsidR="00392518" w:rsidRPr="00392518" w:rsidRDefault="00392518" w:rsidP="00392518">
            <w:pPr>
              <w:spacing w:after="0" w:line="240" w:lineRule="auto"/>
              <w:jc w:val="right"/>
              <w:rPr>
                <w:rFonts w:ascii="Calibri" w:eastAsia="Times New Roman" w:hAnsi="Calibri" w:cs="Times New Roman"/>
                <w:color w:val="000000"/>
              </w:rPr>
            </w:pPr>
          </w:p>
        </w:tc>
        <w:tc>
          <w:tcPr>
            <w:tcW w:w="1210" w:type="dxa"/>
            <w:tcBorders>
              <w:top w:val="nil"/>
              <w:left w:val="nil"/>
              <w:bottom w:val="nil"/>
              <w:right w:val="nil"/>
            </w:tcBorders>
            <w:shd w:val="clear" w:color="auto" w:fill="auto"/>
            <w:noWrap/>
            <w:vAlign w:val="bottom"/>
            <w:hideMark/>
          </w:tcPr>
          <w:p w:rsidR="00392518" w:rsidRPr="00392518" w:rsidRDefault="00392518" w:rsidP="00392518">
            <w:pPr>
              <w:spacing w:after="0" w:line="240" w:lineRule="auto"/>
              <w:rPr>
                <w:rFonts w:ascii="Calibri" w:eastAsia="Times New Roman" w:hAnsi="Calibri" w:cs="Times New Roman"/>
                <w:color w:val="000000"/>
              </w:rPr>
            </w:pPr>
          </w:p>
        </w:tc>
        <w:tc>
          <w:tcPr>
            <w:tcW w:w="254" w:type="dxa"/>
            <w:tcBorders>
              <w:top w:val="nil"/>
              <w:left w:val="nil"/>
              <w:bottom w:val="nil"/>
              <w:right w:val="nil"/>
            </w:tcBorders>
            <w:shd w:val="clear" w:color="auto" w:fill="auto"/>
            <w:noWrap/>
            <w:vAlign w:val="bottom"/>
            <w:hideMark/>
          </w:tcPr>
          <w:p w:rsidR="00392518" w:rsidRPr="00392518" w:rsidRDefault="00392518" w:rsidP="00392518">
            <w:pPr>
              <w:spacing w:after="0" w:line="240" w:lineRule="auto"/>
              <w:rPr>
                <w:rFonts w:ascii="Calibri" w:eastAsia="Times New Roman" w:hAnsi="Calibri" w:cs="Times New Roman"/>
                <w:color w:val="000000"/>
              </w:rPr>
            </w:pPr>
          </w:p>
        </w:tc>
        <w:tc>
          <w:tcPr>
            <w:tcW w:w="2088" w:type="dxa"/>
            <w:tcBorders>
              <w:top w:val="nil"/>
              <w:left w:val="nil"/>
              <w:bottom w:val="nil"/>
              <w:right w:val="nil"/>
            </w:tcBorders>
            <w:shd w:val="clear" w:color="auto" w:fill="auto"/>
            <w:noWrap/>
            <w:vAlign w:val="bottom"/>
            <w:hideMark/>
          </w:tcPr>
          <w:p w:rsidR="00392518" w:rsidRPr="00392518" w:rsidRDefault="00392518" w:rsidP="00392518">
            <w:pPr>
              <w:spacing w:after="0" w:line="240" w:lineRule="auto"/>
              <w:rPr>
                <w:rFonts w:ascii="Calibri" w:eastAsia="Times New Roman" w:hAnsi="Calibri" w:cs="Times New Roman"/>
                <w:color w:val="000000"/>
              </w:rPr>
            </w:pPr>
          </w:p>
        </w:tc>
        <w:tc>
          <w:tcPr>
            <w:tcW w:w="1347" w:type="dxa"/>
            <w:tcBorders>
              <w:top w:val="nil"/>
              <w:left w:val="nil"/>
              <w:bottom w:val="nil"/>
              <w:right w:val="nil"/>
            </w:tcBorders>
            <w:shd w:val="clear" w:color="auto" w:fill="auto"/>
            <w:noWrap/>
            <w:vAlign w:val="bottom"/>
            <w:hideMark/>
          </w:tcPr>
          <w:p w:rsidR="00392518" w:rsidRPr="00392518" w:rsidRDefault="00392518" w:rsidP="00392518">
            <w:pPr>
              <w:spacing w:after="0" w:line="240" w:lineRule="auto"/>
              <w:rPr>
                <w:rFonts w:ascii="Calibri" w:eastAsia="Times New Roman" w:hAnsi="Calibri" w:cs="Times New Roman"/>
                <w:color w:val="000000"/>
              </w:rPr>
            </w:pPr>
          </w:p>
        </w:tc>
        <w:tc>
          <w:tcPr>
            <w:tcW w:w="1210" w:type="dxa"/>
            <w:tcBorders>
              <w:top w:val="nil"/>
              <w:left w:val="nil"/>
              <w:bottom w:val="nil"/>
              <w:right w:val="nil"/>
            </w:tcBorders>
            <w:shd w:val="clear" w:color="auto" w:fill="auto"/>
            <w:noWrap/>
            <w:vAlign w:val="bottom"/>
            <w:hideMark/>
          </w:tcPr>
          <w:p w:rsidR="00392518" w:rsidRPr="00392518" w:rsidRDefault="00392518" w:rsidP="00392518">
            <w:pPr>
              <w:spacing w:after="0" w:line="240" w:lineRule="auto"/>
              <w:rPr>
                <w:rFonts w:ascii="Calibri" w:eastAsia="Times New Roman" w:hAnsi="Calibri" w:cs="Times New Roman"/>
                <w:color w:val="000000"/>
              </w:rPr>
            </w:pPr>
          </w:p>
        </w:tc>
      </w:tr>
      <w:tr w:rsidR="00392518" w:rsidRPr="00392518" w:rsidTr="000C3CBF">
        <w:trPr>
          <w:trHeight w:val="547"/>
        </w:trPr>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2518" w:rsidRPr="00392518" w:rsidRDefault="00392518" w:rsidP="00392518">
            <w:pPr>
              <w:spacing w:after="0" w:line="240" w:lineRule="auto"/>
              <w:jc w:val="center"/>
              <w:rPr>
                <w:rFonts w:ascii="Calibri" w:eastAsia="Times New Roman" w:hAnsi="Calibri" w:cs="Times New Roman"/>
                <w:b/>
                <w:bCs/>
                <w:color w:val="000000"/>
              </w:rPr>
            </w:pPr>
            <w:r w:rsidRPr="00392518">
              <w:rPr>
                <w:rFonts w:ascii="Calibri" w:eastAsia="Times New Roman" w:hAnsi="Calibri" w:cs="Times New Roman"/>
                <w:b/>
                <w:bCs/>
                <w:color w:val="000000"/>
              </w:rPr>
              <w:t>Country</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rsidR="00392518" w:rsidRPr="00392518" w:rsidRDefault="00392518" w:rsidP="00392518">
            <w:pPr>
              <w:spacing w:after="0" w:line="240" w:lineRule="auto"/>
              <w:jc w:val="center"/>
              <w:rPr>
                <w:rFonts w:ascii="Calibri" w:eastAsia="Times New Roman" w:hAnsi="Calibri" w:cs="Times New Roman"/>
                <w:b/>
                <w:bCs/>
                <w:color w:val="000000"/>
              </w:rPr>
            </w:pPr>
            <w:r w:rsidRPr="00392518">
              <w:rPr>
                <w:rFonts w:ascii="Calibri" w:eastAsia="Times New Roman" w:hAnsi="Calibri" w:cs="Times New Roman"/>
                <w:b/>
                <w:bCs/>
                <w:color w:val="000000"/>
              </w:rPr>
              <w:t xml:space="preserve">Years </w:t>
            </w:r>
          </w:p>
        </w:tc>
        <w:tc>
          <w:tcPr>
            <w:tcW w:w="1210" w:type="dxa"/>
            <w:tcBorders>
              <w:top w:val="single" w:sz="4" w:space="0" w:color="auto"/>
              <w:left w:val="nil"/>
              <w:bottom w:val="single" w:sz="4" w:space="0" w:color="auto"/>
              <w:right w:val="single" w:sz="4" w:space="0" w:color="auto"/>
            </w:tcBorders>
            <w:shd w:val="clear" w:color="auto" w:fill="auto"/>
            <w:vAlign w:val="bottom"/>
            <w:hideMark/>
          </w:tcPr>
          <w:p w:rsidR="00392518" w:rsidRPr="00392518" w:rsidRDefault="00392518" w:rsidP="00392518">
            <w:pPr>
              <w:spacing w:after="0" w:line="240" w:lineRule="auto"/>
              <w:jc w:val="center"/>
              <w:rPr>
                <w:rFonts w:ascii="Calibri" w:eastAsia="Times New Roman" w:hAnsi="Calibri" w:cs="Times New Roman"/>
                <w:b/>
                <w:bCs/>
                <w:color w:val="000000"/>
              </w:rPr>
            </w:pPr>
            <w:r w:rsidRPr="00392518">
              <w:rPr>
                <w:rFonts w:ascii="Calibri" w:eastAsia="Times New Roman" w:hAnsi="Calibri" w:cs="Times New Roman"/>
                <w:b/>
                <w:bCs/>
                <w:color w:val="000000"/>
              </w:rPr>
              <w:t>ACP Share of GDP</w:t>
            </w:r>
          </w:p>
        </w:tc>
        <w:tc>
          <w:tcPr>
            <w:tcW w:w="254" w:type="dxa"/>
            <w:tcBorders>
              <w:top w:val="nil"/>
              <w:left w:val="nil"/>
              <w:bottom w:val="nil"/>
              <w:right w:val="nil"/>
            </w:tcBorders>
            <w:shd w:val="clear" w:color="auto" w:fill="auto"/>
            <w:vAlign w:val="bottom"/>
            <w:hideMark/>
          </w:tcPr>
          <w:p w:rsidR="00392518" w:rsidRPr="00392518" w:rsidRDefault="00392518" w:rsidP="00392518">
            <w:pPr>
              <w:spacing w:after="0" w:line="240" w:lineRule="auto"/>
              <w:jc w:val="center"/>
              <w:rPr>
                <w:rFonts w:ascii="Calibri" w:eastAsia="Times New Roman" w:hAnsi="Calibri" w:cs="Times New Roman"/>
                <w:b/>
                <w:bCs/>
                <w:color w:val="000000"/>
              </w:rPr>
            </w:pP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2518" w:rsidRPr="00392518" w:rsidRDefault="00392518" w:rsidP="00392518">
            <w:pPr>
              <w:spacing w:after="0" w:line="240" w:lineRule="auto"/>
              <w:jc w:val="center"/>
              <w:rPr>
                <w:rFonts w:ascii="Calibri" w:eastAsia="Times New Roman" w:hAnsi="Calibri" w:cs="Times New Roman"/>
                <w:b/>
                <w:bCs/>
                <w:color w:val="000000"/>
              </w:rPr>
            </w:pPr>
            <w:r w:rsidRPr="00392518">
              <w:rPr>
                <w:rFonts w:ascii="Calibri" w:eastAsia="Times New Roman" w:hAnsi="Calibri" w:cs="Times New Roman"/>
                <w:b/>
                <w:bCs/>
                <w:color w:val="000000"/>
              </w:rPr>
              <w:t>Country</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rsidR="00392518" w:rsidRPr="00392518" w:rsidRDefault="00392518" w:rsidP="00392518">
            <w:pPr>
              <w:spacing w:after="0" w:line="240" w:lineRule="auto"/>
              <w:jc w:val="center"/>
              <w:rPr>
                <w:rFonts w:ascii="Calibri" w:eastAsia="Times New Roman" w:hAnsi="Calibri" w:cs="Times New Roman"/>
                <w:b/>
                <w:bCs/>
                <w:color w:val="000000"/>
              </w:rPr>
            </w:pPr>
            <w:r w:rsidRPr="00392518">
              <w:rPr>
                <w:rFonts w:ascii="Calibri" w:eastAsia="Times New Roman" w:hAnsi="Calibri" w:cs="Times New Roman"/>
                <w:b/>
                <w:bCs/>
                <w:color w:val="000000"/>
              </w:rPr>
              <w:t xml:space="preserve">Years </w:t>
            </w:r>
          </w:p>
        </w:tc>
        <w:tc>
          <w:tcPr>
            <w:tcW w:w="1210" w:type="dxa"/>
            <w:tcBorders>
              <w:top w:val="single" w:sz="4" w:space="0" w:color="auto"/>
              <w:left w:val="nil"/>
              <w:bottom w:val="single" w:sz="4" w:space="0" w:color="auto"/>
              <w:right w:val="single" w:sz="4" w:space="0" w:color="auto"/>
            </w:tcBorders>
            <w:shd w:val="clear" w:color="auto" w:fill="auto"/>
            <w:vAlign w:val="bottom"/>
            <w:hideMark/>
          </w:tcPr>
          <w:p w:rsidR="00392518" w:rsidRPr="00392518" w:rsidRDefault="00392518" w:rsidP="00392518">
            <w:pPr>
              <w:spacing w:after="0" w:line="240" w:lineRule="auto"/>
              <w:jc w:val="center"/>
              <w:rPr>
                <w:rFonts w:ascii="Calibri" w:eastAsia="Times New Roman" w:hAnsi="Calibri" w:cs="Times New Roman"/>
                <w:b/>
                <w:bCs/>
                <w:color w:val="000000"/>
              </w:rPr>
            </w:pPr>
            <w:r w:rsidRPr="00392518">
              <w:rPr>
                <w:rFonts w:ascii="Calibri" w:eastAsia="Times New Roman" w:hAnsi="Calibri" w:cs="Times New Roman"/>
                <w:b/>
                <w:bCs/>
                <w:color w:val="000000"/>
              </w:rPr>
              <w:t>ACP Share of GDP</w:t>
            </w:r>
          </w:p>
        </w:tc>
      </w:tr>
      <w:tr w:rsidR="00392518" w:rsidRPr="00392518" w:rsidTr="000C3CBF">
        <w:trPr>
          <w:trHeight w:val="284"/>
        </w:trPr>
        <w:tc>
          <w:tcPr>
            <w:tcW w:w="2088" w:type="dxa"/>
            <w:tcBorders>
              <w:top w:val="nil"/>
              <w:left w:val="single" w:sz="4" w:space="0" w:color="auto"/>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Albania</w:t>
            </w:r>
          </w:p>
        </w:tc>
        <w:tc>
          <w:tcPr>
            <w:tcW w:w="1347"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2007</w:t>
            </w:r>
          </w:p>
        </w:tc>
        <w:tc>
          <w:tcPr>
            <w:tcW w:w="1210"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 </w:t>
            </w:r>
          </w:p>
        </w:tc>
        <w:tc>
          <w:tcPr>
            <w:tcW w:w="254" w:type="dxa"/>
            <w:tcBorders>
              <w:top w:val="nil"/>
              <w:left w:val="nil"/>
              <w:bottom w:val="nil"/>
              <w:right w:val="nil"/>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p>
        </w:tc>
        <w:tc>
          <w:tcPr>
            <w:tcW w:w="2088" w:type="dxa"/>
            <w:tcBorders>
              <w:top w:val="nil"/>
              <w:left w:val="single" w:sz="4" w:space="0" w:color="auto"/>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Japan</w:t>
            </w:r>
          </w:p>
        </w:tc>
        <w:tc>
          <w:tcPr>
            <w:tcW w:w="1347"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2001-2008</w:t>
            </w:r>
          </w:p>
        </w:tc>
        <w:tc>
          <w:tcPr>
            <w:tcW w:w="1210"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 </w:t>
            </w:r>
          </w:p>
        </w:tc>
      </w:tr>
      <w:tr w:rsidR="00392518" w:rsidRPr="00392518" w:rsidTr="000C3CBF">
        <w:trPr>
          <w:trHeight w:val="284"/>
        </w:trPr>
        <w:tc>
          <w:tcPr>
            <w:tcW w:w="2088" w:type="dxa"/>
            <w:tcBorders>
              <w:top w:val="nil"/>
              <w:left w:val="single" w:sz="4" w:space="0" w:color="auto"/>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Argentina</w:t>
            </w:r>
          </w:p>
        </w:tc>
        <w:tc>
          <w:tcPr>
            <w:tcW w:w="1347"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2003</w:t>
            </w:r>
          </w:p>
        </w:tc>
        <w:tc>
          <w:tcPr>
            <w:tcW w:w="1210"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2.60%</w:t>
            </w:r>
          </w:p>
        </w:tc>
        <w:tc>
          <w:tcPr>
            <w:tcW w:w="254" w:type="dxa"/>
            <w:tcBorders>
              <w:top w:val="nil"/>
              <w:left w:val="nil"/>
              <w:bottom w:val="nil"/>
              <w:right w:val="nil"/>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p>
        </w:tc>
        <w:tc>
          <w:tcPr>
            <w:tcW w:w="2088" w:type="dxa"/>
            <w:tcBorders>
              <w:top w:val="nil"/>
              <w:left w:val="single" w:sz="4" w:space="0" w:color="auto"/>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Latvia</w:t>
            </w:r>
          </w:p>
        </w:tc>
        <w:tc>
          <w:tcPr>
            <w:tcW w:w="1347"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200-2011</w:t>
            </w:r>
          </w:p>
        </w:tc>
        <w:tc>
          <w:tcPr>
            <w:tcW w:w="1210"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 </w:t>
            </w:r>
          </w:p>
        </w:tc>
      </w:tr>
      <w:tr w:rsidR="00392518" w:rsidRPr="00392518" w:rsidTr="000C3CBF">
        <w:trPr>
          <w:trHeight w:val="284"/>
        </w:trPr>
        <w:tc>
          <w:tcPr>
            <w:tcW w:w="2088" w:type="dxa"/>
            <w:tcBorders>
              <w:top w:val="nil"/>
              <w:left w:val="single" w:sz="4" w:space="0" w:color="auto"/>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Austria</w:t>
            </w:r>
          </w:p>
        </w:tc>
        <w:tc>
          <w:tcPr>
            <w:tcW w:w="1347"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2003-2010</w:t>
            </w:r>
          </w:p>
        </w:tc>
        <w:tc>
          <w:tcPr>
            <w:tcW w:w="1210"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 </w:t>
            </w:r>
          </w:p>
        </w:tc>
        <w:tc>
          <w:tcPr>
            <w:tcW w:w="254" w:type="dxa"/>
            <w:tcBorders>
              <w:top w:val="nil"/>
              <w:left w:val="nil"/>
              <w:bottom w:val="nil"/>
              <w:right w:val="nil"/>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p>
        </w:tc>
        <w:tc>
          <w:tcPr>
            <w:tcW w:w="2088" w:type="dxa"/>
            <w:tcBorders>
              <w:top w:val="nil"/>
              <w:left w:val="single" w:sz="4" w:space="0" w:color="auto"/>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Lithuania</w:t>
            </w:r>
          </w:p>
        </w:tc>
        <w:tc>
          <w:tcPr>
            <w:tcW w:w="1347"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2010-2011</w:t>
            </w:r>
          </w:p>
        </w:tc>
        <w:tc>
          <w:tcPr>
            <w:tcW w:w="1210"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 </w:t>
            </w:r>
          </w:p>
        </w:tc>
      </w:tr>
      <w:tr w:rsidR="00392518" w:rsidRPr="00392518" w:rsidTr="000C3CBF">
        <w:trPr>
          <w:trHeight w:val="284"/>
        </w:trPr>
        <w:tc>
          <w:tcPr>
            <w:tcW w:w="2088" w:type="dxa"/>
            <w:tcBorders>
              <w:top w:val="nil"/>
              <w:left w:val="single" w:sz="4" w:space="0" w:color="auto"/>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Australia</w:t>
            </w:r>
          </w:p>
        </w:tc>
        <w:tc>
          <w:tcPr>
            <w:tcW w:w="1347"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2008-2009</w:t>
            </w:r>
          </w:p>
        </w:tc>
        <w:tc>
          <w:tcPr>
            <w:tcW w:w="1210"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3.10%</w:t>
            </w:r>
          </w:p>
        </w:tc>
        <w:tc>
          <w:tcPr>
            <w:tcW w:w="254" w:type="dxa"/>
            <w:tcBorders>
              <w:top w:val="nil"/>
              <w:left w:val="nil"/>
              <w:bottom w:val="nil"/>
              <w:right w:val="nil"/>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p>
        </w:tc>
        <w:tc>
          <w:tcPr>
            <w:tcW w:w="2088" w:type="dxa"/>
            <w:tcBorders>
              <w:top w:val="nil"/>
              <w:left w:val="single" w:sz="4" w:space="0" w:color="auto"/>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Luxembourg</w:t>
            </w:r>
          </w:p>
        </w:tc>
        <w:tc>
          <w:tcPr>
            <w:tcW w:w="1347"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2003</w:t>
            </w:r>
          </w:p>
        </w:tc>
        <w:tc>
          <w:tcPr>
            <w:tcW w:w="1210"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 </w:t>
            </w:r>
          </w:p>
        </w:tc>
      </w:tr>
      <w:tr w:rsidR="00392518" w:rsidRPr="00392518" w:rsidTr="000C3CBF">
        <w:trPr>
          <w:trHeight w:val="284"/>
        </w:trPr>
        <w:tc>
          <w:tcPr>
            <w:tcW w:w="2088" w:type="dxa"/>
            <w:tcBorders>
              <w:top w:val="nil"/>
              <w:left w:val="single" w:sz="4" w:space="0" w:color="auto"/>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Belgium</w:t>
            </w:r>
          </w:p>
        </w:tc>
        <w:tc>
          <w:tcPr>
            <w:tcW w:w="1347"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2006</w:t>
            </w:r>
          </w:p>
        </w:tc>
        <w:tc>
          <w:tcPr>
            <w:tcW w:w="1210"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 </w:t>
            </w:r>
          </w:p>
        </w:tc>
        <w:tc>
          <w:tcPr>
            <w:tcW w:w="254" w:type="dxa"/>
            <w:tcBorders>
              <w:top w:val="nil"/>
              <w:left w:val="nil"/>
              <w:bottom w:val="nil"/>
              <w:right w:val="nil"/>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p>
        </w:tc>
        <w:tc>
          <w:tcPr>
            <w:tcW w:w="2088" w:type="dxa"/>
            <w:tcBorders>
              <w:top w:val="nil"/>
              <w:left w:val="single" w:sz="4" w:space="0" w:color="auto"/>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Macedonia</w:t>
            </w:r>
          </w:p>
        </w:tc>
        <w:tc>
          <w:tcPr>
            <w:tcW w:w="1347"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2009</w:t>
            </w:r>
          </w:p>
        </w:tc>
        <w:tc>
          <w:tcPr>
            <w:tcW w:w="1210"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 </w:t>
            </w:r>
          </w:p>
        </w:tc>
      </w:tr>
      <w:tr w:rsidR="00392518" w:rsidRPr="00392518" w:rsidTr="000C3CBF">
        <w:trPr>
          <w:trHeight w:val="284"/>
        </w:trPr>
        <w:tc>
          <w:tcPr>
            <w:tcW w:w="2088" w:type="dxa"/>
            <w:tcBorders>
              <w:top w:val="nil"/>
              <w:left w:val="single" w:sz="4" w:space="0" w:color="auto"/>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Brazil</w:t>
            </w:r>
          </w:p>
        </w:tc>
        <w:tc>
          <w:tcPr>
            <w:tcW w:w="1347"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2010</w:t>
            </w:r>
          </w:p>
        </w:tc>
        <w:tc>
          <w:tcPr>
            <w:tcW w:w="1210"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1.60%</w:t>
            </w:r>
          </w:p>
        </w:tc>
        <w:tc>
          <w:tcPr>
            <w:tcW w:w="254" w:type="dxa"/>
            <w:tcBorders>
              <w:top w:val="nil"/>
              <w:left w:val="nil"/>
              <w:bottom w:val="nil"/>
              <w:right w:val="nil"/>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p>
        </w:tc>
        <w:tc>
          <w:tcPr>
            <w:tcW w:w="2088" w:type="dxa"/>
            <w:tcBorders>
              <w:top w:val="nil"/>
              <w:left w:val="single" w:sz="4" w:space="0" w:color="auto"/>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Malta</w:t>
            </w:r>
          </w:p>
        </w:tc>
        <w:tc>
          <w:tcPr>
            <w:tcW w:w="1347"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2011</w:t>
            </w:r>
          </w:p>
        </w:tc>
        <w:tc>
          <w:tcPr>
            <w:tcW w:w="1210"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 </w:t>
            </w:r>
          </w:p>
        </w:tc>
      </w:tr>
      <w:tr w:rsidR="00392518" w:rsidRPr="00392518" w:rsidTr="000C3CBF">
        <w:trPr>
          <w:trHeight w:val="284"/>
        </w:trPr>
        <w:tc>
          <w:tcPr>
            <w:tcW w:w="2088" w:type="dxa"/>
            <w:tcBorders>
              <w:top w:val="nil"/>
              <w:left w:val="single" w:sz="4" w:space="0" w:color="auto"/>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Bulgaria</w:t>
            </w:r>
          </w:p>
        </w:tc>
        <w:tc>
          <w:tcPr>
            <w:tcW w:w="1347"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2007</w:t>
            </w:r>
          </w:p>
        </w:tc>
        <w:tc>
          <w:tcPr>
            <w:tcW w:w="1210"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 </w:t>
            </w:r>
          </w:p>
        </w:tc>
        <w:tc>
          <w:tcPr>
            <w:tcW w:w="254" w:type="dxa"/>
            <w:tcBorders>
              <w:top w:val="nil"/>
              <w:left w:val="nil"/>
              <w:bottom w:val="nil"/>
              <w:right w:val="nil"/>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p>
        </w:tc>
        <w:tc>
          <w:tcPr>
            <w:tcW w:w="2088" w:type="dxa"/>
            <w:tcBorders>
              <w:top w:val="nil"/>
              <w:left w:val="single" w:sz="4" w:space="0" w:color="auto"/>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Mexico</w:t>
            </w:r>
          </w:p>
        </w:tc>
        <w:tc>
          <w:tcPr>
            <w:tcW w:w="1347"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2004</w:t>
            </w:r>
          </w:p>
        </w:tc>
        <w:tc>
          <w:tcPr>
            <w:tcW w:w="1210"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 </w:t>
            </w:r>
          </w:p>
        </w:tc>
      </w:tr>
      <w:tr w:rsidR="00392518" w:rsidRPr="00392518" w:rsidTr="000C3CBF">
        <w:trPr>
          <w:trHeight w:val="284"/>
        </w:trPr>
        <w:tc>
          <w:tcPr>
            <w:tcW w:w="2088" w:type="dxa"/>
            <w:tcBorders>
              <w:top w:val="nil"/>
              <w:left w:val="single" w:sz="4" w:space="0" w:color="auto"/>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Canada</w:t>
            </w:r>
          </w:p>
        </w:tc>
        <w:tc>
          <w:tcPr>
            <w:tcW w:w="1347"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200-2011</w:t>
            </w:r>
          </w:p>
        </w:tc>
        <w:tc>
          <w:tcPr>
            <w:tcW w:w="1210"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3.80%</w:t>
            </w:r>
          </w:p>
        </w:tc>
        <w:tc>
          <w:tcPr>
            <w:tcW w:w="254" w:type="dxa"/>
            <w:tcBorders>
              <w:top w:val="nil"/>
              <w:left w:val="nil"/>
              <w:bottom w:val="nil"/>
              <w:right w:val="nil"/>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p>
        </w:tc>
        <w:tc>
          <w:tcPr>
            <w:tcW w:w="2088" w:type="dxa"/>
            <w:tcBorders>
              <w:top w:val="nil"/>
              <w:left w:val="single" w:sz="4" w:space="0" w:color="auto"/>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Netherlands</w:t>
            </w:r>
          </w:p>
        </w:tc>
        <w:tc>
          <w:tcPr>
            <w:tcW w:w="1347"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2003</w:t>
            </w:r>
          </w:p>
        </w:tc>
        <w:tc>
          <w:tcPr>
            <w:tcW w:w="1210"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 </w:t>
            </w:r>
          </w:p>
        </w:tc>
      </w:tr>
      <w:tr w:rsidR="00392518" w:rsidRPr="00392518" w:rsidTr="000C3CBF">
        <w:trPr>
          <w:trHeight w:val="284"/>
        </w:trPr>
        <w:tc>
          <w:tcPr>
            <w:tcW w:w="2088" w:type="dxa"/>
            <w:tcBorders>
              <w:top w:val="nil"/>
              <w:left w:val="single" w:sz="4" w:space="0" w:color="auto"/>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Chile</w:t>
            </w:r>
          </w:p>
        </w:tc>
        <w:tc>
          <w:tcPr>
            <w:tcW w:w="1347"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2004-2005</w:t>
            </w:r>
          </w:p>
        </w:tc>
        <w:tc>
          <w:tcPr>
            <w:tcW w:w="1210"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1.90%</w:t>
            </w:r>
          </w:p>
        </w:tc>
        <w:tc>
          <w:tcPr>
            <w:tcW w:w="254" w:type="dxa"/>
            <w:tcBorders>
              <w:top w:val="nil"/>
              <w:left w:val="nil"/>
              <w:bottom w:val="nil"/>
              <w:right w:val="nil"/>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p>
        </w:tc>
        <w:tc>
          <w:tcPr>
            <w:tcW w:w="2088" w:type="dxa"/>
            <w:tcBorders>
              <w:top w:val="nil"/>
              <w:left w:val="single" w:sz="4" w:space="0" w:color="auto"/>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New Zealand</w:t>
            </w:r>
          </w:p>
        </w:tc>
        <w:tc>
          <w:tcPr>
            <w:tcW w:w="1347"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2002</w:t>
            </w:r>
          </w:p>
        </w:tc>
        <w:tc>
          <w:tcPr>
            <w:tcW w:w="1210"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 </w:t>
            </w:r>
          </w:p>
        </w:tc>
      </w:tr>
      <w:tr w:rsidR="00392518" w:rsidRPr="00392518" w:rsidTr="000C3CBF">
        <w:trPr>
          <w:trHeight w:val="284"/>
        </w:trPr>
        <w:tc>
          <w:tcPr>
            <w:tcW w:w="2088" w:type="dxa"/>
            <w:tcBorders>
              <w:top w:val="nil"/>
              <w:left w:val="single" w:sz="4" w:space="0" w:color="auto"/>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Columbia</w:t>
            </w:r>
          </w:p>
        </w:tc>
        <w:tc>
          <w:tcPr>
            <w:tcW w:w="1347"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2002-2008</w:t>
            </w:r>
          </w:p>
        </w:tc>
        <w:tc>
          <w:tcPr>
            <w:tcW w:w="1210"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1.80%</w:t>
            </w:r>
          </w:p>
        </w:tc>
        <w:tc>
          <w:tcPr>
            <w:tcW w:w="254" w:type="dxa"/>
            <w:tcBorders>
              <w:top w:val="nil"/>
              <w:left w:val="nil"/>
              <w:bottom w:val="nil"/>
              <w:right w:val="nil"/>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p>
        </w:tc>
        <w:tc>
          <w:tcPr>
            <w:tcW w:w="2088" w:type="dxa"/>
            <w:tcBorders>
              <w:top w:val="nil"/>
              <w:left w:val="single" w:sz="4" w:space="0" w:color="auto"/>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Norway</w:t>
            </w:r>
          </w:p>
        </w:tc>
        <w:tc>
          <w:tcPr>
            <w:tcW w:w="1347"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2007</w:t>
            </w:r>
          </w:p>
        </w:tc>
        <w:tc>
          <w:tcPr>
            <w:tcW w:w="1210"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 </w:t>
            </w:r>
          </w:p>
        </w:tc>
      </w:tr>
      <w:tr w:rsidR="00392518" w:rsidRPr="00392518" w:rsidTr="000C3CBF">
        <w:trPr>
          <w:trHeight w:val="284"/>
        </w:trPr>
        <w:tc>
          <w:tcPr>
            <w:tcW w:w="2088" w:type="dxa"/>
            <w:tcBorders>
              <w:top w:val="nil"/>
              <w:left w:val="single" w:sz="4" w:space="0" w:color="auto"/>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Croatia</w:t>
            </w:r>
          </w:p>
        </w:tc>
        <w:tc>
          <w:tcPr>
            <w:tcW w:w="1347"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2008</w:t>
            </w:r>
          </w:p>
        </w:tc>
        <w:tc>
          <w:tcPr>
            <w:tcW w:w="1210"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 </w:t>
            </w:r>
          </w:p>
        </w:tc>
        <w:tc>
          <w:tcPr>
            <w:tcW w:w="254" w:type="dxa"/>
            <w:tcBorders>
              <w:top w:val="nil"/>
              <w:left w:val="nil"/>
              <w:bottom w:val="nil"/>
              <w:right w:val="nil"/>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p>
        </w:tc>
        <w:tc>
          <w:tcPr>
            <w:tcW w:w="2088" w:type="dxa"/>
            <w:tcBorders>
              <w:top w:val="nil"/>
              <w:left w:val="single" w:sz="4" w:space="0" w:color="auto"/>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Peru</w:t>
            </w:r>
          </w:p>
        </w:tc>
        <w:tc>
          <w:tcPr>
            <w:tcW w:w="1347"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2003</w:t>
            </w:r>
          </w:p>
        </w:tc>
        <w:tc>
          <w:tcPr>
            <w:tcW w:w="1210"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0.60%</w:t>
            </w:r>
          </w:p>
        </w:tc>
      </w:tr>
      <w:tr w:rsidR="00392518" w:rsidRPr="00392518" w:rsidTr="000C3CBF">
        <w:trPr>
          <w:trHeight w:val="284"/>
        </w:trPr>
        <w:tc>
          <w:tcPr>
            <w:tcW w:w="2088" w:type="dxa"/>
            <w:tcBorders>
              <w:top w:val="nil"/>
              <w:left w:val="single" w:sz="4" w:space="0" w:color="auto"/>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Cyprus</w:t>
            </w:r>
          </w:p>
        </w:tc>
        <w:tc>
          <w:tcPr>
            <w:tcW w:w="1347"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2003</w:t>
            </w:r>
          </w:p>
        </w:tc>
        <w:tc>
          <w:tcPr>
            <w:tcW w:w="1210"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 </w:t>
            </w:r>
          </w:p>
        </w:tc>
        <w:tc>
          <w:tcPr>
            <w:tcW w:w="254" w:type="dxa"/>
            <w:tcBorders>
              <w:top w:val="nil"/>
              <w:left w:val="nil"/>
              <w:bottom w:val="nil"/>
              <w:right w:val="nil"/>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p>
        </w:tc>
        <w:tc>
          <w:tcPr>
            <w:tcW w:w="2088" w:type="dxa"/>
            <w:tcBorders>
              <w:top w:val="nil"/>
              <w:left w:val="single" w:sz="4" w:space="0" w:color="auto"/>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Poland</w:t>
            </w:r>
          </w:p>
        </w:tc>
        <w:tc>
          <w:tcPr>
            <w:tcW w:w="1347"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2009-2010</w:t>
            </w:r>
          </w:p>
        </w:tc>
        <w:tc>
          <w:tcPr>
            <w:tcW w:w="1210"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 </w:t>
            </w:r>
          </w:p>
        </w:tc>
      </w:tr>
      <w:tr w:rsidR="00392518" w:rsidRPr="00392518" w:rsidTr="000C3CBF">
        <w:trPr>
          <w:trHeight w:val="284"/>
        </w:trPr>
        <w:tc>
          <w:tcPr>
            <w:tcW w:w="2088" w:type="dxa"/>
            <w:tcBorders>
              <w:top w:val="nil"/>
              <w:left w:val="single" w:sz="4" w:space="0" w:color="auto"/>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Denmark</w:t>
            </w:r>
          </w:p>
        </w:tc>
        <w:tc>
          <w:tcPr>
            <w:tcW w:w="1347"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2003-2009</w:t>
            </w:r>
          </w:p>
        </w:tc>
        <w:tc>
          <w:tcPr>
            <w:tcW w:w="1210"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 </w:t>
            </w:r>
          </w:p>
        </w:tc>
        <w:tc>
          <w:tcPr>
            <w:tcW w:w="254" w:type="dxa"/>
            <w:tcBorders>
              <w:top w:val="nil"/>
              <w:left w:val="nil"/>
              <w:bottom w:val="nil"/>
              <w:right w:val="nil"/>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p>
        </w:tc>
        <w:tc>
          <w:tcPr>
            <w:tcW w:w="2088" w:type="dxa"/>
            <w:tcBorders>
              <w:top w:val="nil"/>
              <w:left w:val="single" w:sz="4" w:space="0" w:color="auto"/>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Serbia</w:t>
            </w:r>
          </w:p>
        </w:tc>
        <w:tc>
          <w:tcPr>
            <w:tcW w:w="1347"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2006-2011</w:t>
            </w:r>
          </w:p>
        </w:tc>
        <w:tc>
          <w:tcPr>
            <w:tcW w:w="1210"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 </w:t>
            </w:r>
          </w:p>
        </w:tc>
      </w:tr>
      <w:tr w:rsidR="00392518" w:rsidRPr="00392518" w:rsidTr="000C3CBF">
        <w:trPr>
          <w:trHeight w:val="284"/>
        </w:trPr>
        <w:tc>
          <w:tcPr>
            <w:tcW w:w="2088" w:type="dxa"/>
            <w:tcBorders>
              <w:top w:val="nil"/>
              <w:left w:val="single" w:sz="4" w:space="0" w:color="auto"/>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Estonia</w:t>
            </w:r>
          </w:p>
        </w:tc>
        <w:tc>
          <w:tcPr>
            <w:tcW w:w="1347"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2010-2011</w:t>
            </w:r>
          </w:p>
        </w:tc>
        <w:tc>
          <w:tcPr>
            <w:tcW w:w="1210"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 </w:t>
            </w:r>
          </w:p>
        </w:tc>
        <w:tc>
          <w:tcPr>
            <w:tcW w:w="254" w:type="dxa"/>
            <w:tcBorders>
              <w:top w:val="nil"/>
              <w:left w:val="nil"/>
              <w:bottom w:val="nil"/>
              <w:right w:val="nil"/>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p>
        </w:tc>
        <w:tc>
          <w:tcPr>
            <w:tcW w:w="2088" w:type="dxa"/>
            <w:tcBorders>
              <w:top w:val="nil"/>
              <w:left w:val="single" w:sz="4" w:space="0" w:color="auto"/>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Singapore</w:t>
            </w:r>
          </w:p>
        </w:tc>
        <w:tc>
          <w:tcPr>
            <w:tcW w:w="1347"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2009</w:t>
            </w:r>
          </w:p>
        </w:tc>
        <w:tc>
          <w:tcPr>
            <w:tcW w:w="1210"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 </w:t>
            </w:r>
          </w:p>
        </w:tc>
      </w:tr>
      <w:tr w:rsidR="00392518" w:rsidRPr="00392518" w:rsidTr="000C3CBF">
        <w:trPr>
          <w:trHeight w:val="284"/>
        </w:trPr>
        <w:tc>
          <w:tcPr>
            <w:tcW w:w="2088" w:type="dxa"/>
            <w:tcBorders>
              <w:top w:val="nil"/>
              <w:left w:val="single" w:sz="4" w:space="0" w:color="auto"/>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Finland</w:t>
            </w:r>
          </w:p>
        </w:tc>
        <w:tc>
          <w:tcPr>
            <w:tcW w:w="1347"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2005-2010</w:t>
            </w:r>
          </w:p>
        </w:tc>
        <w:tc>
          <w:tcPr>
            <w:tcW w:w="1210"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3.10%</w:t>
            </w:r>
          </w:p>
        </w:tc>
        <w:tc>
          <w:tcPr>
            <w:tcW w:w="254" w:type="dxa"/>
            <w:tcBorders>
              <w:top w:val="nil"/>
              <w:left w:val="nil"/>
              <w:bottom w:val="nil"/>
              <w:right w:val="nil"/>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p>
        </w:tc>
        <w:tc>
          <w:tcPr>
            <w:tcW w:w="2088" w:type="dxa"/>
            <w:tcBorders>
              <w:top w:val="nil"/>
              <w:left w:val="single" w:sz="4" w:space="0" w:color="auto"/>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Slovenia</w:t>
            </w:r>
          </w:p>
        </w:tc>
        <w:tc>
          <w:tcPr>
            <w:tcW w:w="1347"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2011</w:t>
            </w:r>
          </w:p>
        </w:tc>
        <w:tc>
          <w:tcPr>
            <w:tcW w:w="1210"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 </w:t>
            </w:r>
          </w:p>
        </w:tc>
      </w:tr>
      <w:tr w:rsidR="00392518" w:rsidRPr="00392518" w:rsidTr="000C3CBF">
        <w:trPr>
          <w:trHeight w:val="284"/>
        </w:trPr>
        <w:tc>
          <w:tcPr>
            <w:tcW w:w="2088" w:type="dxa"/>
            <w:tcBorders>
              <w:top w:val="nil"/>
              <w:left w:val="single" w:sz="4" w:space="0" w:color="auto"/>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France</w:t>
            </w:r>
          </w:p>
        </w:tc>
        <w:tc>
          <w:tcPr>
            <w:tcW w:w="1347"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2005-2008</w:t>
            </w:r>
          </w:p>
        </w:tc>
        <w:tc>
          <w:tcPr>
            <w:tcW w:w="1210"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2.80%</w:t>
            </w:r>
          </w:p>
        </w:tc>
        <w:tc>
          <w:tcPr>
            <w:tcW w:w="254" w:type="dxa"/>
            <w:tcBorders>
              <w:top w:val="nil"/>
              <w:left w:val="nil"/>
              <w:bottom w:val="nil"/>
              <w:right w:val="nil"/>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p>
        </w:tc>
        <w:tc>
          <w:tcPr>
            <w:tcW w:w="2088" w:type="dxa"/>
            <w:tcBorders>
              <w:top w:val="nil"/>
              <w:left w:val="single" w:sz="4" w:space="0" w:color="auto"/>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Spain</w:t>
            </w:r>
          </w:p>
        </w:tc>
        <w:tc>
          <w:tcPr>
            <w:tcW w:w="1347"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2007-2010</w:t>
            </w:r>
          </w:p>
        </w:tc>
        <w:tc>
          <w:tcPr>
            <w:tcW w:w="1210"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3.20%</w:t>
            </w:r>
          </w:p>
        </w:tc>
      </w:tr>
      <w:tr w:rsidR="00392518" w:rsidRPr="00392518" w:rsidTr="000C3CBF">
        <w:trPr>
          <w:trHeight w:val="284"/>
        </w:trPr>
        <w:tc>
          <w:tcPr>
            <w:tcW w:w="2088" w:type="dxa"/>
            <w:tcBorders>
              <w:top w:val="nil"/>
              <w:left w:val="single" w:sz="4" w:space="0" w:color="auto"/>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Germany</w:t>
            </w:r>
          </w:p>
        </w:tc>
        <w:tc>
          <w:tcPr>
            <w:tcW w:w="1347"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2007-2011</w:t>
            </w:r>
          </w:p>
        </w:tc>
        <w:tc>
          <w:tcPr>
            <w:tcW w:w="1210"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 </w:t>
            </w:r>
          </w:p>
        </w:tc>
        <w:tc>
          <w:tcPr>
            <w:tcW w:w="254" w:type="dxa"/>
            <w:tcBorders>
              <w:top w:val="nil"/>
              <w:left w:val="nil"/>
              <w:bottom w:val="nil"/>
              <w:right w:val="nil"/>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p>
        </w:tc>
        <w:tc>
          <w:tcPr>
            <w:tcW w:w="2088" w:type="dxa"/>
            <w:tcBorders>
              <w:top w:val="nil"/>
              <w:left w:val="single" w:sz="4" w:space="0" w:color="auto"/>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Sweden</w:t>
            </w:r>
          </w:p>
        </w:tc>
        <w:tc>
          <w:tcPr>
            <w:tcW w:w="1347"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2006</w:t>
            </w:r>
          </w:p>
        </w:tc>
        <w:tc>
          <w:tcPr>
            <w:tcW w:w="1210"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 </w:t>
            </w:r>
          </w:p>
        </w:tc>
      </w:tr>
      <w:tr w:rsidR="00392518" w:rsidRPr="00392518" w:rsidTr="000C3CBF">
        <w:trPr>
          <w:trHeight w:val="284"/>
        </w:trPr>
        <w:tc>
          <w:tcPr>
            <w:tcW w:w="2088" w:type="dxa"/>
            <w:tcBorders>
              <w:top w:val="nil"/>
              <w:left w:val="single" w:sz="4" w:space="0" w:color="auto"/>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Greece</w:t>
            </w:r>
          </w:p>
        </w:tc>
        <w:tc>
          <w:tcPr>
            <w:tcW w:w="1347"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2003</w:t>
            </w:r>
          </w:p>
        </w:tc>
        <w:tc>
          <w:tcPr>
            <w:tcW w:w="1210"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 </w:t>
            </w:r>
          </w:p>
        </w:tc>
        <w:tc>
          <w:tcPr>
            <w:tcW w:w="254" w:type="dxa"/>
            <w:tcBorders>
              <w:top w:val="nil"/>
              <w:left w:val="nil"/>
              <w:bottom w:val="nil"/>
              <w:right w:val="nil"/>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p>
        </w:tc>
        <w:tc>
          <w:tcPr>
            <w:tcW w:w="2088" w:type="dxa"/>
            <w:tcBorders>
              <w:top w:val="nil"/>
              <w:left w:val="single" w:sz="4" w:space="0" w:color="auto"/>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Switzerland</w:t>
            </w:r>
          </w:p>
        </w:tc>
        <w:tc>
          <w:tcPr>
            <w:tcW w:w="1347"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2003-2008</w:t>
            </w:r>
          </w:p>
        </w:tc>
        <w:tc>
          <w:tcPr>
            <w:tcW w:w="1210"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 </w:t>
            </w:r>
          </w:p>
        </w:tc>
      </w:tr>
      <w:tr w:rsidR="00392518" w:rsidRPr="00392518" w:rsidTr="000C3CBF">
        <w:trPr>
          <w:trHeight w:val="284"/>
        </w:trPr>
        <w:tc>
          <w:tcPr>
            <w:tcW w:w="2088" w:type="dxa"/>
            <w:tcBorders>
              <w:top w:val="nil"/>
              <w:left w:val="single" w:sz="4" w:space="0" w:color="auto"/>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Hong Kong</w:t>
            </w:r>
          </w:p>
        </w:tc>
        <w:tc>
          <w:tcPr>
            <w:tcW w:w="1347"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2000</w:t>
            </w:r>
          </w:p>
        </w:tc>
        <w:tc>
          <w:tcPr>
            <w:tcW w:w="1210"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 </w:t>
            </w:r>
          </w:p>
        </w:tc>
        <w:tc>
          <w:tcPr>
            <w:tcW w:w="254" w:type="dxa"/>
            <w:tcBorders>
              <w:top w:val="nil"/>
              <w:left w:val="nil"/>
              <w:bottom w:val="nil"/>
              <w:right w:val="nil"/>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p>
        </w:tc>
        <w:tc>
          <w:tcPr>
            <w:tcW w:w="2088" w:type="dxa"/>
            <w:tcBorders>
              <w:top w:val="nil"/>
              <w:left w:val="single" w:sz="4" w:space="0" w:color="auto"/>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United Kingdom</w:t>
            </w:r>
          </w:p>
        </w:tc>
        <w:tc>
          <w:tcPr>
            <w:tcW w:w="1347"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1999-2011</w:t>
            </w:r>
          </w:p>
        </w:tc>
        <w:tc>
          <w:tcPr>
            <w:tcW w:w="1210"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5.8%*</w:t>
            </w:r>
          </w:p>
        </w:tc>
      </w:tr>
      <w:tr w:rsidR="00392518" w:rsidRPr="00392518" w:rsidTr="000C3CBF">
        <w:trPr>
          <w:trHeight w:val="284"/>
        </w:trPr>
        <w:tc>
          <w:tcPr>
            <w:tcW w:w="2088" w:type="dxa"/>
            <w:tcBorders>
              <w:top w:val="nil"/>
              <w:left w:val="single" w:sz="4" w:space="0" w:color="auto"/>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Hungary</w:t>
            </w:r>
          </w:p>
        </w:tc>
        <w:tc>
          <w:tcPr>
            <w:tcW w:w="1347"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2005-2010</w:t>
            </w:r>
          </w:p>
        </w:tc>
        <w:tc>
          <w:tcPr>
            <w:tcW w:w="1210"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 </w:t>
            </w:r>
          </w:p>
        </w:tc>
        <w:tc>
          <w:tcPr>
            <w:tcW w:w="254" w:type="dxa"/>
            <w:tcBorders>
              <w:top w:val="nil"/>
              <w:left w:val="nil"/>
              <w:bottom w:val="nil"/>
              <w:right w:val="nil"/>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p>
        </w:tc>
        <w:tc>
          <w:tcPr>
            <w:tcW w:w="2088" w:type="dxa"/>
            <w:tcBorders>
              <w:top w:val="nil"/>
              <w:left w:val="single" w:sz="4" w:space="0" w:color="auto"/>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United States</w:t>
            </w:r>
          </w:p>
        </w:tc>
        <w:tc>
          <w:tcPr>
            <w:tcW w:w="1347"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1998-2011</w:t>
            </w:r>
          </w:p>
        </w:tc>
        <w:tc>
          <w:tcPr>
            <w:tcW w:w="1210"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3.20%</w:t>
            </w:r>
          </w:p>
        </w:tc>
      </w:tr>
      <w:tr w:rsidR="00392518" w:rsidRPr="00392518" w:rsidTr="000C3CBF">
        <w:trPr>
          <w:trHeight w:val="284"/>
        </w:trPr>
        <w:tc>
          <w:tcPr>
            <w:tcW w:w="2088" w:type="dxa"/>
            <w:tcBorders>
              <w:top w:val="nil"/>
              <w:left w:val="single" w:sz="4" w:space="0" w:color="auto"/>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Iceland</w:t>
            </w:r>
          </w:p>
        </w:tc>
        <w:tc>
          <w:tcPr>
            <w:tcW w:w="1347"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2003</w:t>
            </w:r>
          </w:p>
        </w:tc>
        <w:tc>
          <w:tcPr>
            <w:tcW w:w="1210"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 </w:t>
            </w:r>
          </w:p>
        </w:tc>
        <w:tc>
          <w:tcPr>
            <w:tcW w:w="254" w:type="dxa"/>
            <w:tcBorders>
              <w:top w:val="nil"/>
              <w:left w:val="nil"/>
              <w:bottom w:val="nil"/>
              <w:right w:val="nil"/>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p>
        </w:tc>
        <w:tc>
          <w:tcPr>
            <w:tcW w:w="2088" w:type="dxa"/>
            <w:tcBorders>
              <w:top w:val="nil"/>
              <w:left w:val="single" w:sz="4" w:space="0" w:color="auto"/>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Uruguay</w:t>
            </w:r>
          </w:p>
        </w:tc>
        <w:tc>
          <w:tcPr>
            <w:tcW w:w="1347"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2009</w:t>
            </w:r>
          </w:p>
        </w:tc>
        <w:tc>
          <w:tcPr>
            <w:tcW w:w="1210"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2.93%</w:t>
            </w:r>
          </w:p>
        </w:tc>
      </w:tr>
      <w:tr w:rsidR="00392518" w:rsidRPr="00392518" w:rsidTr="000C3CBF">
        <w:trPr>
          <w:trHeight w:val="284"/>
        </w:trPr>
        <w:tc>
          <w:tcPr>
            <w:tcW w:w="2088" w:type="dxa"/>
            <w:tcBorders>
              <w:top w:val="nil"/>
              <w:left w:val="single" w:sz="4" w:space="0" w:color="auto"/>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Ireland</w:t>
            </w:r>
          </w:p>
        </w:tc>
        <w:tc>
          <w:tcPr>
            <w:tcW w:w="1347"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2003</w:t>
            </w:r>
          </w:p>
        </w:tc>
        <w:tc>
          <w:tcPr>
            <w:tcW w:w="1210"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 </w:t>
            </w:r>
          </w:p>
        </w:tc>
        <w:tc>
          <w:tcPr>
            <w:tcW w:w="254" w:type="dxa"/>
            <w:tcBorders>
              <w:top w:val="nil"/>
              <w:left w:val="nil"/>
              <w:bottom w:val="nil"/>
              <w:right w:val="nil"/>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p>
        </w:tc>
        <w:tc>
          <w:tcPr>
            <w:tcW w:w="2088" w:type="dxa"/>
            <w:tcBorders>
              <w:top w:val="nil"/>
              <w:left w:val="single" w:sz="4" w:space="0" w:color="auto"/>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Venezuela</w:t>
            </w:r>
          </w:p>
        </w:tc>
        <w:tc>
          <w:tcPr>
            <w:tcW w:w="1347"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2010</w:t>
            </w:r>
          </w:p>
        </w:tc>
        <w:tc>
          <w:tcPr>
            <w:tcW w:w="1210"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1.60%</w:t>
            </w:r>
          </w:p>
        </w:tc>
      </w:tr>
      <w:tr w:rsidR="00392518" w:rsidRPr="00392518" w:rsidTr="000C3CBF">
        <w:trPr>
          <w:trHeight w:val="284"/>
        </w:trPr>
        <w:tc>
          <w:tcPr>
            <w:tcW w:w="2088" w:type="dxa"/>
            <w:tcBorders>
              <w:top w:val="nil"/>
              <w:left w:val="single" w:sz="4" w:space="0" w:color="auto"/>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Italy</w:t>
            </w:r>
          </w:p>
        </w:tc>
        <w:tc>
          <w:tcPr>
            <w:tcW w:w="1347"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jc w:val="right"/>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2006-2009</w:t>
            </w:r>
          </w:p>
        </w:tc>
        <w:tc>
          <w:tcPr>
            <w:tcW w:w="1210" w:type="dxa"/>
            <w:tcBorders>
              <w:top w:val="nil"/>
              <w:left w:val="nil"/>
              <w:bottom w:val="single" w:sz="4" w:space="0" w:color="auto"/>
              <w:right w:val="single" w:sz="4" w:space="0" w:color="auto"/>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 </w:t>
            </w:r>
          </w:p>
        </w:tc>
        <w:tc>
          <w:tcPr>
            <w:tcW w:w="254" w:type="dxa"/>
            <w:tcBorders>
              <w:top w:val="nil"/>
              <w:left w:val="nil"/>
              <w:bottom w:val="nil"/>
              <w:right w:val="nil"/>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p>
        </w:tc>
        <w:tc>
          <w:tcPr>
            <w:tcW w:w="2088" w:type="dxa"/>
            <w:tcBorders>
              <w:top w:val="nil"/>
              <w:left w:val="nil"/>
              <w:bottom w:val="nil"/>
              <w:right w:val="nil"/>
            </w:tcBorders>
            <w:shd w:val="clear" w:color="auto" w:fill="auto"/>
            <w:noWrap/>
            <w:vAlign w:val="bottom"/>
            <w:hideMark/>
          </w:tcPr>
          <w:p w:rsidR="00392518" w:rsidRPr="00392518" w:rsidRDefault="00392518" w:rsidP="00392518">
            <w:pPr>
              <w:spacing w:after="0" w:line="240" w:lineRule="auto"/>
              <w:rPr>
                <w:rFonts w:ascii="Calibri" w:eastAsia="Times New Roman" w:hAnsi="Calibri" w:cs="Times New Roman"/>
                <w:color w:val="000000"/>
              </w:rPr>
            </w:pPr>
          </w:p>
        </w:tc>
        <w:tc>
          <w:tcPr>
            <w:tcW w:w="1347" w:type="dxa"/>
            <w:tcBorders>
              <w:top w:val="nil"/>
              <w:left w:val="nil"/>
              <w:bottom w:val="nil"/>
              <w:right w:val="nil"/>
            </w:tcBorders>
            <w:shd w:val="clear" w:color="auto" w:fill="auto"/>
            <w:noWrap/>
            <w:vAlign w:val="bottom"/>
            <w:hideMark/>
          </w:tcPr>
          <w:p w:rsidR="00392518" w:rsidRPr="00392518" w:rsidRDefault="00392518" w:rsidP="00392518">
            <w:pPr>
              <w:spacing w:after="0" w:line="240" w:lineRule="auto"/>
              <w:rPr>
                <w:rFonts w:ascii="Calibri" w:eastAsia="Times New Roman" w:hAnsi="Calibri" w:cs="Times New Roman"/>
                <w:color w:val="000000"/>
              </w:rPr>
            </w:pPr>
          </w:p>
        </w:tc>
        <w:tc>
          <w:tcPr>
            <w:tcW w:w="1210" w:type="dxa"/>
            <w:tcBorders>
              <w:top w:val="nil"/>
              <w:left w:val="nil"/>
              <w:bottom w:val="nil"/>
              <w:right w:val="nil"/>
            </w:tcBorders>
            <w:shd w:val="clear" w:color="auto" w:fill="auto"/>
            <w:noWrap/>
            <w:vAlign w:val="bottom"/>
            <w:hideMark/>
          </w:tcPr>
          <w:p w:rsidR="00392518" w:rsidRPr="00392518" w:rsidRDefault="00392518" w:rsidP="00392518">
            <w:pPr>
              <w:spacing w:after="0" w:line="240" w:lineRule="auto"/>
              <w:rPr>
                <w:rFonts w:ascii="Calibri" w:eastAsia="Times New Roman" w:hAnsi="Calibri" w:cs="Times New Roman"/>
                <w:color w:val="000000"/>
              </w:rPr>
            </w:pPr>
          </w:p>
        </w:tc>
      </w:tr>
      <w:tr w:rsidR="00392518" w:rsidRPr="00392518" w:rsidTr="000C3CBF">
        <w:trPr>
          <w:trHeight w:val="262"/>
        </w:trPr>
        <w:tc>
          <w:tcPr>
            <w:tcW w:w="2088" w:type="dxa"/>
            <w:tcBorders>
              <w:top w:val="nil"/>
              <w:left w:val="nil"/>
              <w:bottom w:val="nil"/>
              <w:right w:val="nil"/>
            </w:tcBorders>
            <w:shd w:val="clear" w:color="auto" w:fill="auto"/>
            <w:noWrap/>
            <w:vAlign w:val="bottom"/>
            <w:hideMark/>
          </w:tcPr>
          <w:p w:rsidR="00392518" w:rsidRPr="00392518" w:rsidRDefault="00392518" w:rsidP="00392518">
            <w:pPr>
              <w:spacing w:after="0" w:line="240" w:lineRule="auto"/>
              <w:rPr>
                <w:rFonts w:ascii="Calibri" w:eastAsia="Times New Roman" w:hAnsi="Calibri" w:cs="Times New Roman"/>
                <w:color w:val="000000"/>
              </w:rPr>
            </w:pPr>
          </w:p>
        </w:tc>
        <w:tc>
          <w:tcPr>
            <w:tcW w:w="1347" w:type="dxa"/>
            <w:tcBorders>
              <w:top w:val="nil"/>
              <w:left w:val="nil"/>
              <w:bottom w:val="nil"/>
              <w:right w:val="nil"/>
            </w:tcBorders>
            <w:shd w:val="clear" w:color="auto" w:fill="auto"/>
            <w:noWrap/>
            <w:vAlign w:val="bottom"/>
            <w:hideMark/>
          </w:tcPr>
          <w:p w:rsidR="00392518" w:rsidRPr="00392518" w:rsidRDefault="00392518" w:rsidP="00392518">
            <w:pPr>
              <w:spacing w:after="0" w:line="240" w:lineRule="auto"/>
              <w:rPr>
                <w:rFonts w:ascii="Calibri" w:eastAsia="Times New Roman" w:hAnsi="Calibri" w:cs="Times New Roman"/>
                <w:color w:val="000000"/>
              </w:rPr>
            </w:pPr>
          </w:p>
        </w:tc>
        <w:tc>
          <w:tcPr>
            <w:tcW w:w="1210" w:type="dxa"/>
            <w:tcBorders>
              <w:top w:val="nil"/>
              <w:left w:val="nil"/>
              <w:bottom w:val="nil"/>
              <w:right w:val="nil"/>
            </w:tcBorders>
            <w:shd w:val="clear" w:color="auto" w:fill="auto"/>
            <w:noWrap/>
            <w:vAlign w:val="bottom"/>
            <w:hideMark/>
          </w:tcPr>
          <w:p w:rsidR="00392518" w:rsidRPr="00392518" w:rsidRDefault="00392518" w:rsidP="00392518">
            <w:pPr>
              <w:spacing w:after="0" w:line="240" w:lineRule="auto"/>
              <w:rPr>
                <w:rFonts w:ascii="Calibri" w:eastAsia="Times New Roman" w:hAnsi="Calibri" w:cs="Times New Roman"/>
                <w:color w:val="000000"/>
              </w:rPr>
            </w:pPr>
          </w:p>
        </w:tc>
        <w:tc>
          <w:tcPr>
            <w:tcW w:w="254" w:type="dxa"/>
            <w:tcBorders>
              <w:top w:val="nil"/>
              <w:left w:val="nil"/>
              <w:bottom w:val="nil"/>
              <w:right w:val="nil"/>
            </w:tcBorders>
            <w:shd w:val="clear" w:color="auto" w:fill="auto"/>
            <w:noWrap/>
            <w:vAlign w:val="bottom"/>
            <w:hideMark/>
          </w:tcPr>
          <w:p w:rsidR="00392518" w:rsidRPr="00392518" w:rsidRDefault="00392518" w:rsidP="00392518">
            <w:pPr>
              <w:spacing w:after="0" w:line="240" w:lineRule="auto"/>
              <w:rPr>
                <w:rFonts w:ascii="Calibri" w:eastAsia="Times New Roman" w:hAnsi="Calibri" w:cs="Times New Roman"/>
                <w:color w:val="000000"/>
              </w:rPr>
            </w:pPr>
          </w:p>
        </w:tc>
        <w:tc>
          <w:tcPr>
            <w:tcW w:w="2088" w:type="dxa"/>
            <w:tcBorders>
              <w:top w:val="nil"/>
              <w:left w:val="nil"/>
              <w:bottom w:val="nil"/>
              <w:right w:val="nil"/>
            </w:tcBorders>
            <w:shd w:val="clear" w:color="auto" w:fill="auto"/>
            <w:noWrap/>
            <w:vAlign w:val="bottom"/>
            <w:hideMark/>
          </w:tcPr>
          <w:p w:rsidR="00392518" w:rsidRPr="00392518" w:rsidRDefault="00392518" w:rsidP="00392518">
            <w:pPr>
              <w:spacing w:after="0" w:line="240" w:lineRule="auto"/>
              <w:rPr>
                <w:rFonts w:ascii="Calibri" w:eastAsia="Times New Roman" w:hAnsi="Calibri" w:cs="Times New Roman"/>
                <w:color w:val="000000"/>
              </w:rPr>
            </w:pPr>
          </w:p>
        </w:tc>
        <w:tc>
          <w:tcPr>
            <w:tcW w:w="1347" w:type="dxa"/>
            <w:tcBorders>
              <w:top w:val="nil"/>
              <w:left w:val="nil"/>
              <w:bottom w:val="nil"/>
              <w:right w:val="nil"/>
            </w:tcBorders>
            <w:shd w:val="clear" w:color="auto" w:fill="auto"/>
            <w:noWrap/>
            <w:vAlign w:val="bottom"/>
            <w:hideMark/>
          </w:tcPr>
          <w:p w:rsidR="00392518" w:rsidRPr="00392518" w:rsidRDefault="00392518" w:rsidP="00392518">
            <w:pPr>
              <w:spacing w:after="0" w:line="240" w:lineRule="auto"/>
              <w:rPr>
                <w:rFonts w:ascii="Calibri" w:eastAsia="Times New Roman" w:hAnsi="Calibri" w:cs="Times New Roman"/>
                <w:color w:val="000000"/>
              </w:rPr>
            </w:pPr>
          </w:p>
        </w:tc>
        <w:tc>
          <w:tcPr>
            <w:tcW w:w="1210" w:type="dxa"/>
            <w:tcBorders>
              <w:top w:val="nil"/>
              <w:left w:val="nil"/>
              <w:bottom w:val="nil"/>
              <w:right w:val="nil"/>
            </w:tcBorders>
            <w:shd w:val="clear" w:color="auto" w:fill="auto"/>
            <w:noWrap/>
            <w:vAlign w:val="bottom"/>
            <w:hideMark/>
          </w:tcPr>
          <w:p w:rsidR="00392518" w:rsidRPr="00392518" w:rsidRDefault="00392518" w:rsidP="00392518">
            <w:pPr>
              <w:spacing w:after="0" w:line="240" w:lineRule="auto"/>
              <w:rPr>
                <w:rFonts w:ascii="Calibri" w:eastAsia="Times New Roman" w:hAnsi="Calibri" w:cs="Times New Roman"/>
                <w:color w:val="000000"/>
              </w:rPr>
            </w:pPr>
          </w:p>
        </w:tc>
      </w:tr>
      <w:tr w:rsidR="00392518" w:rsidRPr="00392518" w:rsidTr="000C3CBF">
        <w:trPr>
          <w:trHeight w:val="284"/>
        </w:trPr>
        <w:tc>
          <w:tcPr>
            <w:tcW w:w="3435" w:type="dxa"/>
            <w:gridSpan w:val="2"/>
            <w:tcBorders>
              <w:top w:val="nil"/>
              <w:left w:val="nil"/>
              <w:bottom w:val="nil"/>
              <w:right w:val="nil"/>
            </w:tcBorders>
            <w:shd w:val="clear" w:color="auto" w:fill="auto"/>
            <w:noWrap/>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ACP Arts and cultural production</w:t>
            </w:r>
          </w:p>
        </w:tc>
        <w:tc>
          <w:tcPr>
            <w:tcW w:w="1210" w:type="dxa"/>
            <w:tcBorders>
              <w:top w:val="nil"/>
              <w:left w:val="nil"/>
              <w:bottom w:val="nil"/>
              <w:right w:val="nil"/>
            </w:tcBorders>
            <w:shd w:val="clear" w:color="auto" w:fill="auto"/>
            <w:noWrap/>
            <w:vAlign w:val="bottom"/>
            <w:hideMark/>
          </w:tcPr>
          <w:p w:rsidR="00392518" w:rsidRPr="00392518" w:rsidRDefault="00392518" w:rsidP="00392518">
            <w:pPr>
              <w:spacing w:after="0" w:line="240" w:lineRule="auto"/>
              <w:rPr>
                <w:rFonts w:ascii="Calibri" w:eastAsia="Times New Roman" w:hAnsi="Calibri" w:cs="Times New Roman"/>
                <w:color w:val="000000"/>
              </w:rPr>
            </w:pPr>
          </w:p>
        </w:tc>
        <w:tc>
          <w:tcPr>
            <w:tcW w:w="254" w:type="dxa"/>
            <w:tcBorders>
              <w:top w:val="nil"/>
              <w:left w:val="nil"/>
              <w:bottom w:val="nil"/>
              <w:right w:val="nil"/>
            </w:tcBorders>
            <w:shd w:val="clear" w:color="auto" w:fill="auto"/>
            <w:noWrap/>
            <w:vAlign w:val="bottom"/>
            <w:hideMark/>
          </w:tcPr>
          <w:p w:rsidR="00392518" w:rsidRPr="00392518" w:rsidRDefault="00392518" w:rsidP="00392518">
            <w:pPr>
              <w:spacing w:after="0" w:line="240" w:lineRule="auto"/>
              <w:rPr>
                <w:rFonts w:ascii="Calibri" w:eastAsia="Times New Roman" w:hAnsi="Calibri" w:cs="Times New Roman"/>
                <w:color w:val="000000"/>
              </w:rPr>
            </w:pPr>
          </w:p>
        </w:tc>
        <w:tc>
          <w:tcPr>
            <w:tcW w:w="2088" w:type="dxa"/>
            <w:tcBorders>
              <w:top w:val="nil"/>
              <w:left w:val="nil"/>
              <w:bottom w:val="nil"/>
              <w:right w:val="nil"/>
            </w:tcBorders>
            <w:shd w:val="clear" w:color="auto" w:fill="auto"/>
            <w:noWrap/>
            <w:vAlign w:val="bottom"/>
            <w:hideMark/>
          </w:tcPr>
          <w:p w:rsidR="00392518" w:rsidRPr="00392518" w:rsidRDefault="00392518" w:rsidP="00392518">
            <w:pPr>
              <w:spacing w:after="0" w:line="240" w:lineRule="auto"/>
              <w:rPr>
                <w:rFonts w:ascii="Calibri" w:eastAsia="Times New Roman" w:hAnsi="Calibri" w:cs="Times New Roman"/>
                <w:color w:val="000000"/>
              </w:rPr>
            </w:pPr>
          </w:p>
        </w:tc>
        <w:tc>
          <w:tcPr>
            <w:tcW w:w="1347" w:type="dxa"/>
            <w:tcBorders>
              <w:top w:val="nil"/>
              <w:left w:val="nil"/>
              <w:bottom w:val="nil"/>
              <w:right w:val="nil"/>
            </w:tcBorders>
            <w:shd w:val="clear" w:color="auto" w:fill="auto"/>
            <w:noWrap/>
            <w:vAlign w:val="bottom"/>
            <w:hideMark/>
          </w:tcPr>
          <w:p w:rsidR="00392518" w:rsidRPr="00392518" w:rsidRDefault="00392518" w:rsidP="00392518">
            <w:pPr>
              <w:spacing w:after="0" w:line="240" w:lineRule="auto"/>
              <w:rPr>
                <w:rFonts w:ascii="Calibri" w:eastAsia="Times New Roman" w:hAnsi="Calibri" w:cs="Times New Roman"/>
                <w:color w:val="000000"/>
              </w:rPr>
            </w:pPr>
          </w:p>
        </w:tc>
        <w:tc>
          <w:tcPr>
            <w:tcW w:w="1210" w:type="dxa"/>
            <w:tcBorders>
              <w:top w:val="nil"/>
              <w:left w:val="nil"/>
              <w:bottom w:val="nil"/>
              <w:right w:val="nil"/>
            </w:tcBorders>
            <w:shd w:val="clear" w:color="auto" w:fill="auto"/>
            <w:noWrap/>
            <w:vAlign w:val="bottom"/>
            <w:hideMark/>
          </w:tcPr>
          <w:p w:rsidR="00392518" w:rsidRPr="00392518" w:rsidRDefault="00392518" w:rsidP="00392518">
            <w:pPr>
              <w:spacing w:after="0" w:line="240" w:lineRule="auto"/>
              <w:rPr>
                <w:rFonts w:ascii="Calibri" w:eastAsia="Times New Roman" w:hAnsi="Calibri" w:cs="Times New Roman"/>
                <w:color w:val="000000"/>
              </w:rPr>
            </w:pPr>
          </w:p>
        </w:tc>
      </w:tr>
      <w:tr w:rsidR="00392518" w:rsidRPr="00392518" w:rsidTr="000C3CBF">
        <w:trPr>
          <w:trHeight w:val="284"/>
        </w:trPr>
        <w:tc>
          <w:tcPr>
            <w:tcW w:w="2088" w:type="dxa"/>
            <w:tcBorders>
              <w:top w:val="nil"/>
              <w:left w:val="nil"/>
              <w:bottom w:val="nil"/>
              <w:right w:val="nil"/>
            </w:tcBorders>
            <w:shd w:val="clear" w:color="auto" w:fill="auto"/>
            <w:vAlign w:val="center"/>
            <w:hideMark/>
          </w:tcPr>
          <w:p w:rsidR="00392518" w:rsidRPr="00392518" w:rsidRDefault="00392518" w:rsidP="00392518">
            <w:pPr>
              <w:spacing w:after="0" w:line="240" w:lineRule="auto"/>
              <w:rPr>
                <w:rFonts w:ascii="Calibri" w:eastAsia="Times New Roman" w:hAnsi="Calibri" w:cs="Times New Roman"/>
                <w:color w:val="000000"/>
                <w:sz w:val="24"/>
                <w:szCs w:val="24"/>
              </w:rPr>
            </w:pPr>
            <w:r w:rsidRPr="00392518">
              <w:rPr>
                <w:rFonts w:ascii="Calibri" w:eastAsia="Times New Roman" w:hAnsi="Calibri" w:cs="Times New Roman"/>
                <w:color w:val="000000"/>
                <w:sz w:val="24"/>
                <w:szCs w:val="24"/>
              </w:rPr>
              <w:t>* Includes sports.</w:t>
            </w:r>
          </w:p>
        </w:tc>
        <w:tc>
          <w:tcPr>
            <w:tcW w:w="1347" w:type="dxa"/>
            <w:tcBorders>
              <w:top w:val="nil"/>
              <w:left w:val="nil"/>
              <w:bottom w:val="nil"/>
              <w:right w:val="nil"/>
            </w:tcBorders>
            <w:shd w:val="clear" w:color="auto" w:fill="auto"/>
            <w:noWrap/>
            <w:vAlign w:val="bottom"/>
            <w:hideMark/>
          </w:tcPr>
          <w:p w:rsidR="00392518" w:rsidRPr="00392518" w:rsidRDefault="00392518" w:rsidP="00392518">
            <w:pPr>
              <w:spacing w:after="0" w:line="240" w:lineRule="auto"/>
              <w:rPr>
                <w:rFonts w:ascii="Calibri" w:eastAsia="Times New Roman" w:hAnsi="Calibri" w:cs="Times New Roman"/>
                <w:color w:val="000000"/>
              </w:rPr>
            </w:pPr>
          </w:p>
        </w:tc>
        <w:tc>
          <w:tcPr>
            <w:tcW w:w="1210" w:type="dxa"/>
            <w:tcBorders>
              <w:top w:val="nil"/>
              <w:left w:val="nil"/>
              <w:bottom w:val="nil"/>
              <w:right w:val="nil"/>
            </w:tcBorders>
            <w:shd w:val="clear" w:color="auto" w:fill="auto"/>
            <w:noWrap/>
            <w:vAlign w:val="bottom"/>
            <w:hideMark/>
          </w:tcPr>
          <w:p w:rsidR="00392518" w:rsidRPr="00392518" w:rsidRDefault="00392518" w:rsidP="00392518">
            <w:pPr>
              <w:spacing w:after="0" w:line="240" w:lineRule="auto"/>
              <w:rPr>
                <w:rFonts w:ascii="Calibri" w:eastAsia="Times New Roman" w:hAnsi="Calibri" w:cs="Times New Roman"/>
                <w:color w:val="000000"/>
              </w:rPr>
            </w:pPr>
          </w:p>
        </w:tc>
        <w:tc>
          <w:tcPr>
            <w:tcW w:w="254" w:type="dxa"/>
            <w:tcBorders>
              <w:top w:val="nil"/>
              <w:left w:val="nil"/>
              <w:bottom w:val="nil"/>
              <w:right w:val="nil"/>
            </w:tcBorders>
            <w:shd w:val="clear" w:color="auto" w:fill="auto"/>
            <w:noWrap/>
            <w:vAlign w:val="bottom"/>
            <w:hideMark/>
          </w:tcPr>
          <w:p w:rsidR="00392518" w:rsidRPr="00392518" w:rsidRDefault="00392518" w:rsidP="00392518">
            <w:pPr>
              <w:spacing w:after="0" w:line="240" w:lineRule="auto"/>
              <w:rPr>
                <w:rFonts w:ascii="Calibri" w:eastAsia="Times New Roman" w:hAnsi="Calibri" w:cs="Times New Roman"/>
                <w:color w:val="000000"/>
              </w:rPr>
            </w:pPr>
          </w:p>
        </w:tc>
        <w:tc>
          <w:tcPr>
            <w:tcW w:w="2088" w:type="dxa"/>
            <w:tcBorders>
              <w:top w:val="nil"/>
              <w:left w:val="nil"/>
              <w:bottom w:val="nil"/>
              <w:right w:val="nil"/>
            </w:tcBorders>
            <w:shd w:val="clear" w:color="auto" w:fill="auto"/>
            <w:noWrap/>
            <w:vAlign w:val="bottom"/>
            <w:hideMark/>
          </w:tcPr>
          <w:p w:rsidR="00392518" w:rsidRPr="00392518" w:rsidRDefault="00392518" w:rsidP="00392518">
            <w:pPr>
              <w:spacing w:after="0" w:line="240" w:lineRule="auto"/>
              <w:rPr>
                <w:rFonts w:ascii="Calibri" w:eastAsia="Times New Roman" w:hAnsi="Calibri" w:cs="Times New Roman"/>
                <w:color w:val="000000"/>
              </w:rPr>
            </w:pPr>
          </w:p>
        </w:tc>
        <w:tc>
          <w:tcPr>
            <w:tcW w:w="1347" w:type="dxa"/>
            <w:tcBorders>
              <w:top w:val="nil"/>
              <w:left w:val="nil"/>
              <w:bottom w:val="nil"/>
              <w:right w:val="nil"/>
            </w:tcBorders>
            <w:shd w:val="clear" w:color="auto" w:fill="auto"/>
            <w:noWrap/>
            <w:vAlign w:val="bottom"/>
            <w:hideMark/>
          </w:tcPr>
          <w:p w:rsidR="00392518" w:rsidRPr="00392518" w:rsidRDefault="00392518" w:rsidP="00392518">
            <w:pPr>
              <w:spacing w:after="0" w:line="240" w:lineRule="auto"/>
              <w:rPr>
                <w:rFonts w:ascii="Calibri" w:eastAsia="Times New Roman" w:hAnsi="Calibri" w:cs="Times New Roman"/>
                <w:color w:val="000000"/>
              </w:rPr>
            </w:pPr>
          </w:p>
        </w:tc>
        <w:tc>
          <w:tcPr>
            <w:tcW w:w="1210" w:type="dxa"/>
            <w:tcBorders>
              <w:top w:val="nil"/>
              <w:left w:val="nil"/>
              <w:bottom w:val="nil"/>
              <w:right w:val="nil"/>
            </w:tcBorders>
            <w:shd w:val="clear" w:color="auto" w:fill="auto"/>
            <w:noWrap/>
            <w:vAlign w:val="bottom"/>
            <w:hideMark/>
          </w:tcPr>
          <w:p w:rsidR="00392518" w:rsidRPr="00392518" w:rsidRDefault="00392518" w:rsidP="00392518">
            <w:pPr>
              <w:spacing w:after="0" w:line="240" w:lineRule="auto"/>
              <w:rPr>
                <w:rFonts w:ascii="Calibri" w:eastAsia="Times New Roman" w:hAnsi="Calibri" w:cs="Times New Roman"/>
                <w:color w:val="000000"/>
              </w:rPr>
            </w:pPr>
          </w:p>
        </w:tc>
      </w:tr>
    </w:tbl>
    <w:p w:rsidR="00B01147" w:rsidRDefault="00B01147" w:rsidP="00AF44E8">
      <w:pPr>
        <w:jc w:val="center"/>
        <w:rPr>
          <w:sz w:val="24"/>
          <w:szCs w:val="24"/>
        </w:rPr>
      </w:pPr>
      <w:r>
        <w:rPr>
          <w:sz w:val="24"/>
          <w:szCs w:val="24"/>
        </w:rPr>
        <w:br w:type="page"/>
      </w:r>
      <w:r w:rsidRPr="00B01147">
        <w:rPr>
          <w:noProof/>
          <w:sz w:val="24"/>
          <w:szCs w:val="24"/>
        </w:rPr>
        <w:lastRenderedPageBreak/>
        <w:t xml:space="preserve">Figure </w:t>
      </w:r>
      <w:r w:rsidR="0041524D">
        <w:rPr>
          <w:noProof/>
          <w:sz w:val="24"/>
          <w:szCs w:val="24"/>
        </w:rPr>
        <w:t>A</w:t>
      </w:r>
      <w:r w:rsidRPr="00B01147">
        <w:rPr>
          <w:noProof/>
          <w:sz w:val="24"/>
          <w:szCs w:val="24"/>
        </w:rPr>
        <w:t>. The concentric circles model of the cultural industries</w:t>
      </w:r>
    </w:p>
    <w:p w:rsidR="00C52DA0" w:rsidRPr="00A260FB" w:rsidRDefault="00B01147" w:rsidP="00726D77">
      <w:pPr>
        <w:rPr>
          <w:sz w:val="24"/>
          <w:szCs w:val="24"/>
        </w:rPr>
      </w:pPr>
      <w:r>
        <w:rPr>
          <w:noProof/>
          <w:sz w:val="24"/>
          <w:szCs w:val="24"/>
        </w:rPr>
        <w:drawing>
          <wp:inline distT="0" distB="0" distL="0" distR="0" wp14:anchorId="419E3695" wp14:editId="6DA0C84B">
            <wp:extent cx="7818120" cy="52808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820776" cy="5282649"/>
                    </a:xfrm>
                    <a:prstGeom prst="rect">
                      <a:avLst/>
                    </a:prstGeom>
                    <a:noFill/>
                    <a:ln>
                      <a:noFill/>
                    </a:ln>
                  </pic:spPr>
                </pic:pic>
              </a:graphicData>
            </a:graphic>
          </wp:inline>
        </w:drawing>
      </w:r>
    </w:p>
    <w:sectPr w:rsidR="00C52DA0" w:rsidRPr="00A260FB" w:rsidSect="00991DC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013" w:rsidRDefault="00C03013" w:rsidP="00992BD2">
      <w:pPr>
        <w:spacing w:after="0" w:line="240" w:lineRule="auto"/>
      </w:pPr>
      <w:r>
        <w:separator/>
      </w:r>
    </w:p>
  </w:endnote>
  <w:endnote w:type="continuationSeparator" w:id="0">
    <w:p w:rsidR="00C03013" w:rsidRDefault="00C03013" w:rsidP="00992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475" w:rsidRDefault="00CA04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154996"/>
      <w:docPartObj>
        <w:docPartGallery w:val="Page Numbers (Bottom of Page)"/>
        <w:docPartUnique/>
      </w:docPartObj>
    </w:sdtPr>
    <w:sdtEndPr>
      <w:rPr>
        <w:noProof/>
      </w:rPr>
    </w:sdtEndPr>
    <w:sdtContent>
      <w:p w:rsidR="00CA0475" w:rsidRDefault="00CA0475">
        <w:pPr>
          <w:pStyle w:val="Footer"/>
          <w:jc w:val="right"/>
        </w:pPr>
        <w:r>
          <w:fldChar w:fldCharType="begin"/>
        </w:r>
        <w:r>
          <w:instrText xml:space="preserve"> PAGE   \* MERGEFORMAT </w:instrText>
        </w:r>
        <w:r>
          <w:fldChar w:fldCharType="separate"/>
        </w:r>
        <w:r w:rsidR="00C84B49">
          <w:rPr>
            <w:noProof/>
          </w:rPr>
          <w:t>1</w:t>
        </w:r>
        <w:r>
          <w:rPr>
            <w:noProof/>
          </w:rPr>
          <w:fldChar w:fldCharType="end"/>
        </w:r>
      </w:p>
    </w:sdtContent>
  </w:sdt>
  <w:p w:rsidR="00CA0475" w:rsidRDefault="00CA04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475" w:rsidRDefault="00CA04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013" w:rsidRDefault="00C03013" w:rsidP="00992BD2">
      <w:pPr>
        <w:spacing w:after="0" w:line="240" w:lineRule="auto"/>
      </w:pPr>
      <w:r>
        <w:separator/>
      </w:r>
    </w:p>
  </w:footnote>
  <w:footnote w:type="continuationSeparator" w:id="0">
    <w:p w:rsidR="00C03013" w:rsidRDefault="00C03013" w:rsidP="00992BD2">
      <w:pPr>
        <w:spacing w:after="0" w:line="240" w:lineRule="auto"/>
      </w:pPr>
      <w:r>
        <w:continuationSeparator/>
      </w:r>
    </w:p>
  </w:footnote>
  <w:footnote w:id="1">
    <w:p w:rsidR="00CA0475" w:rsidRDefault="00CA0475" w:rsidP="00A80F81">
      <w:pPr>
        <w:pStyle w:val="FootnoteText"/>
      </w:pPr>
      <w:r>
        <w:rPr>
          <w:rStyle w:val="FootnoteReference"/>
        </w:rPr>
        <w:footnoteRef/>
      </w:r>
      <w:r>
        <w:t xml:space="preserve"> For additional details, see Carol S. Carson, Bruce T. Grimm, and Carol E. Moylan, “</w:t>
      </w:r>
      <w:r w:rsidRPr="00A80F81">
        <w:t>A Satellite Account for Research and Development</w:t>
      </w:r>
      <w:r>
        <w:t>,” Survey of Current Business 74 (November 1994): 37-60.</w:t>
      </w:r>
    </w:p>
  </w:footnote>
  <w:footnote w:id="2">
    <w:p w:rsidR="00CA0475" w:rsidRDefault="00CA0475">
      <w:pPr>
        <w:pStyle w:val="FootnoteText"/>
      </w:pPr>
      <w:r>
        <w:rPr>
          <w:rStyle w:val="FootnoteReference"/>
        </w:rPr>
        <w:footnoteRef/>
      </w:r>
      <w:r>
        <w:t xml:space="preserve"> For transportation, this was particularly useful because transportation services are often treated as auxiliary services.</w:t>
      </w:r>
    </w:p>
  </w:footnote>
  <w:footnote w:id="3">
    <w:p w:rsidR="00CA0475" w:rsidRDefault="00CA0475" w:rsidP="002A48F3">
      <w:pPr>
        <w:pStyle w:val="FootnoteText"/>
      </w:pPr>
      <w:r>
        <w:rPr>
          <w:rStyle w:val="FootnoteReference"/>
        </w:rPr>
        <w:footnoteRef/>
      </w:r>
      <w:r>
        <w:t xml:space="preserve"> David Throsby (2008) The Concentric Circles model of the Cultural Industries, Cultural Trends, 17:3 147-164, DOI: 10.1080 / 09548960802361951</w:t>
      </w:r>
    </w:p>
  </w:footnote>
  <w:footnote w:id="4">
    <w:p w:rsidR="00CA0475" w:rsidRDefault="00CA0475">
      <w:pPr>
        <w:pStyle w:val="FootnoteText"/>
      </w:pPr>
      <w:r>
        <w:rPr>
          <w:rStyle w:val="FootnoteReference"/>
        </w:rPr>
        <w:footnoteRef/>
      </w:r>
      <w:r>
        <w:t xml:space="preserve"> </w:t>
      </w:r>
      <w:r w:rsidRPr="00870CEA">
        <w:t>For the purposes of the U.S. ACPSA</w:t>
      </w:r>
      <w:r>
        <w:t xml:space="preserve"> </w:t>
      </w:r>
      <w:r w:rsidRPr="00870CEA">
        <w:t>all sports were excluded wherever possible.</w:t>
      </w:r>
    </w:p>
  </w:footnote>
  <w:footnote w:id="5">
    <w:p w:rsidR="00CA0475" w:rsidRDefault="00CA0475">
      <w:pPr>
        <w:pStyle w:val="FootnoteText"/>
      </w:pPr>
      <w:r>
        <w:rPr>
          <w:rStyle w:val="FootnoteReference"/>
        </w:rPr>
        <w:footnoteRef/>
      </w:r>
      <w:r>
        <w:t xml:space="preserve"> Estimates presented in table B reflect aggregations of detailed items, in which the ratio between intermediate consumption and total output exactly matches between the total and the ACPSA portion of the industry.</w:t>
      </w:r>
    </w:p>
  </w:footnote>
  <w:footnote w:id="6">
    <w:p w:rsidR="00CA0475" w:rsidRDefault="00CA0475">
      <w:pPr>
        <w:pStyle w:val="FootnoteText"/>
      </w:pPr>
      <w:r>
        <w:rPr>
          <w:rStyle w:val="FootnoteReference"/>
        </w:rPr>
        <w:footnoteRef/>
      </w:r>
      <w:r>
        <w:t xml:space="preserve"> For additional information on total requirements, see </w:t>
      </w:r>
      <w:r w:rsidRPr="00D86FDA">
        <w:t xml:space="preserve">Karen J. Horowitz and Mark A. Planting, </w:t>
      </w:r>
      <w:r>
        <w:t>“</w:t>
      </w:r>
      <w:r w:rsidRPr="00D86FDA">
        <w:t>Concepts and Methods of the U.S. Input-Output Accounts</w:t>
      </w:r>
      <w:r>
        <w:t>,”</w:t>
      </w:r>
      <w:r w:rsidRPr="00D86FDA">
        <w:t xml:space="preserve"> (2006) at www.bea.gov</w:t>
      </w:r>
      <w:r>
        <w:t>.</w:t>
      </w:r>
    </w:p>
  </w:footnote>
  <w:footnote w:id="7">
    <w:p w:rsidR="00CA0475" w:rsidRDefault="00CA0475" w:rsidP="00C07588">
      <w:pPr>
        <w:pStyle w:val="FootnoteText"/>
      </w:pPr>
      <w:r>
        <w:rPr>
          <w:rStyle w:val="FootnoteReference"/>
        </w:rPr>
        <w:footnoteRef/>
      </w:r>
      <w:r>
        <w:t xml:space="preserve"> For additional information on BEAs Regional Input-Output Modeling System, see “RIMS II User Guide,” at </w:t>
      </w:r>
      <w:r w:rsidRPr="00D86FDA">
        <w:t>www.bea.gov/regional/rims/</w:t>
      </w:r>
      <w:r>
        <w:t xml:space="preserve">.  </w:t>
      </w:r>
    </w:p>
  </w:footnote>
  <w:footnote w:id="8">
    <w:p w:rsidR="00CA0475" w:rsidRDefault="00CA0475" w:rsidP="00693271">
      <w:pPr>
        <w:pStyle w:val="FootnoteText"/>
      </w:pPr>
      <w:r>
        <w:rPr>
          <w:rStyle w:val="FootnoteReference"/>
        </w:rPr>
        <w:footnoteRef/>
      </w:r>
      <w:r>
        <w:t xml:space="preserve"> </w:t>
      </w:r>
      <w:r w:rsidRPr="00D86FDA">
        <w:t xml:space="preserve">For additional details, see </w:t>
      </w:r>
      <w:r>
        <w:t xml:space="preserve">Donald D. Kim, Erich H. Strassner, and David B. Wasshausen, </w:t>
      </w:r>
      <w:r w:rsidRPr="00D86FDA">
        <w:t>“</w:t>
      </w:r>
      <w:r>
        <w:t xml:space="preserve">Industry Economic Accounts:  Results of the Comprehensive Revision, Revised Statistics for 1997-2012,” </w:t>
      </w:r>
      <w:r w:rsidRPr="00D86FDA">
        <w:t xml:space="preserve">Survey of Current Business </w:t>
      </w:r>
      <w:r>
        <w:t>9</w:t>
      </w:r>
      <w:r w:rsidRPr="00D86FDA">
        <w:t>4 (</w:t>
      </w:r>
      <w:r>
        <w:t>February 2014)</w:t>
      </w:r>
      <w:r w:rsidRPr="00D86FDA">
        <w:t xml:space="preserve">: </w:t>
      </w:r>
      <w:r>
        <w:t>1-18</w:t>
      </w:r>
      <w:r w:rsidRPr="00D86FDA">
        <w:t>.</w:t>
      </w:r>
    </w:p>
  </w:footnote>
  <w:footnote w:id="9">
    <w:p w:rsidR="00CA0475" w:rsidRDefault="00CA0475">
      <w:pPr>
        <w:pStyle w:val="FootnoteText"/>
      </w:pPr>
      <w:r>
        <w:rPr>
          <w:rStyle w:val="FootnoteReference"/>
        </w:rPr>
        <w:footnoteRef/>
      </w:r>
      <w:r>
        <w:t xml:space="preserve"> A</w:t>
      </w:r>
      <w:r w:rsidRPr="00B53A07">
        <w:t>dditional details regarding the composition of each of these categories may be found here http://www.census.gov/eos/www/naics/index.html.</w:t>
      </w:r>
    </w:p>
  </w:footnote>
  <w:footnote w:id="10">
    <w:p w:rsidR="00CA0475" w:rsidRDefault="00CA0475">
      <w:pPr>
        <w:pStyle w:val="FootnoteText"/>
      </w:pPr>
      <w:r>
        <w:rPr>
          <w:rStyle w:val="FootnoteReference"/>
        </w:rPr>
        <w:footnoteRef/>
      </w:r>
      <w:r>
        <w:t xml:space="preserve"> Construction for ACP-type buildings includes all construction that may</w:t>
      </w:r>
      <w:r w:rsidRPr="002A6CE7">
        <w:rPr>
          <w:i/>
        </w:rPr>
        <w:t xml:space="preserve"> </w:t>
      </w:r>
      <w:r>
        <w:t>or may not be ACP-specific.  For example, the construction of educational buildings will include both ACP and non-ACP construction.  Shares were developed to identify these partials and are described in more detail in step three of the methodology section.</w:t>
      </w:r>
    </w:p>
  </w:footnote>
  <w:footnote w:id="11">
    <w:p w:rsidR="00CA0475" w:rsidRDefault="00CA0475" w:rsidP="00CC352F">
      <w:pPr>
        <w:pStyle w:val="FootnoteText"/>
      </w:pPr>
      <w:r>
        <w:rPr>
          <w:rStyle w:val="FootnoteReference"/>
        </w:rPr>
        <w:footnoteRef/>
      </w:r>
      <w:r>
        <w:t xml:space="preserve"> Estimates of tourism are guided by the United Nations World Tourism Organization (UNWTO) headquartered in Madrid, Spain.  The UNWTO publishes the International Recommendation on Tourism Statistics (IRTS) and organizes conferences to usher into existence harmonized statistics in the field.  For more information, see </w:t>
      </w:r>
      <w:hyperlink r:id="rId1" w:history="1">
        <w:r w:rsidRPr="004C59F8">
          <w:rPr>
            <w:rStyle w:val="Hyperlink"/>
          </w:rPr>
          <w:t>http://www2.unwto.org</w:t>
        </w:r>
      </w:hyperlink>
      <w:r>
        <w:rPr>
          <w:rStyle w:val="Hyperlink"/>
        </w:rPr>
        <w:t xml:space="preserve">. </w:t>
      </w:r>
      <w:r>
        <w:t xml:space="preserve">   </w:t>
      </w:r>
    </w:p>
  </w:footnote>
  <w:footnote w:id="12">
    <w:p w:rsidR="00CA0475" w:rsidRDefault="00CA0475" w:rsidP="00E2472B">
      <w:pPr>
        <w:pStyle w:val="FootnoteText"/>
      </w:pPr>
      <w:r>
        <w:rPr>
          <w:rStyle w:val="FootnoteReference"/>
        </w:rPr>
        <w:footnoteRef/>
      </w:r>
      <w:r>
        <w:t xml:space="preserve"> For more information on the capitalization of artistic originals, see Rachel H. Soloveichik, “Research spotlight – Artistic Originals as Capital Assets,” Survey 91 (June 2011): 43-51.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475" w:rsidRDefault="00CA04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475" w:rsidRDefault="00CA04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475" w:rsidRDefault="00CA04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C0E9E"/>
    <w:multiLevelType w:val="hybridMultilevel"/>
    <w:tmpl w:val="00306B08"/>
    <w:lvl w:ilvl="0" w:tplc="9786936A">
      <w:start w:val="1"/>
      <w:numFmt w:val="bullet"/>
      <w:lvlText w:val="•"/>
      <w:lvlJc w:val="left"/>
      <w:pPr>
        <w:tabs>
          <w:tab w:val="num" w:pos="720"/>
        </w:tabs>
        <w:ind w:left="720" w:hanging="360"/>
      </w:pPr>
      <w:rPr>
        <w:rFonts w:ascii="Arial" w:hAnsi="Arial" w:hint="default"/>
      </w:rPr>
    </w:lvl>
    <w:lvl w:ilvl="1" w:tplc="E0FE2554" w:tentative="1">
      <w:start w:val="1"/>
      <w:numFmt w:val="bullet"/>
      <w:lvlText w:val="•"/>
      <w:lvlJc w:val="left"/>
      <w:pPr>
        <w:tabs>
          <w:tab w:val="num" w:pos="1440"/>
        </w:tabs>
        <w:ind w:left="1440" w:hanging="360"/>
      </w:pPr>
      <w:rPr>
        <w:rFonts w:ascii="Arial" w:hAnsi="Arial" w:hint="default"/>
      </w:rPr>
    </w:lvl>
    <w:lvl w:ilvl="2" w:tplc="62142EC8" w:tentative="1">
      <w:start w:val="1"/>
      <w:numFmt w:val="bullet"/>
      <w:lvlText w:val="•"/>
      <w:lvlJc w:val="left"/>
      <w:pPr>
        <w:tabs>
          <w:tab w:val="num" w:pos="2160"/>
        </w:tabs>
        <w:ind w:left="2160" w:hanging="360"/>
      </w:pPr>
      <w:rPr>
        <w:rFonts w:ascii="Arial" w:hAnsi="Arial" w:hint="default"/>
      </w:rPr>
    </w:lvl>
    <w:lvl w:ilvl="3" w:tplc="F7A62FEC" w:tentative="1">
      <w:start w:val="1"/>
      <w:numFmt w:val="bullet"/>
      <w:lvlText w:val="•"/>
      <w:lvlJc w:val="left"/>
      <w:pPr>
        <w:tabs>
          <w:tab w:val="num" w:pos="2880"/>
        </w:tabs>
        <w:ind w:left="2880" w:hanging="360"/>
      </w:pPr>
      <w:rPr>
        <w:rFonts w:ascii="Arial" w:hAnsi="Arial" w:hint="default"/>
      </w:rPr>
    </w:lvl>
    <w:lvl w:ilvl="4" w:tplc="E2AA40D0" w:tentative="1">
      <w:start w:val="1"/>
      <w:numFmt w:val="bullet"/>
      <w:lvlText w:val="•"/>
      <w:lvlJc w:val="left"/>
      <w:pPr>
        <w:tabs>
          <w:tab w:val="num" w:pos="3600"/>
        </w:tabs>
        <w:ind w:left="3600" w:hanging="360"/>
      </w:pPr>
      <w:rPr>
        <w:rFonts w:ascii="Arial" w:hAnsi="Arial" w:hint="default"/>
      </w:rPr>
    </w:lvl>
    <w:lvl w:ilvl="5" w:tplc="DC54250C" w:tentative="1">
      <w:start w:val="1"/>
      <w:numFmt w:val="bullet"/>
      <w:lvlText w:val="•"/>
      <w:lvlJc w:val="left"/>
      <w:pPr>
        <w:tabs>
          <w:tab w:val="num" w:pos="4320"/>
        </w:tabs>
        <w:ind w:left="4320" w:hanging="360"/>
      </w:pPr>
      <w:rPr>
        <w:rFonts w:ascii="Arial" w:hAnsi="Arial" w:hint="default"/>
      </w:rPr>
    </w:lvl>
    <w:lvl w:ilvl="6" w:tplc="BA689B78" w:tentative="1">
      <w:start w:val="1"/>
      <w:numFmt w:val="bullet"/>
      <w:lvlText w:val="•"/>
      <w:lvlJc w:val="left"/>
      <w:pPr>
        <w:tabs>
          <w:tab w:val="num" w:pos="5040"/>
        </w:tabs>
        <w:ind w:left="5040" w:hanging="360"/>
      </w:pPr>
      <w:rPr>
        <w:rFonts w:ascii="Arial" w:hAnsi="Arial" w:hint="default"/>
      </w:rPr>
    </w:lvl>
    <w:lvl w:ilvl="7" w:tplc="F0FEF810" w:tentative="1">
      <w:start w:val="1"/>
      <w:numFmt w:val="bullet"/>
      <w:lvlText w:val="•"/>
      <w:lvlJc w:val="left"/>
      <w:pPr>
        <w:tabs>
          <w:tab w:val="num" w:pos="5760"/>
        </w:tabs>
        <w:ind w:left="5760" w:hanging="360"/>
      </w:pPr>
      <w:rPr>
        <w:rFonts w:ascii="Arial" w:hAnsi="Arial" w:hint="default"/>
      </w:rPr>
    </w:lvl>
    <w:lvl w:ilvl="8" w:tplc="FFC2728C" w:tentative="1">
      <w:start w:val="1"/>
      <w:numFmt w:val="bullet"/>
      <w:lvlText w:val="•"/>
      <w:lvlJc w:val="left"/>
      <w:pPr>
        <w:tabs>
          <w:tab w:val="num" w:pos="6480"/>
        </w:tabs>
        <w:ind w:left="6480" w:hanging="360"/>
      </w:pPr>
      <w:rPr>
        <w:rFonts w:ascii="Arial" w:hAnsi="Arial" w:hint="default"/>
      </w:rPr>
    </w:lvl>
  </w:abstractNum>
  <w:abstractNum w:abstractNumId="1">
    <w:nsid w:val="7ACC40F5"/>
    <w:multiLevelType w:val="hybridMultilevel"/>
    <w:tmpl w:val="6212BE5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D77"/>
    <w:rsid w:val="00023A20"/>
    <w:rsid w:val="000341ED"/>
    <w:rsid w:val="00056889"/>
    <w:rsid w:val="00061761"/>
    <w:rsid w:val="000653C9"/>
    <w:rsid w:val="00076F9B"/>
    <w:rsid w:val="000A5440"/>
    <w:rsid w:val="000B11A4"/>
    <w:rsid w:val="000B3DD2"/>
    <w:rsid w:val="000C3CBF"/>
    <w:rsid w:val="000D1978"/>
    <w:rsid w:val="000F2282"/>
    <w:rsid w:val="000F3D20"/>
    <w:rsid w:val="00106AC6"/>
    <w:rsid w:val="00115304"/>
    <w:rsid w:val="0012512A"/>
    <w:rsid w:val="001640D9"/>
    <w:rsid w:val="001703C8"/>
    <w:rsid w:val="00174952"/>
    <w:rsid w:val="001855A8"/>
    <w:rsid w:val="00193BB3"/>
    <w:rsid w:val="00193C35"/>
    <w:rsid w:val="001E7B8E"/>
    <w:rsid w:val="001F056D"/>
    <w:rsid w:val="001F20E2"/>
    <w:rsid w:val="002148AF"/>
    <w:rsid w:val="002175B2"/>
    <w:rsid w:val="0023616C"/>
    <w:rsid w:val="002378E1"/>
    <w:rsid w:val="00281EE2"/>
    <w:rsid w:val="002A48F3"/>
    <w:rsid w:val="002A6CE7"/>
    <w:rsid w:val="002B71BE"/>
    <w:rsid w:val="003001E7"/>
    <w:rsid w:val="00313460"/>
    <w:rsid w:val="00322645"/>
    <w:rsid w:val="00334277"/>
    <w:rsid w:val="003366EA"/>
    <w:rsid w:val="00341723"/>
    <w:rsid w:val="0035072D"/>
    <w:rsid w:val="00357719"/>
    <w:rsid w:val="00361EF4"/>
    <w:rsid w:val="003620CD"/>
    <w:rsid w:val="003673B6"/>
    <w:rsid w:val="003675C3"/>
    <w:rsid w:val="00370D52"/>
    <w:rsid w:val="00371AFA"/>
    <w:rsid w:val="00384DCD"/>
    <w:rsid w:val="00392518"/>
    <w:rsid w:val="00396863"/>
    <w:rsid w:val="003A1155"/>
    <w:rsid w:val="003A5E68"/>
    <w:rsid w:val="003C73B6"/>
    <w:rsid w:val="003D07A9"/>
    <w:rsid w:val="003E4381"/>
    <w:rsid w:val="003F186A"/>
    <w:rsid w:val="003F2434"/>
    <w:rsid w:val="003F2A66"/>
    <w:rsid w:val="003F6F34"/>
    <w:rsid w:val="00410731"/>
    <w:rsid w:val="0041259D"/>
    <w:rsid w:val="004129BE"/>
    <w:rsid w:val="0041524D"/>
    <w:rsid w:val="0043672C"/>
    <w:rsid w:val="00443238"/>
    <w:rsid w:val="00452646"/>
    <w:rsid w:val="00453697"/>
    <w:rsid w:val="0045670B"/>
    <w:rsid w:val="00457194"/>
    <w:rsid w:val="00463EE9"/>
    <w:rsid w:val="004712F9"/>
    <w:rsid w:val="00486A1B"/>
    <w:rsid w:val="00492406"/>
    <w:rsid w:val="004A6C1D"/>
    <w:rsid w:val="004B1AB5"/>
    <w:rsid w:val="004B2FEF"/>
    <w:rsid w:val="004B31B5"/>
    <w:rsid w:val="004B4388"/>
    <w:rsid w:val="004B4F98"/>
    <w:rsid w:val="004D18B5"/>
    <w:rsid w:val="004E3E32"/>
    <w:rsid w:val="004E5B64"/>
    <w:rsid w:val="004F712D"/>
    <w:rsid w:val="00502B22"/>
    <w:rsid w:val="0054188C"/>
    <w:rsid w:val="00543902"/>
    <w:rsid w:val="005569C8"/>
    <w:rsid w:val="00565509"/>
    <w:rsid w:val="00585211"/>
    <w:rsid w:val="005A2B4D"/>
    <w:rsid w:val="005A4836"/>
    <w:rsid w:val="005B30EE"/>
    <w:rsid w:val="005B5F4E"/>
    <w:rsid w:val="005B6005"/>
    <w:rsid w:val="005C26DD"/>
    <w:rsid w:val="005D195A"/>
    <w:rsid w:val="005D2295"/>
    <w:rsid w:val="005E2F7F"/>
    <w:rsid w:val="005F2760"/>
    <w:rsid w:val="005F4E6A"/>
    <w:rsid w:val="00600BE2"/>
    <w:rsid w:val="00605913"/>
    <w:rsid w:val="00633329"/>
    <w:rsid w:val="00637913"/>
    <w:rsid w:val="006650CD"/>
    <w:rsid w:val="006768E9"/>
    <w:rsid w:val="0069215D"/>
    <w:rsid w:val="00693271"/>
    <w:rsid w:val="006B1C82"/>
    <w:rsid w:val="006B359D"/>
    <w:rsid w:val="006C4DCE"/>
    <w:rsid w:val="006D042E"/>
    <w:rsid w:val="006D2D8C"/>
    <w:rsid w:val="006F4114"/>
    <w:rsid w:val="00700021"/>
    <w:rsid w:val="00704685"/>
    <w:rsid w:val="007050AF"/>
    <w:rsid w:val="007131D7"/>
    <w:rsid w:val="00725143"/>
    <w:rsid w:val="0072543E"/>
    <w:rsid w:val="00726D77"/>
    <w:rsid w:val="00730A6B"/>
    <w:rsid w:val="00780C1F"/>
    <w:rsid w:val="007830ED"/>
    <w:rsid w:val="00791BD3"/>
    <w:rsid w:val="007A2EA5"/>
    <w:rsid w:val="007C6434"/>
    <w:rsid w:val="00803AEA"/>
    <w:rsid w:val="008318D0"/>
    <w:rsid w:val="0083653B"/>
    <w:rsid w:val="0086169A"/>
    <w:rsid w:val="00870CEA"/>
    <w:rsid w:val="00891F14"/>
    <w:rsid w:val="00897D1C"/>
    <w:rsid w:val="008A3B09"/>
    <w:rsid w:val="008E0CC1"/>
    <w:rsid w:val="008E2381"/>
    <w:rsid w:val="008F02EC"/>
    <w:rsid w:val="008F2186"/>
    <w:rsid w:val="00907743"/>
    <w:rsid w:val="00910693"/>
    <w:rsid w:val="00912048"/>
    <w:rsid w:val="00917A84"/>
    <w:rsid w:val="00933B04"/>
    <w:rsid w:val="009378C2"/>
    <w:rsid w:val="00941EF9"/>
    <w:rsid w:val="00956915"/>
    <w:rsid w:val="009625CC"/>
    <w:rsid w:val="00986147"/>
    <w:rsid w:val="00991DC7"/>
    <w:rsid w:val="00992BD2"/>
    <w:rsid w:val="009A1AEB"/>
    <w:rsid w:val="009C61AE"/>
    <w:rsid w:val="009C6B83"/>
    <w:rsid w:val="00A00429"/>
    <w:rsid w:val="00A00A34"/>
    <w:rsid w:val="00A156A0"/>
    <w:rsid w:val="00A15FF5"/>
    <w:rsid w:val="00A2073A"/>
    <w:rsid w:val="00A260FB"/>
    <w:rsid w:val="00A34758"/>
    <w:rsid w:val="00A42905"/>
    <w:rsid w:val="00A507C0"/>
    <w:rsid w:val="00A565AF"/>
    <w:rsid w:val="00A632C6"/>
    <w:rsid w:val="00A643F6"/>
    <w:rsid w:val="00A758C5"/>
    <w:rsid w:val="00A80F81"/>
    <w:rsid w:val="00A87ECD"/>
    <w:rsid w:val="00AC5085"/>
    <w:rsid w:val="00AD4B46"/>
    <w:rsid w:val="00AD4D63"/>
    <w:rsid w:val="00AD70ED"/>
    <w:rsid w:val="00AE76D5"/>
    <w:rsid w:val="00AF44E8"/>
    <w:rsid w:val="00B00453"/>
    <w:rsid w:val="00B01147"/>
    <w:rsid w:val="00B408DB"/>
    <w:rsid w:val="00B53A07"/>
    <w:rsid w:val="00B669DF"/>
    <w:rsid w:val="00B76B8E"/>
    <w:rsid w:val="00BD49AE"/>
    <w:rsid w:val="00BD5B72"/>
    <w:rsid w:val="00BD607A"/>
    <w:rsid w:val="00C03013"/>
    <w:rsid w:val="00C07588"/>
    <w:rsid w:val="00C10EF3"/>
    <w:rsid w:val="00C23448"/>
    <w:rsid w:val="00C26ACF"/>
    <w:rsid w:val="00C36FF1"/>
    <w:rsid w:val="00C42363"/>
    <w:rsid w:val="00C52DA0"/>
    <w:rsid w:val="00C76D12"/>
    <w:rsid w:val="00C83858"/>
    <w:rsid w:val="00C84B49"/>
    <w:rsid w:val="00CA0475"/>
    <w:rsid w:val="00CA1EBF"/>
    <w:rsid w:val="00CC352F"/>
    <w:rsid w:val="00CF305B"/>
    <w:rsid w:val="00CF54C5"/>
    <w:rsid w:val="00CF69D9"/>
    <w:rsid w:val="00CF7A1A"/>
    <w:rsid w:val="00D16EEA"/>
    <w:rsid w:val="00D20A14"/>
    <w:rsid w:val="00D2636A"/>
    <w:rsid w:val="00D3453A"/>
    <w:rsid w:val="00D51EC5"/>
    <w:rsid w:val="00D655D5"/>
    <w:rsid w:val="00D755F8"/>
    <w:rsid w:val="00D76E25"/>
    <w:rsid w:val="00D84A20"/>
    <w:rsid w:val="00D86FDA"/>
    <w:rsid w:val="00DA18E2"/>
    <w:rsid w:val="00DC2DE1"/>
    <w:rsid w:val="00DD1845"/>
    <w:rsid w:val="00DD46BB"/>
    <w:rsid w:val="00DE61D9"/>
    <w:rsid w:val="00DF4523"/>
    <w:rsid w:val="00E0635B"/>
    <w:rsid w:val="00E077BA"/>
    <w:rsid w:val="00E10395"/>
    <w:rsid w:val="00E11D6A"/>
    <w:rsid w:val="00E11D8A"/>
    <w:rsid w:val="00E23F1F"/>
    <w:rsid w:val="00E2472B"/>
    <w:rsid w:val="00E30458"/>
    <w:rsid w:val="00E32A68"/>
    <w:rsid w:val="00E36779"/>
    <w:rsid w:val="00E43D05"/>
    <w:rsid w:val="00E5254D"/>
    <w:rsid w:val="00E57B2F"/>
    <w:rsid w:val="00E80733"/>
    <w:rsid w:val="00E97ADF"/>
    <w:rsid w:val="00EB22D1"/>
    <w:rsid w:val="00EB63B6"/>
    <w:rsid w:val="00EC05DE"/>
    <w:rsid w:val="00EC4717"/>
    <w:rsid w:val="00EE12E3"/>
    <w:rsid w:val="00EE3677"/>
    <w:rsid w:val="00EE5C27"/>
    <w:rsid w:val="00EF75FE"/>
    <w:rsid w:val="00F057D5"/>
    <w:rsid w:val="00F26920"/>
    <w:rsid w:val="00F3565A"/>
    <w:rsid w:val="00F46497"/>
    <w:rsid w:val="00F520D5"/>
    <w:rsid w:val="00F544D4"/>
    <w:rsid w:val="00F5521C"/>
    <w:rsid w:val="00F57695"/>
    <w:rsid w:val="00F6329E"/>
    <w:rsid w:val="00F63F75"/>
    <w:rsid w:val="00F74A8A"/>
    <w:rsid w:val="00F83879"/>
    <w:rsid w:val="00FA6985"/>
    <w:rsid w:val="00FD3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D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92BD2"/>
    <w:pPr>
      <w:spacing w:after="0" w:line="240" w:lineRule="auto"/>
    </w:pPr>
    <w:rPr>
      <w:sz w:val="20"/>
      <w:szCs w:val="20"/>
    </w:rPr>
  </w:style>
  <w:style w:type="character" w:customStyle="1" w:styleId="FootnoteTextChar">
    <w:name w:val="Footnote Text Char"/>
    <w:basedOn w:val="DefaultParagraphFont"/>
    <w:link w:val="FootnoteText"/>
    <w:uiPriority w:val="99"/>
    <w:rsid w:val="00992BD2"/>
    <w:rPr>
      <w:sz w:val="20"/>
      <w:szCs w:val="20"/>
    </w:rPr>
  </w:style>
  <w:style w:type="character" w:styleId="FootnoteReference">
    <w:name w:val="footnote reference"/>
    <w:basedOn w:val="DefaultParagraphFont"/>
    <w:uiPriority w:val="99"/>
    <w:semiHidden/>
    <w:unhideWhenUsed/>
    <w:rsid w:val="00992BD2"/>
    <w:rPr>
      <w:vertAlign w:val="superscript"/>
    </w:rPr>
  </w:style>
  <w:style w:type="character" w:styleId="Hyperlink">
    <w:name w:val="Hyperlink"/>
    <w:basedOn w:val="DefaultParagraphFont"/>
    <w:uiPriority w:val="99"/>
    <w:unhideWhenUsed/>
    <w:rsid w:val="00A260FB"/>
    <w:rPr>
      <w:color w:val="0000FF" w:themeColor="hyperlink"/>
      <w:u w:val="single"/>
    </w:rPr>
  </w:style>
  <w:style w:type="paragraph" w:styleId="BalloonText">
    <w:name w:val="Balloon Text"/>
    <w:basedOn w:val="Normal"/>
    <w:link w:val="BalloonTextChar"/>
    <w:uiPriority w:val="99"/>
    <w:semiHidden/>
    <w:unhideWhenUsed/>
    <w:rsid w:val="00693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271"/>
    <w:rPr>
      <w:rFonts w:ascii="Tahoma" w:hAnsi="Tahoma" w:cs="Tahoma"/>
      <w:sz w:val="16"/>
      <w:szCs w:val="16"/>
    </w:rPr>
  </w:style>
  <w:style w:type="table" w:styleId="TableGrid">
    <w:name w:val="Table Grid"/>
    <w:basedOn w:val="TableNormal"/>
    <w:uiPriority w:val="59"/>
    <w:rsid w:val="00EE1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C4DCE"/>
    <w:rPr>
      <w:color w:val="800080" w:themeColor="followedHyperlink"/>
      <w:u w:val="single"/>
    </w:rPr>
  </w:style>
  <w:style w:type="character" w:styleId="CommentReference">
    <w:name w:val="annotation reference"/>
    <w:basedOn w:val="DefaultParagraphFont"/>
    <w:uiPriority w:val="99"/>
    <w:semiHidden/>
    <w:unhideWhenUsed/>
    <w:rsid w:val="0083653B"/>
    <w:rPr>
      <w:sz w:val="16"/>
      <w:szCs w:val="16"/>
    </w:rPr>
  </w:style>
  <w:style w:type="paragraph" w:styleId="CommentText">
    <w:name w:val="annotation text"/>
    <w:basedOn w:val="Normal"/>
    <w:link w:val="CommentTextChar"/>
    <w:uiPriority w:val="99"/>
    <w:semiHidden/>
    <w:unhideWhenUsed/>
    <w:rsid w:val="0083653B"/>
    <w:pPr>
      <w:spacing w:line="240" w:lineRule="auto"/>
    </w:pPr>
    <w:rPr>
      <w:sz w:val="20"/>
      <w:szCs w:val="20"/>
    </w:rPr>
  </w:style>
  <w:style w:type="character" w:customStyle="1" w:styleId="CommentTextChar">
    <w:name w:val="Comment Text Char"/>
    <w:basedOn w:val="DefaultParagraphFont"/>
    <w:link w:val="CommentText"/>
    <w:uiPriority w:val="99"/>
    <w:semiHidden/>
    <w:rsid w:val="0083653B"/>
    <w:rPr>
      <w:sz w:val="20"/>
      <w:szCs w:val="20"/>
    </w:rPr>
  </w:style>
  <w:style w:type="paragraph" w:styleId="CommentSubject">
    <w:name w:val="annotation subject"/>
    <w:basedOn w:val="CommentText"/>
    <w:next w:val="CommentText"/>
    <w:link w:val="CommentSubjectChar"/>
    <w:uiPriority w:val="99"/>
    <w:semiHidden/>
    <w:unhideWhenUsed/>
    <w:rsid w:val="0083653B"/>
    <w:rPr>
      <w:b/>
      <w:bCs/>
    </w:rPr>
  </w:style>
  <w:style w:type="character" w:customStyle="1" w:styleId="CommentSubjectChar">
    <w:name w:val="Comment Subject Char"/>
    <w:basedOn w:val="CommentTextChar"/>
    <w:link w:val="CommentSubject"/>
    <w:uiPriority w:val="99"/>
    <w:semiHidden/>
    <w:rsid w:val="0083653B"/>
    <w:rPr>
      <w:b/>
      <w:bCs/>
      <w:sz w:val="20"/>
      <w:szCs w:val="20"/>
    </w:rPr>
  </w:style>
  <w:style w:type="paragraph" w:styleId="Revision">
    <w:name w:val="Revision"/>
    <w:hidden/>
    <w:uiPriority w:val="99"/>
    <w:semiHidden/>
    <w:rsid w:val="0083653B"/>
    <w:pPr>
      <w:spacing w:after="0" w:line="240" w:lineRule="auto"/>
    </w:pPr>
  </w:style>
  <w:style w:type="paragraph" w:styleId="Header">
    <w:name w:val="header"/>
    <w:basedOn w:val="Normal"/>
    <w:link w:val="HeaderChar"/>
    <w:uiPriority w:val="99"/>
    <w:unhideWhenUsed/>
    <w:rsid w:val="000B3D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DD2"/>
  </w:style>
  <w:style w:type="paragraph" w:styleId="Footer">
    <w:name w:val="footer"/>
    <w:basedOn w:val="Normal"/>
    <w:link w:val="FooterChar"/>
    <w:uiPriority w:val="99"/>
    <w:unhideWhenUsed/>
    <w:rsid w:val="000B3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DD2"/>
  </w:style>
  <w:style w:type="paragraph" w:styleId="ListParagraph">
    <w:name w:val="List Paragraph"/>
    <w:basedOn w:val="Normal"/>
    <w:uiPriority w:val="34"/>
    <w:qFormat/>
    <w:rsid w:val="005A4836"/>
    <w:pPr>
      <w:spacing w:after="0" w:line="240" w:lineRule="auto"/>
      <w:ind w:left="720"/>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D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92BD2"/>
    <w:pPr>
      <w:spacing w:after="0" w:line="240" w:lineRule="auto"/>
    </w:pPr>
    <w:rPr>
      <w:sz w:val="20"/>
      <w:szCs w:val="20"/>
    </w:rPr>
  </w:style>
  <w:style w:type="character" w:customStyle="1" w:styleId="FootnoteTextChar">
    <w:name w:val="Footnote Text Char"/>
    <w:basedOn w:val="DefaultParagraphFont"/>
    <w:link w:val="FootnoteText"/>
    <w:uiPriority w:val="99"/>
    <w:rsid w:val="00992BD2"/>
    <w:rPr>
      <w:sz w:val="20"/>
      <w:szCs w:val="20"/>
    </w:rPr>
  </w:style>
  <w:style w:type="character" w:styleId="FootnoteReference">
    <w:name w:val="footnote reference"/>
    <w:basedOn w:val="DefaultParagraphFont"/>
    <w:uiPriority w:val="99"/>
    <w:semiHidden/>
    <w:unhideWhenUsed/>
    <w:rsid w:val="00992BD2"/>
    <w:rPr>
      <w:vertAlign w:val="superscript"/>
    </w:rPr>
  </w:style>
  <w:style w:type="character" w:styleId="Hyperlink">
    <w:name w:val="Hyperlink"/>
    <w:basedOn w:val="DefaultParagraphFont"/>
    <w:uiPriority w:val="99"/>
    <w:unhideWhenUsed/>
    <w:rsid w:val="00A260FB"/>
    <w:rPr>
      <w:color w:val="0000FF" w:themeColor="hyperlink"/>
      <w:u w:val="single"/>
    </w:rPr>
  </w:style>
  <w:style w:type="paragraph" w:styleId="BalloonText">
    <w:name w:val="Balloon Text"/>
    <w:basedOn w:val="Normal"/>
    <w:link w:val="BalloonTextChar"/>
    <w:uiPriority w:val="99"/>
    <w:semiHidden/>
    <w:unhideWhenUsed/>
    <w:rsid w:val="00693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271"/>
    <w:rPr>
      <w:rFonts w:ascii="Tahoma" w:hAnsi="Tahoma" w:cs="Tahoma"/>
      <w:sz w:val="16"/>
      <w:szCs w:val="16"/>
    </w:rPr>
  </w:style>
  <w:style w:type="table" w:styleId="TableGrid">
    <w:name w:val="Table Grid"/>
    <w:basedOn w:val="TableNormal"/>
    <w:uiPriority w:val="59"/>
    <w:rsid w:val="00EE1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C4DCE"/>
    <w:rPr>
      <w:color w:val="800080" w:themeColor="followedHyperlink"/>
      <w:u w:val="single"/>
    </w:rPr>
  </w:style>
  <w:style w:type="character" w:styleId="CommentReference">
    <w:name w:val="annotation reference"/>
    <w:basedOn w:val="DefaultParagraphFont"/>
    <w:uiPriority w:val="99"/>
    <w:semiHidden/>
    <w:unhideWhenUsed/>
    <w:rsid w:val="0083653B"/>
    <w:rPr>
      <w:sz w:val="16"/>
      <w:szCs w:val="16"/>
    </w:rPr>
  </w:style>
  <w:style w:type="paragraph" w:styleId="CommentText">
    <w:name w:val="annotation text"/>
    <w:basedOn w:val="Normal"/>
    <w:link w:val="CommentTextChar"/>
    <w:uiPriority w:val="99"/>
    <w:semiHidden/>
    <w:unhideWhenUsed/>
    <w:rsid w:val="0083653B"/>
    <w:pPr>
      <w:spacing w:line="240" w:lineRule="auto"/>
    </w:pPr>
    <w:rPr>
      <w:sz w:val="20"/>
      <w:szCs w:val="20"/>
    </w:rPr>
  </w:style>
  <w:style w:type="character" w:customStyle="1" w:styleId="CommentTextChar">
    <w:name w:val="Comment Text Char"/>
    <w:basedOn w:val="DefaultParagraphFont"/>
    <w:link w:val="CommentText"/>
    <w:uiPriority w:val="99"/>
    <w:semiHidden/>
    <w:rsid w:val="0083653B"/>
    <w:rPr>
      <w:sz w:val="20"/>
      <w:szCs w:val="20"/>
    </w:rPr>
  </w:style>
  <w:style w:type="paragraph" w:styleId="CommentSubject">
    <w:name w:val="annotation subject"/>
    <w:basedOn w:val="CommentText"/>
    <w:next w:val="CommentText"/>
    <w:link w:val="CommentSubjectChar"/>
    <w:uiPriority w:val="99"/>
    <w:semiHidden/>
    <w:unhideWhenUsed/>
    <w:rsid w:val="0083653B"/>
    <w:rPr>
      <w:b/>
      <w:bCs/>
    </w:rPr>
  </w:style>
  <w:style w:type="character" w:customStyle="1" w:styleId="CommentSubjectChar">
    <w:name w:val="Comment Subject Char"/>
    <w:basedOn w:val="CommentTextChar"/>
    <w:link w:val="CommentSubject"/>
    <w:uiPriority w:val="99"/>
    <w:semiHidden/>
    <w:rsid w:val="0083653B"/>
    <w:rPr>
      <w:b/>
      <w:bCs/>
      <w:sz w:val="20"/>
      <w:szCs w:val="20"/>
    </w:rPr>
  </w:style>
  <w:style w:type="paragraph" w:styleId="Revision">
    <w:name w:val="Revision"/>
    <w:hidden/>
    <w:uiPriority w:val="99"/>
    <w:semiHidden/>
    <w:rsid w:val="0083653B"/>
    <w:pPr>
      <w:spacing w:after="0" w:line="240" w:lineRule="auto"/>
    </w:pPr>
  </w:style>
  <w:style w:type="paragraph" w:styleId="Header">
    <w:name w:val="header"/>
    <w:basedOn w:val="Normal"/>
    <w:link w:val="HeaderChar"/>
    <w:uiPriority w:val="99"/>
    <w:unhideWhenUsed/>
    <w:rsid w:val="000B3D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DD2"/>
  </w:style>
  <w:style w:type="paragraph" w:styleId="Footer">
    <w:name w:val="footer"/>
    <w:basedOn w:val="Normal"/>
    <w:link w:val="FooterChar"/>
    <w:uiPriority w:val="99"/>
    <w:unhideWhenUsed/>
    <w:rsid w:val="000B3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DD2"/>
  </w:style>
  <w:style w:type="paragraph" w:styleId="ListParagraph">
    <w:name w:val="List Paragraph"/>
    <w:basedOn w:val="Normal"/>
    <w:uiPriority w:val="34"/>
    <w:qFormat/>
    <w:rsid w:val="005A4836"/>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8639">
      <w:bodyDiv w:val="1"/>
      <w:marLeft w:val="0"/>
      <w:marRight w:val="0"/>
      <w:marTop w:val="0"/>
      <w:marBottom w:val="0"/>
      <w:divBdr>
        <w:top w:val="none" w:sz="0" w:space="0" w:color="auto"/>
        <w:left w:val="none" w:sz="0" w:space="0" w:color="auto"/>
        <w:bottom w:val="none" w:sz="0" w:space="0" w:color="auto"/>
        <w:right w:val="none" w:sz="0" w:space="0" w:color="auto"/>
      </w:divBdr>
    </w:div>
    <w:div w:id="125661223">
      <w:bodyDiv w:val="1"/>
      <w:marLeft w:val="0"/>
      <w:marRight w:val="0"/>
      <w:marTop w:val="0"/>
      <w:marBottom w:val="0"/>
      <w:divBdr>
        <w:top w:val="none" w:sz="0" w:space="0" w:color="auto"/>
        <w:left w:val="none" w:sz="0" w:space="0" w:color="auto"/>
        <w:bottom w:val="none" w:sz="0" w:space="0" w:color="auto"/>
        <w:right w:val="none" w:sz="0" w:space="0" w:color="auto"/>
      </w:divBdr>
    </w:div>
    <w:div w:id="1356035588">
      <w:bodyDiv w:val="1"/>
      <w:marLeft w:val="0"/>
      <w:marRight w:val="0"/>
      <w:marTop w:val="0"/>
      <w:marBottom w:val="0"/>
      <w:divBdr>
        <w:top w:val="none" w:sz="0" w:space="0" w:color="auto"/>
        <w:left w:val="none" w:sz="0" w:space="0" w:color="auto"/>
        <w:bottom w:val="none" w:sz="0" w:space="0" w:color="auto"/>
        <w:right w:val="none" w:sz="0" w:space="0" w:color="auto"/>
      </w:divBdr>
    </w:div>
    <w:div w:id="1617132082">
      <w:bodyDiv w:val="1"/>
      <w:marLeft w:val="0"/>
      <w:marRight w:val="0"/>
      <w:marTop w:val="0"/>
      <w:marBottom w:val="0"/>
      <w:divBdr>
        <w:top w:val="none" w:sz="0" w:space="0" w:color="auto"/>
        <w:left w:val="none" w:sz="0" w:space="0" w:color="auto"/>
        <w:bottom w:val="none" w:sz="0" w:space="0" w:color="auto"/>
        <w:right w:val="none" w:sz="0" w:space="0" w:color="auto"/>
      </w:divBdr>
    </w:div>
    <w:div w:id="2103061806">
      <w:bodyDiv w:val="1"/>
      <w:marLeft w:val="0"/>
      <w:marRight w:val="0"/>
      <w:marTop w:val="0"/>
      <w:marBottom w:val="0"/>
      <w:divBdr>
        <w:top w:val="none" w:sz="0" w:space="0" w:color="auto"/>
        <w:left w:val="none" w:sz="0" w:space="0" w:color="auto"/>
        <w:bottom w:val="none" w:sz="0" w:space="0" w:color="auto"/>
        <w:right w:val="none" w:sz="0" w:space="0" w:color="auto"/>
      </w:divBdr>
    </w:div>
    <w:div w:id="212665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2.unwto.org"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serv02cl\ie\data\common\IEA%20Products\ACPSA\PubProducts\TimeSeries.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file:///\\serv02cl\ie\data\common\IEA%20Products\ACPSA\IIOA\TimeSeri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ACPSA Value-added by Industry, 2011</a:t>
            </a:r>
          </a:p>
          <a:p>
            <a:pPr>
              <a:defRPr/>
            </a:pPr>
            <a:r>
              <a:rPr lang="en-US"/>
              <a:t>($Billions)</a:t>
            </a:r>
          </a:p>
        </c:rich>
      </c:tx>
      <c:overlay val="0"/>
    </c:title>
    <c:autoTitleDeleted val="0"/>
    <c:plotArea>
      <c:layout/>
      <c:barChart>
        <c:barDir val="col"/>
        <c:grouping val="clustered"/>
        <c:varyColors val="0"/>
        <c:ser>
          <c:idx val="0"/>
          <c:order val="0"/>
          <c:tx>
            <c:strRef>
              <c:f>Chart_Data!$A$44</c:f>
              <c:strCache>
                <c:ptCount val="1"/>
                <c:pt idx="0">
                  <c:v>Information</c:v>
                </c:pt>
              </c:strCache>
            </c:strRef>
          </c:tx>
          <c:invertIfNegative val="0"/>
          <c:cat>
            <c:numRef>
              <c:f>Chart_Data!$O$40</c:f>
              <c:numCache>
                <c:formatCode>General</c:formatCode>
                <c:ptCount val="1"/>
                <c:pt idx="0">
                  <c:v>2011</c:v>
                </c:pt>
              </c:numCache>
            </c:numRef>
          </c:cat>
          <c:val>
            <c:numRef>
              <c:f>Chart_Data!$O$44</c:f>
              <c:numCache>
                <c:formatCode>General</c:formatCode>
                <c:ptCount val="1"/>
                <c:pt idx="0">
                  <c:v>198.7</c:v>
                </c:pt>
              </c:numCache>
            </c:numRef>
          </c:val>
        </c:ser>
        <c:ser>
          <c:idx val="1"/>
          <c:order val="1"/>
          <c:tx>
            <c:strRef>
              <c:f>Chart_Data!$A$46</c:f>
              <c:strCache>
                <c:ptCount val="1"/>
                <c:pt idx="0">
                  <c:v>Art support</c:v>
                </c:pt>
              </c:strCache>
            </c:strRef>
          </c:tx>
          <c:invertIfNegative val="0"/>
          <c:cat>
            <c:numRef>
              <c:f>Chart_Data!$O$40</c:f>
              <c:numCache>
                <c:formatCode>General</c:formatCode>
                <c:ptCount val="1"/>
                <c:pt idx="0">
                  <c:v>2011</c:v>
                </c:pt>
              </c:numCache>
            </c:numRef>
          </c:cat>
          <c:val>
            <c:numRef>
              <c:f>Chart_Data!$O$46</c:f>
              <c:numCache>
                <c:formatCode>General</c:formatCode>
                <c:ptCount val="1"/>
                <c:pt idx="0">
                  <c:v>92.6</c:v>
                </c:pt>
              </c:numCache>
            </c:numRef>
          </c:val>
        </c:ser>
        <c:ser>
          <c:idx val="2"/>
          <c:order val="2"/>
          <c:tx>
            <c:strRef>
              <c:f>Chart_Data!$A$43</c:f>
              <c:strCache>
                <c:ptCount val="1"/>
                <c:pt idx="0">
                  <c:v>Design Services</c:v>
                </c:pt>
              </c:strCache>
            </c:strRef>
          </c:tx>
          <c:invertIfNegative val="0"/>
          <c:cat>
            <c:numRef>
              <c:f>Chart_Data!$O$40</c:f>
              <c:numCache>
                <c:formatCode>General</c:formatCode>
                <c:ptCount val="1"/>
                <c:pt idx="0">
                  <c:v>2011</c:v>
                </c:pt>
              </c:numCache>
            </c:numRef>
          </c:cat>
          <c:val>
            <c:numRef>
              <c:f>Chart_Data!$O$43</c:f>
              <c:numCache>
                <c:formatCode>General</c:formatCode>
                <c:ptCount val="1"/>
                <c:pt idx="0">
                  <c:v>76.5</c:v>
                </c:pt>
              </c:numCache>
            </c:numRef>
          </c:val>
        </c:ser>
        <c:ser>
          <c:idx val="3"/>
          <c:order val="3"/>
          <c:tx>
            <c:strRef>
              <c:f>Chart_Data!$A$41</c:f>
              <c:strCache>
                <c:ptCount val="1"/>
                <c:pt idx="0">
                  <c:v>Performing Arts</c:v>
                </c:pt>
              </c:strCache>
            </c:strRef>
          </c:tx>
          <c:invertIfNegative val="0"/>
          <c:cat>
            <c:numRef>
              <c:f>Chart_Data!$O$40</c:f>
              <c:numCache>
                <c:formatCode>General</c:formatCode>
                <c:ptCount val="1"/>
                <c:pt idx="0">
                  <c:v>2011</c:v>
                </c:pt>
              </c:numCache>
            </c:numRef>
          </c:cat>
          <c:val>
            <c:numRef>
              <c:f>Chart_Data!$O$41</c:f>
              <c:numCache>
                <c:formatCode>General</c:formatCode>
                <c:ptCount val="1"/>
                <c:pt idx="0">
                  <c:v>42.5</c:v>
                </c:pt>
              </c:numCache>
            </c:numRef>
          </c:val>
        </c:ser>
        <c:dLbls>
          <c:showLegendKey val="0"/>
          <c:showVal val="0"/>
          <c:showCatName val="0"/>
          <c:showSerName val="0"/>
          <c:showPercent val="0"/>
          <c:showBubbleSize val="0"/>
        </c:dLbls>
        <c:gapWidth val="150"/>
        <c:axId val="45917312"/>
        <c:axId val="45918848"/>
      </c:barChart>
      <c:catAx>
        <c:axId val="45917312"/>
        <c:scaling>
          <c:orientation val="minMax"/>
        </c:scaling>
        <c:delete val="0"/>
        <c:axPos val="b"/>
        <c:numFmt formatCode="General" sourceLinked="1"/>
        <c:majorTickMark val="out"/>
        <c:minorTickMark val="none"/>
        <c:tickLblPos val="nextTo"/>
        <c:crossAx val="45918848"/>
        <c:crosses val="autoZero"/>
        <c:auto val="1"/>
        <c:lblAlgn val="ctr"/>
        <c:lblOffset val="100"/>
        <c:noMultiLvlLbl val="0"/>
      </c:catAx>
      <c:valAx>
        <c:axId val="45918848"/>
        <c:scaling>
          <c:orientation val="minMax"/>
          <c:max val="225"/>
        </c:scaling>
        <c:delete val="0"/>
        <c:axPos val="l"/>
        <c:majorGridlines/>
        <c:numFmt formatCode="General" sourceLinked="1"/>
        <c:majorTickMark val="out"/>
        <c:minorTickMark val="none"/>
        <c:tickLblPos val="nextTo"/>
        <c:crossAx val="45917312"/>
        <c:crosses val="autoZero"/>
        <c:crossBetween val="between"/>
        <c:majorUnit val="25"/>
      </c:valAx>
    </c:plotArea>
    <c:legend>
      <c:legendPos val="r"/>
      <c:legendEntry>
        <c:idx val="0"/>
        <c:txPr>
          <a:bodyPr/>
          <a:lstStyle/>
          <a:p>
            <a:pPr>
              <a:defRPr sz="1200" baseline="0"/>
            </a:pPr>
            <a:endParaRPr lang="en-US"/>
          </a:p>
        </c:txPr>
      </c:legendEntry>
      <c:legendEntry>
        <c:idx val="1"/>
        <c:txPr>
          <a:bodyPr/>
          <a:lstStyle/>
          <a:p>
            <a:pPr>
              <a:defRPr sz="1200" baseline="0"/>
            </a:pPr>
            <a:endParaRPr lang="en-US"/>
          </a:p>
        </c:txPr>
      </c:legendEntry>
      <c:legendEntry>
        <c:idx val="2"/>
        <c:txPr>
          <a:bodyPr/>
          <a:lstStyle/>
          <a:p>
            <a:pPr>
              <a:defRPr sz="1200" baseline="0"/>
            </a:pPr>
            <a:endParaRPr lang="en-US"/>
          </a:p>
        </c:txPr>
      </c:legendEntry>
      <c:legendEntry>
        <c:idx val="3"/>
        <c:txPr>
          <a:bodyPr/>
          <a:lstStyle/>
          <a:p>
            <a:pPr>
              <a:defRPr sz="1200" baseline="0"/>
            </a:pPr>
            <a:endParaRPr lang="en-US"/>
          </a:p>
        </c:txPr>
      </c:legendEntry>
      <c:layout>
        <c:manualLayout>
          <c:xMode val="edge"/>
          <c:yMode val="edge"/>
          <c:x val="0.73359483992497621"/>
          <c:y val="0.47734176571996262"/>
          <c:w val="0.26640510094758635"/>
          <c:h val="0.45583254591129707"/>
        </c:manualLayout>
      </c:layout>
      <c:overlay val="0"/>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Museums</a:t>
            </a:r>
          </a:p>
        </c:rich>
      </c:tx>
      <c:layout>
        <c:manualLayout>
          <c:xMode val="edge"/>
          <c:yMode val="edge"/>
          <c:x val="0.34845144356955382"/>
          <c:y val="6.0185185185185161E-2"/>
        </c:manualLayout>
      </c:layout>
      <c:overlay val="1"/>
    </c:title>
    <c:autoTitleDeleted val="0"/>
    <c:plotArea>
      <c:layout/>
      <c:lineChart>
        <c:grouping val="standard"/>
        <c:varyColors val="0"/>
        <c:ser>
          <c:idx val="0"/>
          <c:order val="0"/>
          <c:tx>
            <c:v>ACPSA Output</c:v>
          </c:tx>
          <c:marker>
            <c:symbol val="none"/>
          </c:marker>
          <c:cat>
            <c:numRef>
              <c:f>Table2_Industry_VA!$B$2:$O$2</c:f>
              <c:numCache>
                <c:formatCode>General</c:formatCode>
                <c:ptCount val="14"/>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numCache>
            </c:numRef>
          </c:cat>
          <c:val>
            <c:numRef>
              <c:f>Table2_Industry_Output!$B$6:$O$6</c:f>
              <c:numCache>
                <c:formatCode>#,##0</c:formatCode>
                <c:ptCount val="14"/>
                <c:pt idx="0">
                  <c:v>4149</c:v>
                </c:pt>
                <c:pt idx="1">
                  <c:v>4870</c:v>
                </c:pt>
                <c:pt idx="2">
                  <c:v>6091</c:v>
                </c:pt>
                <c:pt idx="3">
                  <c:v>8010</c:v>
                </c:pt>
                <c:pt idx="4">
                  <c:v>9020</c:v>
                </c:pt>
                <c:pt idx="5">
                  <c:v>9529</c:v>
                </c:pt>
                <c:pt idx="6">
                  <c:v>10016</c:v>
                </c:pt>
                <c:pt idx="7">
                  <c:v>10126</c:v>
                </c:pt>
                <c:pt idx="8">
                  <c:v>11000</c:v>
                </c:pt>
                <c:pt idx="9">
                  <c:v>12909</c:v>
                </c:pt>
                <c:pt idx="10">
                  <c:v>14696</c:v>
                </c:pt>
                <c:pt idx="11">
                  <c:v>14675</c:v>
                </c:pt>
                <c:pt idx="12">
                  <c:v>14820</c:v>
                </c:pt>
                <c:pt idx="13">
                  <c:v>15127</c:v>
                </c:pt>
              </c:numCache>
            </c:numRef>
          </c:val>
          <c:smooth val="0"/>
        </c:ser>
        <c:ser>
          <c:idx val="1"/>
          <c:order val="1"/>
          <c:tx>
            <c:v>ACPSA VA</c:v>
          </c:tx>
          <c:marker>
            <c:symbol val="none"/>
          </c:marker>
          <c:cat>
            <c:numRef>
              <c:f>Table2_Industry_VA!$B$2:$O$2</c:f>
              <c:numCache>
                <c:formatCode>General</c:formatCode>
                <c:ptCount val="14"/>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numCache>
            </c:numRef>
          </c:cat>
          <c:val>
            <c:numRef>
              <c:f>Table2_Industry_VA!$B$6:$O$6</c:f>
              <c:numCache>
                <c:formatCode>#,##0</c:formatCode>
                <c:ptCount val="14"/>
                <c:pt idx="0">
                  <c:v>2729</c:v>
                </c:pt>
                <c:pt idx="1">
                  <c:v>3165</c:v>
                </c:pt>
                <c:pt idx="2">
                  <c:v>3759</c:v>
                </c:pt>
                <c:pt idx="3">
                  <c:v>4250</c:v>
                </c:pt>
                <c:pt idx="4">
                  <c:v>4700</c:v>
                </c:pt>
                <c:pt idx="5">
                  <c:v>4985</c:v>
                </c:pt>
                <c:pt idx="6">
                  <c:v>5401</c:v>
                </c:pt>
                <c:pt idx="7">
                  <c:v>5422</c:v>
                </c:pt>
                <c:pt idx="8">
                  <c:v>5853</c:v>
                </c:pt>
                <c:pt idx="9">
                  <c:v>5904</c:v>
                </c:pt>
                <c:pt idx="10">
                  <c:v>5895</c:v>
                </c:pt>
                <c:pt idx="11">
                  <c:v>6453</c:v>
                </c:pt>
                <c:pt idx="12">
                  <c:v>8386</c:v>
                </c:pt>
                <c:pt idx="13">
                  <c:v>8643</c:v>
                </c:pt>
              </c:numCache>
            </c:numRef>
          </c:val>
          <c:smooth val="0"/>
        </c:ser>
        <c:dLbls>
          <c:showLegendKey val="0"/>
          <c:showVal val="0"/>
          <c:showCatName val="0"/>
          <c:showSerName val="0"/>
          <c:showPercent val="0"/>
          <c:showBubbleSize val="0"/>
        </c:dLbls>
        <c:marker val="1"/>
        <c:smooth val="0"/>
        <c:axId val="45931520"/>
        <c:axId val="31712000"/>
      </c:lineChart>
      <c:catAx>
        <c:axId val="45931520"/>
        <c:scaling>
          <c:orientation val="minMax"/>
        </c:scaling>
        <c:delete val="0"/>
        <c:axPos val="b"/>
        <c:numFmt formatCode="General" sourceLinked="1"/>
        <c:majorTickMark val="out"/>
        <c:minorTickMark val="none"/>
        <c:tickLblPos val="nextTo"/>
        <c:txPr>
          <a:bodyPr/>
          <a:lstStyle/>
          <a:p>
            <a:pPr>
              <a:defRPr sz="900" baseline="0"/>
            </a:pPr>
            <a:endParaRPr lang="en-US"/>
          </a:p>
        </c:txPr>
        <c:crossAx val="31712000"/>
        <c:crosses val="autoZero"/>
        <c:auto val="1"/>
        <c:lblAlgn val="ctr"/>
        <c:lblOffset val="100"/>
        <c:noMultiLvlLbl val="0"/>
      </c:catAx>
      <c:valAx>
        <c:axId val="31712000"/>
        <c:scaling>
          <c:orientation val="minMax"/>
        </c:scaling>
        <c:delete val="0"/>
        <c:axPos val="l"/>
        <c:majorGridlines>
          <c:spPr>
            <a:ln>
              <a:noFill/>
            </a:ln>
          </c:spPr>
        </c:majorGridlines>
        <c:title>
          <c:tx>
            <c:rich>
              <a:bodyPr rot="-5400000" vert="horz"/>
              <a:lstStyle/>
              <a:p>
                <a:pPr>
                  <a:defRPr/>
                </a:pPr>
                <a:r>
                  <a:rPr lang="en-US"/>
                  <a:t>$Millions</a:t>
                </a:r>
              </a:p>
            </c:rich>
          </c:tx>
          <c:overlay val="0"/>
        </c:title>
        <c:numFmt formatCode="#,##0" sourceLinked="1"/>
        <c:majorTickMark val="out"/>
        <c:minorTickMark val="none"/>
        <c:tickLblPos val="nextTo"/>
        <c:crossAx val="45931520"/>
        <c:crosses val="autoZero"/>
        <c:crossBetween val="between"/>
      </c:valAx>
    </c:plotArea>
    <c:legend>
      <c:legendPos val="b"/>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Construction Value Added</a:t>
            </a:r>
          </a:p>
          <a:p>
            <a:pPr>
              <a:defRPr/>
            </a:pPr>
            <a:r>
              <a:rPr lang="en-US" sz="1200"/>
              <a:t>[Indexes, 1998=100]</a:t>
            </a:r>
          </a:p>
        </c:rich>
      </c:tx>
      <c:overlay val="0"/>
    </c:title>
    <c:autoTitleDeleted val="0"/>
    <c:plotArea>
      <c:layout/>
      <c:lineChart>
        <c:grouping val="standard"/>
        <c:varyColors val="0"/>
        <c:ser>
          <c:idx val="0"/>
          <c:order val="0"/>
          <c:tx>
            <c:v>ACPSA unadjusted</c:v>
          </c:tx>
          <c:marker>
            <c:symbol val="none"/>
          </c:marker>
          <c:cat>
            <c:numRef>
              <c:f>Table2_Industry_VA!$B$2:$O$2</c:f>
              <c:numCache>
                <c:formatCode>General</c:formatCode>
                <c:ptCount val="14"/>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numCache>
            </c:numRef>
          </c:cat>
          <c:val>
            <c:numRef>
              <c:f>Table2_Industry_VA!$B$31:$O$31</c:f>
              <c:numCache>
                <c:formatCode>#,##0</c:formatCode>
                <c:ptCount val="14"/>
                <c:pt idx="0">
                  <c:v>100</c:v>
                </c:pt>
                <c:pt idx="1">
                  <c:v>112.20834602497716</c:v>
                </c:pt>
                <c:pt idx="2">
                  <c:v>122.57691136155955</c:v>
                </c:pt>
                <c:pt idx="3">
                  <c:v>130.52086506244291</c:v>
                </c:pt>
                <c:pt idx="4">
                  <c:v>133.49070971672253</c:v>
                </c:pt>
                <c:pt idx="5">
                  <c:v>136.43618641486449</c:v>
                </c:pt>
                <c:pt idx="6">
                  <c:v>144.86140724946702</c:v>
                </c:pt>
                <c:pt idx="7">
                  <c:v>152.74444106000615</c:v>
                </c:pt>
                <c:pt idx="8">
                  <c:v>168.03533353639972</c:v>
                </c:pt>
                <c:pt idx="9">
                  <c:v>167.50837648492239</c:v>
                </c:pt>
                <c:pt idx="10">
                  <c:v>173.59731952482491</c:v>
                </c:pt>
                <c:pt idx="11">
                  <c:v>177.77946999695408</c:v>
                </c:pt>
                <c:pt idx="12">
                  <c:v>152.27840389887305</c:v>
                </c:pt>
                <c:pt idx="13">
                  <c:v>153.92628693268358</c:v>
                </c:pt>
              </c:numCache>
            </c:numRef>
          </c:val>
          <c:smooth val="0"/>
        </c:ser>
        <c:dLbls>
          <c:showLegendKey val="0"/>
          <c:showVal val="0"/>
          <c:showCatName val="0"/>
          <c:showSerName val="0"/>
          <c:showPercent val="0"/>
          <c:showBubbleSize val="0"/>
        </c:dLbls>
        <c:marker val="1"/>
        <c:smooth val="0"/>
        <c:axId val="31916032"/>
        <c:axId val="31917568"/>
      </c:lineChart>
      <c:lineChart>
        <c:grouping val="standard"/>
        <c:varyColors val="0"/>
        <c:ser>
          <c:idx val="1"/>
          <c:order val="1"/>
          <c:tx>
            <c:v>ACPSA</c:v>
          </c:tx>
          <c:marker>
            <c:symbol val="none"/>
          </c:marker>
          <c:cat>
            <c:numRef>
              <c:f>Table2_Industry_VA!$B$2:$O$2</c:f>
              <c:numCache>
                <c:formatCode>General</c:formatCode>
                <c:ptCount val="14"/>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numCache>
            </c:numRef>
          </c:cat>
          <c:val>
            <c:numRef>
              <c:f>Table2_Industry_VA!$B$15:$O$15</c:f>
              <c:numCache>
                <c:formatCode>#,##0</c:formatCode>
                <c:ptCount val="14"/>
                <c:pt idx="0">
                  <c:v>100</c:v>
                </c:pt>
                <c:pt idx="1">
                  <c:v>114.77687507359002</c:v>
                </c:pt>
                <c:pt idx="2">
                  <c:v>134.82868244436597</c:v>
                </c:pt>
                <c:pt idx="3">
                  <c:v>140.23313316849172</c:v>
                </c:pt>
                <c:pt idx="4">
                  <c:v>141.64606146238083</c:v>
                </c:pt>
                <c:pt idx="5">
                  <c:v>134.18109030966681</c:v>
                </c:pt>
                <c:pt idx="6">
                  <c:v>150.93606499470152</c:v>
                </c:pt>
                <c:pt idx="7">
                  <c:v>156.12857647474391</c:v>
                </c:pt>
                <c:pt idx="8">
                  <c:v>162.02755210173086</c:v>
                </c:pt>
                <c:pt idx="9">
                  <c:v>143.27092900035325</c:v>
                </c:pt>
                <c:pt idx="10">
                  <c:v>132.4855763569999</c:v>
                </c:pt>
                <c:pt idx="11">
                  <c:v>140.43329801012601</c:v>
                </c:pt>
                <c:pt idx="12">
                  <c:v>150.88896738490524</c:v>
                </c:pt>
                <c:pt idx="13">
                  <c:v>136.70081243376902</c:v>
                </c:pt>
              </c:numCache>
            </c:numRef>
          </c:val>
          <c:smooth val="0"/>
        </c:ser>
        <c:ser>
          <c:idx val="2"/>
          <c:order val="2"/>
          <c:tx>
            <c:v>All construction</c:v>
          </c:tx>
          <c:marker>
            <c:symbol val="none"/>
          </c:marker>
          <c:val>
            <c:numRef>
              <c:f>'VA_Pub02 basis'!$BB$18:$BO$18</c:f>
              <c:numCache>
                <c:formatCode>0.0</c:formatCode>
                <c:ptCount val="14"/>
                <c:pt idx="0">
                  <c:v>100</c:v>
                </c:pt>
                <c:pt idx="1">
                  <c:v>111.64972634870993</c:v>
                </c:pt>
                <c:pt idx="2">
                  <c:v>121.78785509512642</c:v>
                </c:pt>
                <c:pt idx="3">
                  <c:v>127.83424550430024</c:v>
                </c:pt>
                <c:pt idx="4">
                  <c:v>128.82460255407872</c:v>
                </c:pt>
                <c:pt idx="5">
                  <c:v>134.50612457649206</c:v>
                </c:pt>
                <c:pt idx="6">
                  <c:v>144.43575710190254</c:v>
                </c:pt>
                <c:pt idx="7">
                  <c:v>159.62991920771438</c:v>
                </c:pt>
                <c:pt idx="8">
                  <c:v>169.66379984362786</c:v>
                </c:pt>
                <c:pt idx="9">
                  <c:v>170.39353661714881</c:v>
                </c:pt>
                <c:pt idx="10">
                  <c:v>160.07297367735214</c:v>
                </c:pt>
                <c:pt idx="11">
                  <c:v>141.49074798019288</c:v>
                </c:pt>
                <c:pt idx="12">
                  <c:v>136.38259056554602</c:v>
                </c:pt>
                <c:pt idx="13">
                  <c:v>137.9984362783425</c:v>
                </c:pt>
              </c:numCache>
            </c:numRef>
          </c:val>
          <c:smooth val="0"/>
        </c:ser>
        <c:dLbls>
          <c:showLegendKey val="0"/>
          <c:showVal val="0"/>
          <c:showCatName val="0"/>
          <c:showSerName val="0"/>
          <c:showPercent val="0"/>
          <c:showBubbleSize val="0"/>
        </c:dLbls>
        <c:marker val="1"/>
        <c:smooth val="0"/>
        <c:axId val="31920896"/>
        <c:axId val="31919104"/>
      </c:lineChart>
      <c:catAx>
        <c:axId val="31916032"/>
        <c:scaling>
          <c:orientation val="minMax"/>
        </c:scaling>
        <c:delete val="0"/>
        <c:axPos val="b"/>
        <c:numFmt formatCode="General" sourceLinked="1"/>
        <c:majorTickMark val="out"/>
        <c:minorTickMark val="none"/>
        <c:tickLblPos val="nextTo"/>
        <c:crossAx val="31917568"/>
        <c:crosses val="autoZero"/>
        <c:auto val="1"/>
        <c:lblAlgn val="ctr"/>
        <c:lblOffset val="100"/>
        <c:noMultiLvlLbl val="0"/>
      </c:catAx>
      <c:valAx>
        <c:axId val="31917568"/>
        <c:scaling>
          <c:orientation val="minMax"/>
          <c:min val="80"/>
        </c:scaling>
        <c:delete val="0"/>
        <c:axPos val="l"/>
        <c:majorGridlines/>
        <c:numFmt formatCode="#,##0" sourceLinked="1"/>
        <c:majorTickMark val="out"/>
        <c:minorTickMark val="none"/>
        <c:tickLblPos val="nextTo"/>
        <c:crossAx val="31916032"/>
        <c:crosses val="autoZero"/>
        <c:crossBetween val="between"/>
      </c:valAx>
      <c:valAx>
        <c:axId val="31919104"/>
        <c:scaling>
          <c:orientation val="minMax"/>
          <c:min val="6000"/>
        </c:scaling>
        <c:delete val="1"/>
        <c:axPos val="r"/>
        <c:numFmt formatCode="#,##0" sourceLinked="1"/>
        <c:majorTickMark val="out"/>
        <c:minorTickMark val="none"/>
        <c:tickLblPos val="nextTo"/>
        <c:crossAx val="31920896"/>
        <c:crosses val="max"/>
        <c:crossBetween val="between"/>
      </c:valAx>
      <c:catAx>
        <c:axId val="31920896"/>
        <c:scaling>
          <c:orientation val="minMax"/>
        </c:scaling>
        <c:delete val="1"/>
        <c:axPos val="b"/>
        <c:numFmt formatCode="General" sourceLinked="1"/>
        <c:majorTickMark val="out"/>
        <c:minorTickMark val="none"/>
        <c:tickLblPos val="nextTo"/>
        <c:crossAx val="31919104"/>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0.87175</cdr:x>
      <cdr:y>0.0239</cdr:y>
    </cdr:from>
    <cdr:to>
      <cdr:x>0.98264</cdr:x>
      <cdr:y>0.14874</cdr:y>
    </cdr:to>
    <cdr:sp macro="" textlink="">
      <cdr:nvSpPr>
        <cdr:cNvPr id="2" name="TextBox 1"/>
        <cdr:cNvSpPr txBox="1"/>
      </cdr:nvSpPr>
      <cdr:spPr>
        <a:xfrm xmlns:a="http://schemas.openxmlformats.org/drawingml/2006/main">
          <a:off x="7553158" y="150393"/>
          <a:ext cx="960855" cy="7853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dirty="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81824-3192-41FF-ACE7-07B8EB4C7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5050</Words>
  <Characters>28791</Characters>
  <Application>Microsoft Office Word</Application>
  <DocSecurity>4</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Wasshausen, David</dc:creator>
  <cp:lastModifiedBy>Moylan, Carol</cp:lastModifiedBy>
  <cp:revision>2</cp:revision>
  <cp:lastPrinted>2014-06-23T12:00:00Z</cp:lastPrinted>
  <dcterms:created xsi:type="dcterms:W3CDTF">2014-06-23T12:00:00Z</dcterms:created>
  <dcterms:modified xsi:type="dcterms:W3CDTF">2014-06-23T12:00:00Z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-1225877956</vt:i4>
  </property>
  <property fmtid="{D5CDD505-2E9C-101B-9397-08002B2CF9AE}" pid="3" name="_NewReviewCycle">
    <vt:lpwstr/>
  </property>
  <property fmtid="{D5CDD505-2E9C-101B-9397-08002B2CF9AE}" pid="4" name="_EmailSubject">
    <vt:lpwstr>One More Paper:  the Arts and Cultural Production Satellite Account</vt:lpwstr>
  </property>
  <property fmtid="{D5CDD505-2E9C-101B-9397-08002B2CF9AE}" pid="5" name="_AuthorEmail">
    <vt:lpwstr>Carol.Moylan@bea.gov</vt:lpwstr>
  </property>
  <property fmtid="{D5CDD505-2E9C-101B-9397-08002B2CF9AE}" pid="6" name="_AuthorEmailDisplayName">
    <vt:lpwstr>Moylan, Carol</vt:lpwstr>
  </property>
  <property fmtid="{D5CDD505-2E9C-101B-9397-08002B2CF9AE}" pid="7" name="_PreviousAdHocReviewCycleID">
    <vt:i4>-353905260</vt:i4>
  </property>
</Properties>
</file>