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EB0" w:rsidRDefault="00087291" w:rsidP="00087291">
      <w:pPr>
        <w:jc w:val="center"/>
        <w:rPr>
          <w:b/>
          <w:sz w:val="32"/>
          <w:szCs w:val="32"/>
          <w:lang w:val="en-US"/>
        </w:rPr>
      </w:pPr>
      <w:r>
        <w:rPr>
          <w:b/>
          <w:sz w:val="32"/>
          <w:szCs w:val="32"/>
          <w:lang w:val="en-US"/>
        </w:rPr>
        <w:t>Evaluating</w:t>
      </w:r>
      <w:r w:rsidRPr="00311831">
        <w:rPr>
          <w:b/>
          <w:sz w:val="32"/>
          <w:szCs w:val="32"/>
          <w:lang w:val="en-US"/>
        </w:rPr>
        <w:t xml:space="preserve"> the FLQ</w:t>
      </w:r>
      <w:r>
        <w:rPr>
          <w:b/>
          <w:sz w:val="32"/>
          <w:szCs w:val="32"/>
          <w:lang w:val="en-US"/>
        </w:rPr>
        <w:t xml:space="preserve"> and AFLQ</w:t>
      </w:r>
      <w:r w:rsidRPr="00311831">
        <w:rPr>
          <w:b/>
          <w:sz w:val="32"/>
          <w:szCs w:val="32"/>
          <w:lang w:val="en-US"/>
        </w:rPr>
        <w:t xml:space="preserve"> Formula</w:t>
      </w:r>
      <w:r>
        <w:rPr>
          <w:b/>
          <w:sz w:val="32"/>
          <w:szCs w:val="32"/>
          <w:lang w:val="en-US"/>
        </w:rPr>
        <w:t>e</w:t>
      </w:r>
      <w:r w:rsidRPr="00311831">
        <w:rPr>
          <w:b/>
          <w:sz w:val="32"/>
          <w:szCs w:val="32"/>
          <w:lang w:val="en-US"/>
        </w:rPr>
        <w:t xml:space="preserve"> for </w:t>
      </w:r>
      <w:r>
        <w:rPr>
          <w:b/>
          <w:sz w:val="32"/>
          <w:szCs w:val="32"/>
          <w:lang w:val="en-US"/>
        </w:rPr>
        <w:t xml:space="preserve">Estimating </w:t>
      </w:r>
      <w:r w:rsidRPr="00311831">
        <w:rPr>
          <w:b/>
          <w:sz w:val="32"/>
          <w:szCs w:val="32"/>
          <w:lang w:val="en-US"/>
        </w:rPr>
        <w:t>Regional Input</w:t>
      </w:r>
      <w:r>
        <w:rPr>
          <w:b/>
          <w:sz w:val="32"/>
          <w:szCs w:val="32"/>
          <w:lang w:val="en-US"/>
        </w:rPr>
        <w:t xml:space="preserve"> Coefficients</w:t>
      </w:r>
      <w:r w:rsidRPr="00311831">
        <w:rPr>
          <w:b/>
          <w:sz w:val="32"/>
          <w:szCs w:val="32"/>
          <w:lang w:val="en-US"/>
        </w:rPr>
        <w:t xml:space="preserve">: Empirical Evidence </w:t>
      </w:r>
      <w:r>
        <w:rPr>
          <w:b/>
          <w:sz w:val="32"/>
          <w:szCs w:val="32"/>
          <w:lang w:val="en-US"/>
        </w:rPr>
        <w:t>for</w:t>
      </w:r>
      <w:r w:rsidRPr="00311831">
        <w:rPr>
          <w:b/>
          <w:sz w:val="32"/>
          <w:szCs w:val="32"/>
          <w:lang w:val="en-US"/>
        </w:rPr>
        <w:t xml:space="preserve"> the Province of Córdoba, Argentina</w:t>
      </w:r>
    </w:p>
    <w:p w:rsidR="00087291" w:rsidRPr="0010320B" w:rsidRDefault="00087291" w:rsidP="00087291">
      <w:pPr>
        <w:jc w:val="center"/>
        <w:rPr>
          <w:lang w:val="en-US"/>
        </w:rPr>
      </w:pPr>
    </w:p>
    <w:p w:rsidR="00A82EB0" w:rsidRDefault="00A82EB0" w:rsidP="00A82EB0">
      <w:pPr>
        <w:spacing w:after="0"/>
        <w:ind w:firstLine="0"/>
        <w:jc w:val="center"/>
        <w:rPr>
          <w:lang w:val="pt-BR"/>
        </w:rPr>
      </w:pPr>
      <w:r>
        <w:rPr>
          <w:lang w:val="pt-BR"/>
        </w:rPr>
        <w:t>Anthony T. Flegg</w:t>
      </w:r>
    </w:p>
    <w:p w:rsidR="00A82EB0" w:rsidRDefault="00A82EB0" w:rsidP="00A82EB0">
      <w:pPr>
        <w:spacing w:after="0"/>
        <w:ind w:firstLine="0"/>
        <w:jc w:val="center"/>
        <w:rPr>
          <w:sz w:val="20"/>
          <w:szCs w:val="20"/>
          <w:lang w:val="pt-BR"/>
        </w:rPr>
      </w:pPr>
      <w:r>
        <w:rPr>
          <w:sz w:val="20"/>
          <w:szCs w:val="20"/>
          <w:lang w:val="pt-BR"/>
        </w:rPr>
        <w:t xml:space="preserve">Department of Accounting, Economics and Finance, </w:t>
      </w:r>
      <w:r w:rsidRPr="000822E2">
        <w:rPr>
          <w:sz w:val="20"/>
          <w:szCs w:val="20"/>
          <w:lang w:val="pt-BR"/>
        </w:rPr>
        <w:t>University of the West of England</w:t>
      </w:r>
      <w:r>
        <w:rPr>
          <w:sz w:val="20"/>
          <w:szCs w:val="20"/>
          <w:lang w:val="pt-BR"/>
        </w:rPr>
        <w:t>, Bristol, UK</w:t>
      </w:r>
    </w:p>
    <w:p w:rsidR="00A82EB0" w:rsidRDefault="00A82EB0" w:rsidP="00A82EB0">
      <w:pPr>
        <w:spacing w:after="0"/>
        <w:ind w:firstLine="0"/>
        <w:jc w:val="center"/>
        <w:rPr>
          <w:sz w:val="20"/>
          <w:szCs w:val="20"/>
          <w:lang w:val="pt-BR"/>
        </w:rPr>
      </w:pPr>
      <w:r>
        <w:rPr>
          <w:sz w:val="20"/>
          <w:szCs w:val="20"/>
          <w:lang w:val="pt-BR"/>
        </w:rPr>
        <w:t xml:space="preserve">E-mail: </w:t>
      </w:r>
      <w:hyperlink r:id="rId8" w:history="1">
        <w:r w:rsidRPr="001A2BDD">
          <w:rPr>
            <w:rStyle w:val="Hyperlink"/>
            <w:sz w:val="20"/>
            <w:szCs w:val="20"/>
            <w:lang w:val="pt-BR"/>
          </w:rPr>
          <w:t>tony.flegg@uwe.ac.uk</w:t>
        </w:r>
      </w:hyperlink>
    </w:p>
    <w:p w:rsidR="00A82EB0" w:rsidRDefault="00A82EB0" w:rsidP="00A82EB0">
      <w:pPr>
        <w:spacing w:after="0"/>
        <w:ind w:firstLine="0"/>
      </w:pPr>
    </w:p>
    <w:p w:rsidR="00A82EB0" w:rsidRPr="0056090C" w:rsidRDefault="00A82EB0" w:rsidP="00A82EB0">
      <w:pPr>
        <w:spacing w:after="0"/>
        <w:ind w:firstLine="0"/>
        <w:jc w:val="center"/>
      </w:pPr>
      <w:r w:rsidRPr="0056090C">
        <w:t>Leonardo J</w:t>
      </w:r>
      <w:r>
        <w:t xml:space="preserve">. </w:t>
      </w:r>
      <w:proofErr w:type="spellStart"/>
      <w:r>
        <w:t>Mastronardi</w:t>
      </w:r>
      <w:proofErr w:type="spellEnd"/>
    </w:p>
    <w:p w:rsidR="00A82EB0" w:rsidRDefault="00A82EB0" w:rsidP="00A82EB0">
      <w:pPr>
        <w:spacing w:after="0"/>
        <w:ind w:firstLine="0"/>
        <w:jc w:val="center"/>
        <w:rPr>
          <w:rStyle w:val="st2"/>
          <w:color w:val="222222"/>
          <w:sz w:val="20"/>
          <w:szCs w:val="20"/>
        </w:rPr>
      </w:pPr>
      <w:r w:rsidRPr="0056090C">
        <w:rPr>
          <w:sz w:val="20"/>
          <w:szCs w:val="20"/>
          <w:lang w:val="pt-BR"/>
        </w:rPr>
        <w:t>Instituto de Economía</w:t>
      </w:r>
      <w:r>
        <w:rPr>
          <w:sz w:val="20"/>
          <w:szCs w:val="20"/>
          <w:lang w:val="pt-BR"/>
        </w:rPr>
        <w:t>,</w:t>
      </w:r>
      <w:r w:rsidRPr="0056090C">
        <w:rPr>
          <w:sz w:val="20"/>
          <w:szCs w:val="20"/>
          <w:lang w:val="pt-BR"/>
        </w:rPr>
        <w:t xml:space="preserve"> U</w:t>
      </w:r>
      <w:r>
        <w:rPr>
          <w:sz w:val="20"/>
          <w:szCs w:val="20"/>
          <w:lang w:val="pt-BR"/>
        </w:rPr>
        <w:t xml:space="preserve">niversidad </w:t>
      </w:r>
      <w:r w:rsidRPr="0056090C">
        <w:rPr>
          <w:sz w:val="20"/>
          <w:szCs w:val="20"/>
          <w:lang w:val="pt-BR"/>
        </w:rPr>
        <w:t>A</w:t>
      </w:r>
      <w:r>
        <w:rPr>
          <w:sz w:val="20"/>
          <w:szCs w:val="20"/>
          <w:lang w:val="pt-BR"/>
        </w:rPr>
        <w:t xml:space="preserve">rgentina de la </w:t>
      </w:r>
      <w:r w:rsidRPr="0056090C">
        <w:rPr>
          <w:sz w:val="20"/>
          <w:szCs w:val="20"/>
          <w:lang w:val="pt-BR"/>
        </w:rPr>
        <w:t>E</w:t>
      </w:r>
      <w:r>
        <w:rPr>
          <w:sz w:val="20"/>
          <w:szCs w:val="20"/>
          <w:lang w:val="pt-BR"/>
        </w:rPr>
        <w:t>mpresa, Buenos Aires, Argentina,</w:t>
      </w:r>
      <w:r w:rsidRPr="0056090C">
        <w:rPr>
          <w:sz w:val="20"/>
          <w:szCs w:val="20"/>
          <w:lang w:val="pt-BR"/>
        </w:rPr>
        <w:t xml:space="preserve"> and CONICET</w:t>
      </w:r>
      <w:r>
        <w:rPr>
          <w:sz w:val="20"/>
          <w:szCs w:val="20"/>
          <w:lang w:val="pt-BR"/>
        </w:rPr>
        <w:t> </w:t>
      </w:r>
      <w:r w:rsidRPr="00737E23">
        <w:rPr>
          <w:color w:val="222222"/>
          <w:sz w:val="20"/>
          <w:szCs w:val="20"/>
        </w:rPr>
        <w:t>(</w:t>
      </w:r>
      <w:proofErr w:type="spellStart"/>
      <w:r w:rsidRPr="00737E23">
        <w:rPr>
          <w:rStyle w:val="st2"/>
          <w:color w:val="222222"/>
          <w:sz w:val="20"/>
          <w:szCs w:val="20"/>
        </w:rPr>
        <w:t>Consejo</w:t>
      </w:r>
      <w:proofErr w:type="spellEnd"/>
      <w:r w:rsidRPr="00737E23">
        <w:rPr>
          <w:rStyle w:val="st2"/>
          <w:color w:val="222222"/>
          <w:sz w:val="20"/>
          <w:szCs w:val="20"/>
        </w:rPr>
        <w:t xml:space="preserve"> Nacional de </w:t>
      </w:r>
      <w:proofErr w:type="spellStart"/>
      <w:r w:rsidRPr="00737E23">
        <w:rPr>
          <w:rStyle w:val="st2"/>
          <w:color w:val="222222"/>
          <w:sz w:val="20"/>
          <w:szCs w:val="20"/>
        </w:rPr>
        <w:t>Investigaciones</w:t>
      </w:r>
      <w:proofErr w:type="spellEnd"/>
      <w:r w:rsidRPr="00737E23">
        <w:rPr>
          <w:rStyle w:val="st2"/>
          <w:color w:val="222222"/>
          <w:sz w:val="20"/>
          <w:szCs w:val="20"/>
        </w:rPr>
        <w:t xml:space="preserve"> </w:t>
      </w:r>
      <w:proofErr w:type="spellStart"/>
      <w:r w:rsidRPr="00737E23">
        <w:rPr>
          <w:rStyle w:val="st2"/>
          <w:color w:val="222222"/>
          <w:sz w:val="20"/>
          <w:szCs w:val="20"/>
        </w:rPr>
        <w:t>Científicas</w:t>
      </w:r>
      <w:proofErr w:type="spellEnd"/>
      <w:r w:rsidRPr="00737E23">
        <w:rPr>
          <w:rStyle w:val="st2"/>
          <w:color w:val="222222"/>
          <w:sz w:val="20"/>
          <w:szCs w:val="20"/>
        </w:rPr>
        <w:t xml:space="preserve"> y </w:t>
      </w:r>
      <w:proofErr w:type="spellStart"/>
      <w:r w:rsidRPr="00737E23">
        <w:rPr>
          <w:rStyle w:val="st2"/>
          <w:color w:val="222222"/>
          <w:sz w:val="20"/>
          <w:szCs w:val="20"/>
        </w:rPr>
        <w:t>Técnicas</w:t>
      </w:r>
      <w:proofErr w:type="spellEnd"/>
      <w:r>
        <w:rPr>
          <w:rStyle w:val="st2"/>
          <w:color w:val="222222"/>
          <w:sz w:val="20"/>
          <w:szCs w:val="20"/>
        </w:rPr>
        <w:t>)</w:t>
      </w:r>
    </w:p>
    <w:p w:rsidR="00A82EB0" w:rsidRDefault="00A82EB0" w:rsidP="00A82EB0">
      <w:pPr>
        <w:spacing w:after="0"/>
        <w:ind w:firstLine="0"/>
        <w:jc w:val="center"/>
        <w:rPr>
          <w:rStyle w:val="rwrro"/>
          <w:sz w:val="20"/>
          <w:szCs w:val="20"/>
        </w:rPr>
      </w:pPr>
      <w:r>
        <w:rPr>
          <w:sz w:val="20"/>
          <w:szCs w:val="20"/>
          <w:lang w:val="pt-BR"/>
        </w:rPr>
        <w:t>E-mail:</w:t>
      </w:r>
      <w:r w:rsidRPr="00512562">
        <w:rPr>
          <w:rStyle w:val="rwrro"/>
        </w:rPr>
        <w:t xml:space="preserve"> </w:t>
      </w:r>
      <w:hyperlink r:id="rId9" w:history="1">
        <w:r w:rsidRPr="001A2BDD">
          <w:rPr>
            <w:rStyle w:val="Hyperlink"/>
            <w:sz w:val="20"/>
            <w:szCs w:val="20"/>
          </w:rPr>
          <w:t>lmastronardi@uade.edu.ar</w:t>
        </w:r>
      </w:hyperlink>
    </w:p>
    <w:p w:rsidR="00A82EB0" w:rsidRDefault="00A82EB0" w:rsidP="00A82EB0">
      <w:pPr>
        <w:spacing w:after="0"/>
        <w:ind w:firstLine="0"/>
      </w:pPr>
    </w:p>
    <w:p w:rsidR="00A82EB0" w:rsidRPr="0056090C" w:rsidRDefault="00A82EB0" w:rsidP="00A82EB0">
      <w:pPr>
        <w:spacing w:after="0"/>
        <w:ind w:firstLine="0"/>
        <w:jc w:val="center"/>
      </w:pPr>
      <w:r w:rsidRPr="0056090C">
        <w:t>Carlos A</w:t>
      </w:r>
      <w:r>
        <w:t>. Romero</w:t>
      </w:r>
    </w:p>
    <w:p w:rsidR="00A82EB0" w:rsidRPr="0056090C" w:rsidRDefault="00A82EB0" w:rsidP="00A82EB0">
      <w:pPr>
        <w:spacing w:after="0"/>
        <w:ind w:firstLine="0"/>
        <w:jc w:val="center"/>
        <w:rPr>
          <w:sz w:val="20"/>
          <w:szCs w:val="20"/>
          <w:lang w:val="pt-BR"/>
        </w:rPr>
      </w:pPr>
      <w:r w:rsidRPr="0056090C">
        <w:rPr>
          <w:sz w:val="20"/>
          <w:szCs w:val="20"/>
          <w:lang w:val="pt-BR"/>
        </w:rPr>
        <w:t>Instituto de Economía</w:t>
      </w:r>
      <w:r>
        <w:rPr>
          <w:sz w:val="20"/>
          <w:szCs w:val="20"/>
          <w:lang w:val="pt-BR"/>
        </w:rPr>
        <w:t xml:space="preserve">, </w:t>
      </w:r>
      <w:r w:rsidRPr="0056090C">
        <w:rPr>
          <w:sz w:val="20"/>
          <w:szCs w:val="20"/>
          <w:lang w:val="pt-BR"/>
        </w:rPr>
        <w:t>U</w:t>
      </w:r>
      <w:r>
        <w:rPr>
          <w:sz w:val="20"/>
          <w:szCs w:val="20"/>
          <w:lang w:val="pt-BR"/>
        </w:rPr>
        <w:t xml:space="preserve">niversidad </w:t>
      </w:r>
      <w:r w:rsidRPr="0056090C">
        <w:rPr>
          <w:sz w:val="20"/>
          <w:szCs w:val="20"/>
          <w:lang w:val="pt-BR"/>
        </w:rPr>
        <w:t>A</w:t>
      </w:r>
      <w:r>
        <w:rPr>
          <w:sz w:val="20"/>
          <w:szCs w:val="20"/>
          <w:lang w:val="pt-BR"/>
        </w:rPr>
        <w:t xml:space="preserve">rgentina de la </w:t>
      </w:r>
      <w:r w:rsidRPr="0056090C">
        <w:rPr>
          <w:sz w:val="20"/>
          <w:szCs w:val="20"/>
          <w:lang w:val="pt-BR"/>
        </w:rPr>
        <w:t>E</w:t>
      </w:r>
      <w:r>
        <w:rPr>
          <w:sz w:val="20"/>
          <w:szCs w:val="20"/>
          <w:lang w:val="pt-BR"/>
        </w:rPr>
        <w:t>mpresa,</w:t>
      </w:r>
      <w:r w:rsidRPr="00737E23">
        <w:rPr>
          <w:sz w:val="20"/>
          <w:szCs w:val="20"/>
          <w:lang w:val="pt-BR"/>
        </w:rPr>
        <w:t xml:space="preserve"> </w:t>
      </w:r>
      <w:r>
        <w:rPr>
          <w:sz w:val="20"/>
          <w:szCs w:val="20"/>
          <w:lang w:val="pt-BR"/>
        </w:rPr>
        <w:t>Buenos Aires, Argentina</w:t>
      </w:r>
    </w:p>
    <w:p w:rsidR="00A82EB0" w:rsidRDefault="00A82EB0" w:rsidP="00A82EB0">
      <w:pPr>
        <w:spacing w:after="0"/>
        <w:ind w:firstLine="0"/>
        <w:jc w:val="center"/>
        <w:rPr>
          <w:sz w:val="20"/>
          <w:szCs w:val="20"/>
          <w:lang w:val="pt-BR"/>
        </w:rPr>
      </w:pPr>
      <w:r>
        <w:rPr>
          <w:sz w:val="20"/>
          <w:szCs w:val="20"/>
          <w:lang w:val="pt-BR"/>
        </w:rPr>
        <w:t>E-mail:</w:t>
      </w:r>
      <w:r w:rsidRPr="00512562">
        <w:t xml:space="preserve"> </w:t>
      </w:r>
      <w:hyperlink r:id="rId10" w:history="1">
        <w:r w:rsidRPr="001A2BDD">
          <w:rPr>
            <w:rStyle w:val="Hyperlink"/>
            <w:sz w:val="20"/>
            <w:szCs w:val="20"/>
            <w:lang w:val="pt-BR"/>
          </w:rPr>
          <w:t>cromero@uade.edu.ar</w:t>
        </w:r>
      </w:hyperlink>
    </w:p>
    <w:p w:rsidR="00A82EB0" w:rsidRDefault="00A82EB0" w:rsidP="00A82EB0">
      <w:pPr>
        <w:spacing w:after="0"/>
        <w:ind w:firstLine="0"/>
        <w:rPr>
          <w:lang w:val="pt-BR"/>
        </w:rPr>
      </w:pPr>
    </w:p>
    <w:p w:rsidR="00852499" w:rsidRDefault="00A82EB0" w:rsidP="00852499">
      <w:pPr>
        <w:pStyle w:val="Heading2"/>
        <w:jc w:val="both"/>
        <w:rPr>
          <w:sz w:val="24"/>
          <w:szCs w:val="24"/>
        </w:rPr>
      </w:pPr>
      <w:r w:rsidRPr="00852499">
        <w:rPr>
          <w:sz w:val="24"/>
          <w:szCs w:val="24"/>
          <w:lang w:val="pt-BR"/>
        </w:rPr>
        <w:t xml:space="preserve">Paper </w:t>
      </w:r>
      <w:r w:rsidR="00852499" w:rsidRPr="00852499">
        <w:rPr>
          <w:sz w:val="24"/>
          <w:szCs w:val="24"/>
          <w:lang w:val="pt-BR"/>
        </w:rPr>
        <w:t xml:space="preserve">to be </w:t>
      </w:r>
      <w:r w:rsidRPr="00852499">
        <w:rPr>
          <w:sz w:val="24"/>
          <w:szCs w:val="24"/>
          <w:lang w:val="pt-BR"/>
        </w:rPr>
        <w:t xml:space="preserve">presented at the </w:t>
      </w:r>
      <w:r w:rsidR="008972E3" w:rsidRPr="00852499">
        <w:rPr>
          <w:sz w:val="24"/>
          <w:szCs w:val="24"/>
          <w:lang w:val="pt-BR"/>
        </w:rPr>
        <w:t>23</w:t>
      </w:r>
      <w:r w:rsidR="008972E3" w:rsidRPr="00852499">
        <w:rPr>
          <w:sz w:val="24"/>
          <w:szCs w:val="24"/>
          <w:vertAlign w:val="superscript"/>
          <w:lang w:val="pt-BR"/>
        </w:rPr>
        <w:t>rd</w:t>
      </w:r>
      <w:r w:rsidR="008972E3" w:rsidRPr="00852499">
        <w:rPr>
          <w:sz w:val="24"/>
          <w:szCs w:val="24"/>
          <w:lang w:val="pt-BR"/>
        </w:rPr>
        <w:t xml:space="preserve"> </w:t>
      </w:r>
      <w:r w:rsidR="00852499" w:rsidRPr="00852499">
        <w:rPr>
          <w:sz w:val="24"/>
          <w:szCs w:val="24"/>
        </w:rPr>
        <w:t>International Input-Output Conference, 22-26 June 2015, Mexico City</w:t>
      </w:r>
      <w:r w:rsidR="00852499">
        <w:rPr>
          <w:sz w:val="24"/>
          <w:szCs w:val="24"/>
        </w:rPr>
        <w:t>.</w:t>
      </w:r>
    </w:p>
    <w:p w:rsidR="00852499" w:rsidRPr="00852499" w:rsidRDefault="00852499" w:rsidP="00852499">
      <w:pPr>
        <w:pStyle w:val="Heading2"/>
        <w:jc w:val="both"/>
        <w:rPr>
          <w:sz w:val="24"/>
          <w:szCs w:val="24"/>
        </w:rPr>
      </w:pPr>
      <w:r>
        <w:rPr>
          <w:sz w:val="24"/>
          <w:szCs w:val="24"/>
        </w:rPr>
        <w:t>Note: This is a draft paper currently subject to revision.</w:t>
      </w:r>
    </w:p>
    <w:p w:rsidR="00A82EB0" w:rsidRPr="00852499" w:rsidRDefault="00A82EB0" w:rsidP="00852499">
      <w:pPr>
        <w:spacing w:after="0"/>
        <w:ind w:firstLine="0"/>
        <w:rPr>
          <w:sz w:val="32"/>
          <w:szCs w:val="32"/>
          <w:lang w:val="pt-BR"/>
        </w:rPr>
      </w:pPr>
    </w:p>
    <w:p w:rsidR="008972E3" w:rsidRPr="00852499" w:rsidRDefault="008972E3" w:rsidP="00A82EB0">
      <w:pPr>
        <w:spacing w:after="0"/>
        <w:ind w:firstLine="0"/>
        <w:rPr>
          <w:sz w:val="32"/>
          <w:szCs w:val="32"/>
          <w:lang w:val="pt-BR"/>
        </w:rPr>
      </w:pPr>
    </w:p>
    <w:p w:rsidR="00A82EB0" w:rsidRPr="00A82EB0" w:rsidRDefault="00A82EB0">
      <w:pPr>
        <w:spacing w:after="0"/>
        <w:ind w:firstLine="0"/>
        <w:jc w:val="left"/>
        <w:rPr>
          <w:lang w:val="en-US"/>
        </w:rPr>
      </w:pPr>
    </w:p>
    <w:p w:rsidR="00CD560A" w:rsidRDefault="00CD560A">
      <w:pPr>
        <w:spacing w:after="0"/>
        <w:ind w:firstLine="0"/>
        <w:jc w:val="left"/>
        <w:rPr>
          <w:b/>
          <w:sz w:val="32"/>
          <w:szCs w:val="32"/>
          <w:lang w:val="en-US"/>
        </w:rPr>
      </w:pPr>
      <w:r>
        <w:rPr>
          <w:b/>
          <w:sz w:val="32"/>
          <w:szCs w:val="32"/>
          <w:lang w:val="en-US"/>
        </w:rPr>
        <w:br w:type="page"/>
      </w:r>
    </w:p>
    <w:p w:rsidR="00087064" w:rsidRPr="00311831" w:rsidRDefault="00025BC4" w:rsidP="006C7D2A">
      <w:pPr>
        <w:jc w:val="center"/>
        <w:rPr>
          <w:b/>
          <w:sz w:val="32"/>
          <w:szCs w:val="32"/>
          <w:lang w:val="en-US"/>
        </w:rPr>
      </w:pPr>
      <w:r>
        <w:rPr>
          <w:b/>
          <w:sz w:val="32"/>
          <w:szCs w:val="32"/>
          <w:lang w:val="en-US"/>
        </w:rPr>
        <w:lastRenderedPageBreak/>
        <w:t>Evaluating</w:t>
      </w:r>
      <w:r w:rsidR="00087064" w:rsidRPr="00311831">
        <w:rPr>
          <w:b/>
          <w:sz w:val="32"/>
          <w:szCs w:val="32"/>
          <w:lang w:val="en-US"/>
        </w:rPr>
        <w:t xml:space="preserve"> the FLQ</w:t>
      </w:r>
      <w:r w:rsidR="001B4F4E">
        <w:rPr>
          <w:b/>
          <w:sz w:val="32"/>
          <w:szCs w:val="32"/>
          <w:lang w:val="en-US"/>
        </w:rPr>
        <w:t xml:space="preserve"> and AFLQ</w:t>
      </w:r>
      <w:r w:rsidR="00087064" w:rsidRPr="00311831">
        <w:rPr>
          <w:b/>
          <w:sz w:val="32"/>
          <w:szCs w:val="32"/>
          <w:lang w:val="en-US"/>
        </w:rPr>
        <w:t xml:space="preserve"> Formula</w:t>
      </w:r>
      <w:r w:rsidR="001B4F4E">
        <w:rPr>
          <w:b/>
          <w:sz w:val="32"/>
          <w:szCs w:val="32"/>
          <w:lang w:val="en-US"/>
        </w:rPr>
        <w:t>e</w:t>
      </w:r>
      <w:r w:rsidR="00087064" w:rsidRPr="00311831">
        <w:rPr>
          <w:b/>
          <w:sz w:val="32"/>
          <w:szCs w:val="32"/>
          <w:lang w:val="en-US"/>
        </w:rPr>
        <w:t xml:space="preserve"> for </w:t>
      </w:r>
      <w:r>
        <w:rPr>
          <w:b/>
          <w:sz w:val="32"/>
          <w:szCs w:val="32"/>
          <w:lang w:val="en-US"/>
        </w:rPr>
        <w:t xml:space="preserve">Estimating </w:t>
      </w:r>
      <w:r w:rsidR="00087064" w:rsidRPr="00311831">
        <w:rPr>
          <w:b/>
          <w:sz w:val="32"/>
          <w:szCs w:val="32"/>
          <w:lang w:val="en-US"/>
        </w:rPr>
        <w:t>Regional Input</w:t>
      </w:r>
      <w:r w:rsidR="00EF4E81">
        <w:rPr>
          <w:b/>
          <w:sz w:val="32"/>
          <w:szCs w:val="32"/>
          <w:lang w:val="en-US"/>
        </w:rPr>
        <w:t xml:space="preserve"> Coefficients</w:t>
      </w:r>
      <w:r w:rsidR="00087064" w:rsidRPr="00311831">
        <w:rPr>
          <w:b/>
          <w:sz w:val="32"/>
          <w:szCs w:val="32"/>
          <w:lang w:val="en-US"/>
        </w:rPr>
        <w:t xml:space="preserve">: </w:t>
      </w:r>
      <w:r w:rsidRPr="00311831">
        <w:rPr>
          <w:b/>
          <w:sz w:val="32"/>
          <w:szCs w:val="32"/>
          <w:lang w:val="en-US"/>
        </w:rPr>
        <w:t xml:space="preserve">Empirical Evidence </w:t>
      </w:r>
      <w:r>
        <w:rPr>
          <w:b/>
          <w:sz w:val="32"/>
          <w:szCs w:val="32"/>
          <w:lang w:val="en-US"/>
        </w:rPr>
        <w:t>for</w:t>
      </w:r>
      <w:r w:rsidR="00087064" w:rsidRPr="00311831">
        <w:rPr>
          <w:b/>
          <w:sz w:val="32"/>
          <w:szCs w:val="32"/>
          <w:lang w:val="en-US"/>
        </w:rPr>
        <w:t xml:space="preserve"> the Province of Córdoba, Argentina</w:t>
      </w:r>
    </w:p>
    <w:p w:rsidR="00087064" w:rsidRDefault="00087064" w:rsidP="00AB7646">
      <w:pPr>
        <w:ind w:firstLine="0"/>
        <w:rPr>
          <w:sz w:val="20"/>
          <w:szCs w:val="20"/>
          <w:lang w:val="en-US"/>
        </w:rPr>
      </w:pPr>
    </w:p>
    <w:p w:rsidR="001B4F4E" w:rsidRPr="007E04B1" w:rsidRDefault="001B4F4E" w:rsidP="001B4F4E">
      <w:pPr>
        <w:ind w:firstLine="0"/>
        <w:rPr>
          <w:b/>
          <w:sz w:val="20"/>
          <w:szCs w:val="20"/>
          <w:lang w:val="en-US"/>
        </w:rPr>
      </w:pPr>
      <w:r w:rsidRPr="00484A26">
        <w:rPr>
          <w:sz w:val="20"/>
          <w:szCs w:val="20"/>
          <w:lang w:val="en-US"/>
        </w:rPr>
        <w:t>This paper uses survey-based data for the</w:t>
      </w:r>
      <w:r w:rsidRPr="00484A26">
        <w:rPr>
          <w:sz w:val="20"/>
          <w:szCs w:val="20"/>
        </w:rPr>
        <w:t xml:space="preserve"> </w:t>
      </w:r>
      <w:r>
        <w:rPr>
          <w:sz w:val="20"/>
          <w:szCs w:val="20"/>
        </w:rPr>
        <w:t xml:space="preserve">Argentinian </w:t>
      </w:r>
      <w:r w:rsidRPr="00484A26">
        <w:rPr>
          <w:sz w:val="20"/>
          <w:szCs w:val="20"/>
          <w:lang w:val="en-US"/>
        </w:rPr>
        <w:t>province of Córdoba</w:t>
      </w:r>
      <w:r>
        <w:rPr>
          <w:sz w:val="20"/>
          <w:szCs w:val="20"/>
          <w:lang w:val="en-US"/>
        </w:rPr>
        <w:t xml:space="preserve"> </w:t>
      </w:r>
      <w:r w:rsidRPr="00484A26">
        <w:rPr>
          <w:sz w:val="20"/>
          <w:szCs w:val="20"/>
          <w:lang w:val="en-US"/>
        </w:rPr>
        <w:t xml:space="preserve">to carry out an empirical test of the performance of the FLQ </w:t>
      </w:r>
      <w:r>
        <w:rPr>
          <w:sz w:val="20"/>
          <w:szCs w:val="20"/>
          <w:lang w:val="en-US"/>
        </w:rPr>
        <w:t xml:space="preserve">and AFLQ </w:t>
      </w:r>
      <w:r w:rsidRPr="00484A26">
        <w:rPr>
          <w:sz w:val="20"/>
          <w:szCs w:val="20"/>
          <w:lang w:val="en-US"/>
        </w:rPr>
        <w:t>formula</w:t>
      </w:r>
      <w:r>
        <w:rPr>
          <w:sz w:val="20"/>
          <w:szCs w:val="20"/>
          <w:lang w:val="en-US"/>
        </w:rPr>
        <w:t>e</w:t>
      </w:r>
      <w:r w:rsidRPr="00484A26">
        <w:rPr>
          <w:sz w:val="20"/>
          <w:szCs w:val="20"/>
          <w:lang w:val="en-US"/>
        </w:rPr>
        <w:t xml:space="preserve"> for </w:t>
      </w:r>
      <w:r>
        <w:rPr>
          <w:sz w:val="20"/>
          <w:szCs w:val="20"/>
          <w:lang w:val="en-US"/>
        </w:rPr>
        <w:t xml:space="preserve">estimating </w:t>
      </w:r>
      <w:r w:rsidRPr="00484A26">
        <w:rPr>
          <w:sz w:val="20"/>
          <w:szCs w:val="20"/>
          <w:lang w:val="en-US"/>
        </w:rPr>
        <w:t>regional</w:t>
      </w:r>
      <w:r w:rsidRPr="00484A26">
        <w:rPr>
          <w:sz w:val="20"/>
          <w:szCs w:val="20"/>
        </w:rPr>
        <w:t xml:space="preserve"> input</w:t>
      </w:r>
      <w:r>
        <w:rPr>
          <w:sz w:val="20"/>
          <w:szCs w:val="20"/>
        </w:rPr>
        <w:t xml:space="preserve"> coefficient</w:t>
      </w:r>
      <w:r w:rsidRPr="00484A26">
        <w:rPr>
          <w:sz w:val="20"/>
          <w:szCs w:val="20"/>
        </w:rPr>
        <w:t>s. Particular attention is paid to the problem of choosing a</w:t>
      </w:r>
      <w:r w:rsidRPr="00484A26">
        <w:rPr>
          <w:sz w:val="20"/>
          <w:szCs w:val="20"/>
          <w:lang w:val="en-US"/>
        </w:rPr>
        <w:t xml:space="preserve"> value for</w:t>
      </w:r>
      <w:r w:rsidRPr="00484A26">
        <w:rPr>
          <w:sz w:val="20"/>
          <w:szCs w:val="20"/>
        </w:rPr>
        <w:t xml:space="preserve"> the unknown parameter </w:t>
      </w:r>
      <w:r w:rsidRPr="00484A26">
        <w:rPr>
          <w:color w:val="000000"/>
          <w:sz w:val="20"/>
          <w:szCs w:val="20"/>
        </w:rPr>
        <w:t xml:space="preserve">δ </w:t>
      </w:r>
      <w:r w:rsidRPr="00484A26">
        <w:rPr>
          <w:sz w:val="20"/>
          <w:szCs w:val="20"/>
          <w:lang w:val="en-US"/>
        </w:rPr>
        <w:t>in th</w:t>
      </w:r>
      <w:r>
        <w:rPr>
          <w:sz w:val="20"/>
          <w:szCs w:val="20"/>
          <w:lang w:val="en-US"/>
        </w:rPr>
        <w:t>e</w:t>
      </w:r>
      <w:r w:rsidRPr="00484A26">
        <w:rPr>
          <w:sz w:val="20"/>
          <w:szCs w:val="20"/>
          <w:lang w:val="en-US"/>
        </w:rPr>
        <w:t>s</w:t>
      </w:r>
      <w:r>
        <w:rPr>
          <w:sz w:val="20"/>
          <w:szCs w:val="20"/>
          <w:lang w:val="en-US"/>
        </w:rPr>
        <w:t>e</w:t>
      </w:r>
      <w:r w:rsidRPr="00484A26">
        <w:rPr>
          <w:sz w:val="20"/>
          <w:szCs w:val="20"/>
          <w:lang w:val="en-US"/>
        </w:rPr>
        <w:t xml:space="preserve"> formula</w:t>
      </w:r>
      <w:r>
        <w:rPr>
          <w:sz w:val="20"/>
          <w:szCs w:val="20"/>
          <w:lang w:val="en-US"/>
        </w:rPr>
        <w:t>e</w:t>
      </w:r>
      <w:r w:rsidRPr="00484A26">
        <w:rPr>
          <w:sz w:val="20"/>
          <w:szCs w:val="20"/>
          <w:lang w:val="en-US"/>
        </w:rPr>
        <w:t xml:space="preserve">. </w:t>
      </w:r>
      <w:r>
        <w:rPr>
          <w:sz w:val="20"/>
          <w:szCs w:val="20"/>
          <w:lang w:val="en-US"/>
        </w:rPr>
        <w:t xml:space="preserve">Two alternative approaches suggested in the literature are evaluated. A statistical test is also performed of differences between </w:t>
      </w:r>
      <w:r w:rsidR="000F480B">
        <w:rPr>
          <w:sz w:val="20"/>
          <w:szCs w:val="20"/>
          <w:lang w:val="en-US"/>
        </w:rPr>
        <w:t xml:space="preserve">the </w:t>
      </w:r>
      <w:r>
        <w:rPr>
          <w:sz w:val="20"/>
          <w:szCs w:val="20"/>
          <w:lang w:val="en-US"/>
        </w:rPr>
        <w:t xml:space="preserve">regional and national </w:t>
      </w:r>
      <w:r w:rsidR="000F480B">
        <w:rPr>
          <w:sz w:val="20"/>
          <w:szCs w:val="20"/>
          <w:lang w:val="en-US"/>
        </w:rPr>
        <w:t>use of intermediate inputs</w:t>
      </w:r>
      <w:r>
        <w:rPr>
          <w:sz w:val="20"/>
          <w:szCs w:val="20"/>
          <w:lang w:val="en-US"/>
        </w:rPr>
        <w:t xml:space="preserve">, and Round’s ‘fabrication’ formula is applied in an effort to make suitable adjustments for such differences. However, </w:t>
      </w:r>
      <w:r w:rsidRPr="00E80E8D">
        <w:rPr>
          <w:color w:val="000000"/>
          <w:sz w:val="20"/>
          <w:szCs w:val="20"/>
        </w:rPr>
        <w:t xml:space="preserve">the FLQ </w:t>
      </w:r>
      <w:r>
        <w:rPr>
          <w:color w:val="000000"/>
          <w:sz w:val="20"/>
          <w:szCs w:val="20"/>
        </w:rPr>
        <w:t>and AFLQ</w:t>
      </w:r>
      <w:r w:rsidRPr="00E80E8D">
        <w:rPr>
          <w:color w:val="000000"/>
          <w:sz w:val="20"/>
          <w:szCs w:val="20"/>
        </w:rPr>
        <w:t xml:space="preserve">, without any fabrication adjustments, </w:t>
      </w:r>
      <w:r>
        <w:rPr>
          <w:color w:val="000000"/>
          <w:sz w:val="20"/>
          <w:szCs w:val="20"/>
        </w:rPr>
        <w:t xml:space="preserve">are found to </w:t>
      </w:r>
      <w:r w:rsidRPr="00E80E8D">
        <w:rPr>
          <w:color w:val="000000"/>
          <w:sz w:val="20"/>
          <w:szCs w:val="20"/>
        </w:rPr>
        <w:t>g</w:t>
      </w:r>
      <w:r>
        <w:rPr>
          <w:color w:val="000000"/>
          <w:sz w:val="20"/>
          <w:szCs w:val="20"/>
        </w:rPr>
        <w:t>i</w:t>
      </w:r>
      <w:r w:rsidRPr="00E80E8D">
        <w:rPr>
          <w:color w:val="000000"/>
          <w:sz w:val="20"/>
          <w:szCs w:val="20"/>
        </w:rPr>
        <w:t xml:space="preserve">ve the best overall results of the </w:t>
      </w:r>
      <w:r>
        <w:rPr>
          <w:color w:val="000000"/>
          <w:sz w:val="20"/>
          <w:szCs w:val="20"/>
        </w:rPr>
        <w:t xml:space="preserve">non-survey </w:t>
      </w:r>
      <w:r w:rsidRPr="00E80E8D">
        <w:rPr>
          <w:color w:val="000000"/>
          <w:sz w:val="20"/>
          <w:szCs w:val="20"/>
        </w:rPr>
        <w:t xml:space="preserve">methods considered </w:t>
      </w:r>
      <w:r>
        <w:rPr>
          <w:color w:val="000000"/>
          <w:sz w:val="20"/>
          <w:szCs w:val="20"/>
        </w:rPr>
        <w:t>in the paper</w:t>
      </w:r>
      <w:r w:rsidRPr="00E80E8D">
        <w:rPr>
          <w:color w:val="000000"/>
          <w:sz w:val="20"/>
          <w:szCs w:val="20"/>
        </w:rPr>
        <w:t>.</w:t>
      </w:r>
      <w:r>
        <w:rPr>
          <w:color w:val="000000"/>
          <w:sz w:val="20"/>
          <w:szCs w:val="20"/>
        </w:rPr>
        <w:t xml:space="preserve"> The</w:t>
      </w:r>
      <w:r w:rsidR="00285F34">
        <w:rPr>
          <w:color w:val="000000"/>
          <w:sz w:val="20"/>
          <w:szCs w:val="20"/>
        </w:rPr>
        <w:t>se two formulae</w:t>
      </w:r>
      <w:r>
        <w:rPr>
          <w:color w:val="000000"/>
          <w:sz w:val="20"/>
          <w:szCs w:val="20"/>
        </w:rPr>
        <w:t xml:space="preserve"> produce very similar results, which is in line with the findings of previous studies.</w:t>
      </w:r>
    </w:p>
    <w:p w:rsidR="00087064" w:rsidRDefault="00484A26" w:rsidP="000707BD">
      <w:pPr>
        <w:spacing w:after="0" w:line="480" w:lineRule="auto"/>
        <w:ind w:firstLine="0"/>
        <w:jc w:val="left"/>
        <w:rPr>
          <w:sz w:val="20"/>
          <w:szCs w:val="20"/>
          <w:u w:val="single"/>
          <w:lang w:val="en-US"/>
        </w:rPr>
      </w:pPr>
      <w:r>
        <w:rPr>
          <w:i/>
          <w:sz w:val="20"/>
          <w:szCs w:val="20"/>
          <w:lang w:val="en-US"/>
        </w:rPr>
        <w:t>Keywords:</w:t>
      </w:r>
      <w:r>
        <w:rPr>
          <w:sz w:val="20"/>
          <w:szCs w:val="20"/>
          <w:lang w:val="en-US"/>
        </w:rPr>
        <w:t xml:space="preserve"> </w:t>
      </w:r>
      <w:r w:rsidR="00B87ACA">
        <w:rPr>
          <w:sz w:val="20"/>
          <w:szCs w:val="20"/>
          <w:lang w:val="en-US"/>
        </w:rPr>
        <w:t>Regional input</w:t>
      </w:r>
      <w:r w:rsidR="00B87ACA" w:rsidRPr="00484A26">
        <w:rPr>
          <w:sz w:val="20"/>
          <w:szCs w:val="20"/>
        </w:rPr>
        <w:sym w:font="Symbol" w:char="F02D"/>
      </w:r>
      <w:r w:rsidR="00B87ACA" w:rsidRPr="00484A26">
        <w:rPr>
          <w:sz w:val="20"/>
          <w:szCs w:val="20"/>
        </w:rPr>
        <w:t>output tables</w:t>
      </w:r>
      <w:r w:rsidR="00B87ACA">
        <w:rPr>
          <w:sz w:val="20"/>
          <w:szCs w:val="20"/>
        </w:rPr>
        <w:t>; Argentina; Location quotients; FLQ</w:t>
      </w:r>
      <w:r w:rsidR="00EC4F09">
        <w:rPr>
          <w:sz w:val="20"/>
          <w:szCs w:val="20"/>
        </w:rPr>
        <w:t>;</w:t>
      </w:r>
      <w:r w:rsidR="00844A5D">
        <w:rPr>
          <w:sz w:val="20"/>
          <w:szCs w:val="20"/>
        </w:rPr>
        <w:t xml:space="preserve"> AFLQ;</w:t>
      </w:r>
      <w:r w:rsidR="00EC4F09">
        <w:rPr>
          <w:sz w:val="20"/>
          <w:szCs w:val="20"/>
        </w:rPr>
        <w:t xml:space="preserve"> Fabrication effects</w:t>
      </w:r>
    </w:p>
    <w:p w:rsidR="00087064" w:rsidRDefault="00087064" w:rsidP="000707BD">
      <w:pPr>
        <w:spacing w:after="0" w:line="480" w:lineRule="auto"/>
        <w:ind w:firstLine="0"/>
        <w:jc w:val="left"/>
        <w:rPr>
          <w:sz w:val="20"/>
          <w:szCs w:val="20"/>
          <w:u w:val="single"/>
          <w:lang w:val="en-US"/>
        </w:rPr>
      </w:pPr>
    </w:p>
    <w:p w:rsidR="00AB7646" w:rsidRPr="00352239" w:rsidRDefault="00F856C8" w:rsidP="000707BD">
      <w:pPr>
        <w:spacing w:after="0" w:line="480" w:lineRule="auto"/>
        <w:ind w:firstLine="0"/>
        <w:jc w:val="left"/>
        <w:rPr>
          <w:lang w:val="en-US"/>
        </w:rPr>
      </w:pPr>
      <w:r>
        <w:rPr>
          <w:lang w:val="en-US"/>
        </w:rPr>
        <w:t xml:space="preserve">1  </w:t>
      </w:r>
      <w:r w:rsidR="000707BD">
        <w:rPr>
          <w:lang w:val="en-US"/>
        </w:rPr>
        <w:t xml:space="preserve"> </w:t>
      </w:r>
      <w:r w:rsidR="00AB7646" w:rsidRPr="00352239">
        <w:rPr>
          <w:b/>
          <w:lang w:val="en-US"/>
        </w:rPr>
        <w:t>INTRODUCTION</w:t>
      </w:r>
    </w:p>
    <w:p w:rsidR="00F9709C" w:rsidRPr="00460BA6" w:rsidRDefault="00AB7646" w:rsidP="007E07DE">
      <w:pPr>
        <w:tabs>
          <w:tab w:val="left" w:pos="284"/>
        </w:tabs>
        <w:spacing w:after="0" w:line="480" w:lineRule="auto"/>
        <w:ind w:firstLine="0"/>
        <w:rPr>
          <w:b/>
          <w:vertAlign w:val="superscript"/>
        </w:rPr>
      </w:pPr>
      <w:r>
        <w:t>Regional input</w:t>
      </w:r>
      <w:r w:rsidRPr="00F7201E">
        <w:sym w:font="Symbol" w:char="F02D"/>
      </w:r>
      <w:r w:rsidRPr="00F7201E">
        <w:t>output</w:t>
      </w:r>
      <w:r>
        <w:t xml:space="preserve"> tables are a</w:t>
      </w:r>
      <w:r w:rsidR="00881DE1">
        <w:t>n</w:t>
      </w:r>
      <w:r w:rsidRPr="00762E28">
        <w:t xml:space="preserve"> </w:t>
      </w:r>
      <w:r w:rsidR="00881DE1">
        <w:t>invaluable</w:t>
      </w:r>
      <w:r>
        <w:t xml:space="preserve"> </w:t>
      </w:r>
      <w:r w:rsidR="007A051C">
        <w:t>aid to</w:t>
      </w:r>
      <w:r>
        <w:t xml:space="preserve"> regional planning</w:t>
      </w:r>
      <w:r w:rsidR="00ED0E4A">
        <w:t>, ye</w:t>
      </w:r>
      <w:r>
        <w:t xml:space="preserve">t </w:t>
      </w:r>
      <w:r w:rsidR="007A051C">
        <w:t>build</w:t>
      </w:r>
      <w:r>
        <w:t>ing a s</w:t>
      </w:r>
      <w:r w:rsidR="007E07DE">
        <w:t>urvey-based</w:t>
      </w:r>
      <w:r>
        <w:t xml:space="preserve"> regional table can be complex</w:t>
      </w:r>
      <w:r w:rsidR="007E07DE">
        <w:t>,</w:t>
      </w:r>
      <w:r>
        <w:t xml:space="preserve"> expensive</w:t>
      </w:r>
      <w:r w:rsidR="007E07DE">
        <w:t xml:space="preserve"> and </w:t>
      </w:r>
      <w:r w:rsidR="005A2481">
        <w:t>time consuming</w:t>
      </w:r>
      <w:r>
        <w:t>.  As a result, regional tables based primarily on survey data are rare.  An exception is t</w:t>
      </w:r>
      <w:r w:rsidRPr="0010320B">
        <w:rPr>
          <w:lang w:val="en-US"/>
        </w:rPr>
        <w:t>he province of Córdoba</w:t>
      </w:r>
      <w:r>
        <w:rPr>
          <w:lang w:val="en-US"/>
        </w:rPr>
        <w:t xml:space="preserve"> in Argentina, which is fortunate in having a </w:t>
      </w:r>
      <w:r w:rsidR="00821DC7">
        <w:rPr>
          <w:lang w:val="en-US"/>
        </w:rPr>
        <w:t xml:space="preserve">largely </w:t>
      </w:r>
      <w:r>
        <w:rPr>
          <w:lang w:val="en-US"/>
        </w:rPr>
        <w:t>survey-based table for</w:t>
      </w:r>
      <w:r w:rsidRPr="0010320B">
        <w:rPr>
          <w:lang w:val="en-US"/>
        </w:rPr>
        <w:t xml:space="preserve"> the year 2003</w:t>
      </w:r>
      <w:r>
        <w:rPr>
          <w:lang w:val="en-US"/>
        </w:rPr>
        <w:t xml:space="preserve"> with </w:t>
      </w:r>
      <w:r w:rsidRPr="0010320B">
        <w:rPr>
          <w:lang w:val="en-US"/>
        </w:rPr>
        <w:t>124 sectors</w:t>
      </w:r>
      <w:r>
        <w:rPr>
          <w:lang w:val="en-US"/>
        </w:rPr>
        <w:t>.</w:t>
      </w:r>
      <w:r w:rsidR="00FD243E">
        <w:rPr>
          <w:lang w:val="en-US"/>
        </w:rPr>
        <w:t xml:space="preserve">  Our primary aim is to make full use of th</w:t>
      </w:r>
      <w:r w:rsidR="000B302B">
        <w:rPr>
          <w:lang w:val="en-US"/>
        </w:rPr>
        <w:t>is</w:t>
      </w:r>
      <w:r w:rsidR="00FD243E">
        <w:rPr>
          <w:lang w:val="en-US"/>
        </w:rPr>
        <w:t xml:space="preserve"> rich data set</w:t>
      </w:r>
      <w:r w:rsidR="000B302B">
        <w:rPr>
          <w:lang w:val="en-US"/>
        </w:rPr>
        <w:t xml:space="preserve"> </w:t>
      </w:r>
      <w:r w:rsidR="00525456">
        <w:rPr>
          <w:lang w:val="en-US"/>
        </w:rPr>
        <w:t>to</w:t>
      </w:r>
      <w:r w:rsidR="000B302B">
        <w:rPr>
          <w:lang w:val="en-US"/>
        </w:rPr>
        <w:t xml:space="preserve"> </w:t>
      </w:r>
      <w:r w:rsidR="004E5F50">
        <w:rPr>
          <w:lang w:val="en-US"/>
        </w:rPr>
        <w:t>assess</w:t>
      </w:r>
      <w:r w:rsidR="007E07DE">
        <w:rPr>
          <w:lang w:val="en-US"/>
        </w:rPr>
        <w:t xml:space="preserve"> the relative performance of alternative non-survey methods for constructing </w:t>
      </w:r>
      <w:r w:rsidR="007E07DE">
        <w:t>regional tables.</w:t>
      </w:r>
      <w:r w:rsidR="00540C05">
        <w:t xml:space="preserve">  In doing so, we restrict our attention to methods based on l</w:t>
      </w:r>
      <w:r w:rsidR="00540C05" w:rsidRPr="000A194A">
        <w:t>ocation quotients</w:t>
      </w:r>
      <w:r w:rsidR="00540C05" w:rsidRPr="00F7201E">
        <w:t xml:space="preserve"> (LQ</w:t>
      </w:r>
      <w:r w:rsidR="00540C05">
        <w:t>s</w:t>
      </w:r>
      <w:r w:rsidR="00540C05" w:rsidRPr="00F7201E">
        <w:t>)</w:t>
      </w:r>
      <w:r w:rsidR="00540C05">
        <w:t>.</w:t>
      </w:r>
      <w:r w:rsidR="000C5354">
        <w:rPr>
          <w:b/>
          <w:vertAlign w:val="superscript"/>
        </w:rPr>
        <w:t>1</w:t>
      </w:r>
    </w:p>
    <w:p w:rsidR="00A35BAD" w:rsidRDefault="005424B1" w:rsidP="00E242A6">
      <w:pPr>
        <w:widowControl w:val="0"/>
        <w:tabs>
          <w:tab w:val="left" w:pos="426"/>
        </w:tabs>
        <w:spacing w:after="0" w:line="480" w:lineRule="auto"/>
        <w:ind w:firstLine="0"/>
      </w:pPr>
      <w:r>
        <w:tab/>
      </w:r>
      <w:r w:rsidR="00143601" w:rsidRPr="00F7201E">
        <w:t>LQ</w:t>
      </w:r>
      <w:r w:rsidR="00143601">
        <w:t>s offer a</w:t>
      </w:r>
      <w:r>
        <w:t xml:space="preserve"> strai</w:t>
      </w:r>
      <w:r w:rsidR="00143601">
        <w:t xml:space="preserve">ghtforward and inexpensive way </w:t>
      </w:r>
      <w:r>
        <w:t>of regionalizing</w:t>
      </w:r>
      <w:r w:rsidRPr="001D371C">
        <w:t xml:space="preserve"> </w:t>
      </w:r>
      <w:r>
        <w:t>a national</w:t>
      </w:r>
      <w:r w:rsidRPr="00F7201E">
        <w:t xml:space="preserve"> input</w:t>
      </w:r>
      <w:r w:rsidRPr="00F7201E">
        <w:sym w:font="Symbol" w:char="F02D"/>
      </w:r>
      <w:r w:rsidRPr="00F7201E">
        <w:t xml:space="preserve">output </w:t>
      </w:r>
      <w:r>
        <w:t>table.</w:t>
      </w:r>
      <w:r w:rsidR="00A546C6">
        <w:t xml:space="preserve">  In the past, analysts have often used the </w:t>
      </w:r>
      <w:r w:rsidR="00A546C6" w:rsidRPr="00002668">
        <w:rPr>
          <w:i/>
        </w:rPr>
        <w:t>simple</w:t>
      </w:r>
      <w:r w:rsidR="00A546C6">
        <w:t xml:space="preserve"> LQ (SLQ)</w:t>
      </w:r>
      <w:r>
        <w:t xml:space="preserve"> </w:t>
      </w:r>
      <w:r w:rsidR="00A546C6">
        <w:t xml:space="preserve">or the </w:t>
      </w:r>
      <w:r w:rsidR="00A546C6">
        <w:rPr>
          <w:i/>
        </w:rPr>
        <w:t>cross-industry</w:t>
      </w:r>
      <w:r w:rsidR="00A546C6">
        <w:t xml:space="preserve"> LQ (CILQ)</w:t>
      </w:r>
      <w:r w:rsidR="00CA66BF">
        <w:t>, yet</w:t>
      </w:r>
      <w:r w:rsidR="008E3EC5">
        <w:t xml:space="preserve"> these conventional LQs are known to </w:t>
      </w:r>
      <w:r w:rsidR="00030D06">
        <w:t>understate region</w:t>
      </w:r>
      <w:r w:rsidR="00273B92">
        <w:t>al trade</w:t>
      </w:r>
      <w:r w:rsidR="008E3EC5">
        <w:t xml:space="preserve">.  </w:t>
      </w:r>
      <w:r w:rsidR="00A35BAD">
        <w:t xml:space="preserve">This understatement is largely due to the fact that these conventional LQs either rule out (as with the SLQ) or </w:t>
      </w:r>
      <w:r w:rsidR="002F6E66">
        <w:t>great</w:t>
      </w:r>
      <w:r w:rsidR="00A35BAD">
        <w:t xml:space="preserve">ly underestimate (as with the CILQ) the extent of </w:t>
      </w:r>
      <w:r w:rsidR="00A35BAD">
        <w:rPr>
          <w:i/>
        </w:rPr>
        <w:t>cross-hauling</w:t>
      </w:r>
      <w:r w:rsidR="00A35BAD">
        <w:t xml:space="preserve"> (the simultaneous importing and exporting of a given commodity).</w:t>
      </w:r>
      <w:r w:rsidR="00A35BAD">
        <w:rPr>
          <w:b/>
          <w:vertAlign w:val="superscript"/>
        </w:rPr>
        <w:t>2</w:t>
      </w:r>
    </w:p>
    <w:p w:rsidR="009F4DB7" w:rsidRDefault="00A35BAD" w:rsidP="00E242A6">
      <w:pPr>
        <w:widowControl w:val="0"/>
        <w:tabs>
          <w:tab w:val="left" w:pos="426"/>
        </w:tabs>
        <w:spacing w:after="0" w:line="480" w:lineRule="auto"/>
        <w:ind w:firstLine="0"/>
        <w:rPr>
          <w:color w:val="000000"/>
        </w:rPr>
      </w:pPr>
      <w:r>
        <w:tab/>
      </w:r>
      <w:r w:rsidR="008E3EC5">
        <w:t>In an e</w:t>
      </w:r>
      <w:r w:rsidR="00C51B55">
        <w:t>ffort</w:t>
      </w:r>
      <w:r w:rsidR="008E3EC5">
        <w:t xml:space="preserve"> to </w:t>
      </w:r>
      <w:r w:rsidR="00852BEB">
        <w:t>capture the full extent of regional imports from other regions</w:t>
      </w:r>
      <w:r w:rsidR="008E3EC5">
        <w:t xml:space="preserve">, Flegg </w:t>
      </w:r>
      <w:r w:rsidR="008E3EC5" w:rsidRPr="00B2468E">
        <w:t>et al.</w:t>
      </w:r>
      <w:r w:rsidR="008E3EC5">
        <w:t xml:space="preserve"> (1995) proposed </w:t>
      </w:r>
      <w:r w:rsidR="008E3EC5" w:rsidRPr="00F7201E">
        <w:t>a</w:t>
      </w:r>
      <w:r w:rsidR="008E3EC5">
        <w:t xml:space="preserve"> new</w:t>
      </w:r>
      <w:r w:rsidR="008E3EC5" w:rsidRPr="00F7201E">
        <w:t xml:space="preserve"> </w:t>
      </w:r>
      <w:r w:rsidR="005624A4">
        <w:t>variant of the existing LQs</w:t>
      </w:r>
      <w:r w:rsidR="008E3EC5">
        <w:t>,</w:t>
      </w:r>
      <w:r w:rsidR="008E3EC5" w:rsidRPr="00F7201E">
        <w:t xml:space="preserve"> the FLQ formula</w:t>
      </w:r>
      <w:r w:rsidR="008E3EC5">
        <w:t xml:space="preserve">, which took </w:t>
      </w:r>
      <w:r w:rsidR="005921EB">
        <w:t xml:space="preserve">explicit account of </w:t>
      </w:r>
      <w:r w:rsidR="00F773F6">
        <w:t xml:space="preserve">the relative size of </w:t>
      </w:r>
      <w:r w:rsidR="005921EB">
        <w:t xml:space="preserve">a </w:t>
      </w:r>
      <w:r w:rsidR="008E3EC5">
        <w:t>region.  They pos</w:t>
      </w:r>
      <w:r w:rsidR="0013655F">
        <w:t>tulated</w:t>
      </w:r>
      <w:r w:rsidR="008E3EC5">
        <w:t xml:space="preserve"> an inverse relationship between </w:t>
      </w:r>
      <w:r w:rsidR="00F773F6">
        <w:t xml:space="preserve">a </w:t>
      </w:r>
      <w:r w:rsidR="008E3EC5">
        <w:lastRenderedPageBreak/>
        <w:t>region</w:t>
      </w:r>
      <w:r w:rsidR="00F773F6">
        <w:t>’s</w:t>
      </w:r>
      <w:r w:rsidR="008E3EC5">
        <w:t xml:space="preserve"> </w:t>
      </w:r>
      <w:r w:rsidR="00F773F6">
        <w:t xml:space="preserve">relative </w:t>
      </w:r>
      <w:r w:rsidR="008E3EC5">
        <w:t xml:space="preserve">size and </w:t>
      </w:r>
      <w:r w:rsidR="00F773F6">
        <w:t>its</w:t>
      </w:r>
      <w:r w:rsidR="008E3EC5">
        <w:t xml:space="preserve"> propensity to import from other regions.  </w:t>
      </w:r>
      <w:r w:rsidR="005737D3">
        <w:rPr>
          <w:color w:val="000000"/>
        </w:rPr>
        <w:t>Flegg and Webber (1997)</w:t>
      </w:r>
      <w:r w:rsidR="008E3EC5">
        <w:t xml:space="preserve"> subsequently refined </w:t>
      </w:r>
      <w:r w:rsidR="005737D3">
        <w:t>this FLQ formula</w:t>
      </w:r>
      <w:r w:rsidR="008E3EC5">
        <w:rPr>
          <w:color w:val="000000"/>
        </w:rPr>
        <w:t>.</w:t>
      </w:r>
      <w:r w:rsidR="004F0CFF">
        <w:rPr>
          <w:color w:val="000000"/>
        </w:rPr>
        <w:t xml:space="preserve">  Another variant, the AFLQ formula, which takes regional specialization into account, was proposed by Flegg and Webber (2000).</w:t>
      </w:r>
    </w:p>
    <w:p w:rsidR="004D1F85" w:rsidRDefault="009F4DB7" w:rsidP="00E242A6">
      <w:pPr>
        <w:widowControl w:val="0"/>
        <w:tabs>
          <w:tab w:val="left" w:pos="426"/>
        </w:tabs>
        <w:spacing w:after="0" w:line="480" w:lineRule="auto"/>
        <w:ind w:firstLine="0"/>
      </w:pPr>
      <w:r>
        <w:rPr>
          <w:color w:val="000000"/>
        </w:rPr>
        <w:tab/>
        <w:t>T</w:t>
      </w:r>
      <w:r>
        <w:t xml:space="preserve">he FLQ’s focus is on </w:t>
      </w:r>
      <w:r w:rsidR="00852BEB">
        <w:t>the</w:t>
      </w:r>
      <w:r>
        <w:t xml:space="preserve"> output and employment</w:t>
      </w:r>
      <w:r w:rsidR="00852BEB">
        <w:t xml:space="preserve"> generated within a particular region</w:t>
      </w:r>
      <w:r>
        <w:t>.  I</w:t>
      </w:r>
      <w:r>
        <w:rPr>
          <w:color w:val="000000"/>
        </w:rPr>
        <w:t>t</w:t>
      </w:r>
      <w:r w:rsidRPr="001A6A90">
        <w:t xml:space="preserve"> </w:t>
      </w:r>
      <w:r>
        <w:t xml:space="preserve">should only be applied to national </w:t>
      </w:r>
      <w:r w:rsidRPr="000A6DC5">
        <w:t>input</w:t>
      </w:r>
      <w:r w:rsidRPr="00F7201E">
        <w:sym w:font="Symbol" w:char="F02D"/>
      </w:r>
      <w:r w:rsidRPr="000A6DC5">
        <w:t>output tables</w:t>
      </w:r>
      <w:r>
        <w:t xml:space="preserve"> </w:t>
      </w:r>
      <w:r w:rsidR="002F6E66">
        <w:t>wh</w:t>
      </w:r>
      <w:r w:rsidR="0006561E">
        <w:t>ere</w:t>
      </w:r>
      <w:r w:rsidR="00A7585F">
        <w:t xml:space="preserve"> the inter</w:t>
      </w:r>
      <w:r w:rsidR="00953AA5">
        <w:t>-</w:t>
      </w:r>
      <w:r w:rsidR="00A7585F">
        <w:t>industry transactions</w:t>
      </w:r>
      <w:r>
        <w:t xml:space="preserve"> </w:t>
      </w:r>
      <w:r w:rsidR="00A7585F">
        <w:t xml:space="preserve">exclude </w:t>
      </w:r>
      <w:r w:rsidRPr="000A6DC5">
        <w:t>imports</w:t>
      </w:r>
      <w:r w:rsidR="00A7585F">
        <w:t xml:space="preserve"> </w:t>
      </w:r>
      <w:r>
        <w:t>(type B tables), such as the one that is examined here</w:t>
      </w:r>
      <w:r w:rsidR="00C362DB" w:rsidRPr="00C362DB">
        <w:rPr>
          <w:color w:val="000000"/>
        </w:rPr>
        <w:t xml:space="preserve"> </w:t>
      </w:r>
      <w:r w:rsidR="00C362DB">
        <w:rPr>
          <w:color w:val="000000"/>
        </w:rPr>
        <w:t>(</w:t>
      </w:r>
      <w:r w:rsidR="00C362DB" w:rsidRPr="00E96D57">
        <w:rPr>
          <w:color w:val="000000"/>
        </w:rPr>
        <w:t xml:space="preserve">Flegg and Tohmo, </w:t>
      </w:r>
      <w:r w:rsidR="00C362DB" w:rsidRPr="00E96D57">
        <w:t>2013</w:t>
      </w:r>
      <w:r w:rsidR="00EF39F9">
        <w:t>b</w:t>
      </w:r>
      <w:r w:rsidR="00C362DB">
        <w:t>)</w:t>
      </w:r>
      <w:r>
        <w:t xml:space="preserve">.  </w:t>
      </w:r>
      <w:r w:rsidR="00A8376D">
        <w:t>However, w</w:t>
      </w:r>
      <w:r>
        <w:t xml:space="preserve">here the focus is on the overall supply of goods, </w:t>
      </w:r>
      <w:r>
        <w:rPr>
          <w:lang w:val="en-US"/>
        </w:rPr>
        <w:t>Kronenberg’s Cross-Hauling Adjusted Regionalization Method (CHARM)</w:t>
      </w:r>
      <w:r w:rsidRPr="00440D9A">
        <w:t xml:space="preserve"> </w:t>
      </w:r>
      <w:r>
        <w:t>can be used for purposes of regionalization.  This new method is suitable for examining environmental i</w:t>
      </w:r>
      <w:r w:rsidR="00582E05">
        <w:t>mpact</w:t>
      </w:r>
      <w:r>
        <w:t xml:space="preserve">s.  CHARM </w:t>
      </w:r>
      <w:r w:rsidRPr="000A6DC5">
        <w:t xml:space="preserve">can only be </w:t>
      </w:r>
      <w:r>
        <w:t>used</w:t>
      </w:r>
      <w:r w:rsidRPr="000A6DC5">
        <w:t xml:space="preserve"> </w:t>
      </w:r>
      <w:r>
        <w:t xml:space="preserve">in conjunction with type </w:t>
      </w:r>
      <w:r w:rsidRPr="004C20F8">
        <w:t>A</w:t>
      </w:r>
      <w:r>
        <w:t xml:space="preserve"> tables, </w:t>
      </w:r>
      <w:r w:rsidR="009D294B">
        <w:t xml:space="preserve">those </w:t>
      </w:r>
      <w:r w:rsidRPr="000A6DC5">
        <w:t>where imports</w:t>
      </w:r>
      <w:r>
        <w:t xml:space="preserve"> </w:t>
      </w:r>
      <w:r w:rsidRPr="000A6DC5">
        <w:t>have been inc</w:t>
      </w:r>
      <w:r>
        <w:t>orporated</w:t>
      </w:r>
      <w:r w:rsidRPr="000A6DC5">
        <w:t xml:space="preserve"> in</w:t>
      </w:r>
      <w:r>
        <w:t>to</w:t>
      </w:r>
      <w:r w:rsidRPr="000A6DC5">
        <w:t xml:space="preserve"> the </w:t>
      </w:r>
      <w:r w:rsidR="005468BC">
        <w:t xml:space="preserve">national </w:t>
      </w:r>
      <w:r w:rsidR="00852BEB">
        <w:t xml:space="preserve">transactions </w:t>
      </w:r>
      <w:r w:rsidRPr="000A6DC5">
        <w:t>table</w:t>
      </w:r>
      <w:r>
        <w:t xml:space="preserve"> (</w:t>
      </w:r>
      <w:r>
        <w:rPr>
          <w:lang w:val="en-US"/>
        </w:rPr>
        <w:t>Kronenberg, 2009, 2012</w:t>
      </w:r>
      <w:r>
        <w:t>).</w:t>
      </w:r>
    </w:p>
    <w:p w:rsidR="00E242A6" w:rsidRDefault="00E242A6" w:rsidP="000E2E65">
      <w:pPr>
        <w:tabs>
          <w:tab w:val="left" w:pos="426"/>
        </w:tabs>
        <w:spacing w:after="0" w:line="480" w:lineRule="auto"/>
        <w:ind w:firstLine="0"/>
        <w:rPr>
          <w:color w:val="000000"/>
        </w:rPr>
      </w:pPr>
      <w:r>
        <w:tab/>
      </w:r>
      <w:r w:rsidR="00143601">
        <w:t>A</w:t>
      </w:r>
      <w:r>
        <w:t xml:space="preserve"> </w:t>
      </w:r>
      <w:r w:rsidR="003E1AAB">
        <w:t>siza</w:t>
      </w:r>
      <w:r>
        <w:t xml:space="preserve">ble body of empirical evidence </w:t>
      </w:r>
      <w:r w:rsidR="00143601">
        <w:t xml:space="preserve">now demonstrates that </w:t>
      </w:r>
      <w:r w:rsidR="00825330">
        <w:t xml:space="preserve">the FLQ </w:t>
      </w:r>
      <w:r w:rsidR="00A65F36">
        <w:t>can produce</w:t>
      </w:r>
      <w:r w:rsidR="00CA66BF">
        <w:t xml:space="preserve"> </w:t>
      </w:r>
      <w:r w:rsidR="003F59EE">
        <w:t>m</w:t>
      </w:r>
      <w:r w:rsidR="00325515">
        <w:t>ore accurate</w:t>
      </w:r>
      <w:r w:rsidR="00CA66BF">
        <w:t xml:space="preserve"> results than the SLQ and CILQ.  Th</w:t>
      </w:r>
      <w:r w:rsidR="00486A0D">
        <w:t>is</w:t>
      </w:r>
      <w:r w:rsidR="00CA66BF">
        <w:t xml:space="preserve"> </w:t>
      </w:r>
      <w:r w:rsidR="00EE0EB1">
        <w:t xml:space="preserve">evidence </w:t>
      </w:r>
      <w:r w:rsidR="00CA66BF">
        <w:t>includes</w:t>
      </w:r>
      <w:r w:rsidR="00111F4F">
        <w:t>, for instance,</w:t>
      </w:r>
      <w:r w:rsidR="00CA66BF">
        <w:t xml:space="preserve"> </w:t>
      </w:r>
      <w:r w:rsidR="00EE0EB1">
        <w:t>case studies</w:t>
      </w:r>
      <w:r w:rsidR="00CA66BF">
        <w:t xml:space="preserve"> </w:t>
      </w:r>
      <w:r w:rsidR="00BA4F82">
        <w:t>of</w:t>
      </w:r>
      <w:r w:rsidR="00CA66BF">
        <w:t xml:space="preserve"> Scotland (</w:t>
      </w:r>
      <w:r w:rsidR="00CA66BF">
        <w:rPr>
          <w:color w:val="000000"/>
        </w:rPr>
        <w:t xml:space="preserve">Flegg and Webber, 2000), </w:t>
      </w:r>
      <w:r w:rsidR="00111F4F">
        <w:rPr>
          <w:color w:val="000000"/>
        </w:rPr>
        <w:t xml:space="preserve">Finland (Tohmo, 2004; Flegg and Tohmo, </w:t>
      </w:r>
      <w:r w:rsidR="00951AD7">
        <w:rPr>
          <w:color w:val="000000"/>
        </w:rPr>
        <w:t>2013</w:t>
      </w:r>
      <w:r w:rsidR="00591DF7">
        <w:rPr>
          <w:color w:val="000000"/>
        </w:rPr>
        <w:t>a</w:t>
      </w:r>
      <w:r w:rsidR="00E27A21">
        <w:rPr>
          <w:color w:val="000000"/>
        </w:rPr>
        <w:t>,</w:t>
      </w:r>
      <w:r w:rsidR="00373313">
        <w:rPr>
          <w:color w:val="000000"/>
        </w:rPr>
        <w:t xml:space="preserve"> 2014</w:t>
      </w:r>
      <w:r w:rsidR="00111F4F">
        <w:rPr>
          <w:color w:val="000000"/>
        </w:rPr>
        <w:t>) and Germany (Kowalewski, 201</w:t>
      </w:r>
      <w:r w:rsidR="005E5686">
        <w:rPr>
          <w:color w:val="000000"/>
        </w:rPr>
        <w:t>5</w:t>
      </w:r>
      <w:r w:rsidR="00111F4F">
        <w:rPr>
          <w:color w:val="000000"/>
        </w:rPr>
        <w:t xml:space="preserve">).  </w:t>
      </w:r>
      <w:r w:rsidR="001464C4">
        <w:rPr>
          <w:color w:val="000000"/>
        </w:rPr>
        <w:t>Furthermore</w:t>
      </w:r>
      <w:r w:rsidR="00111F4F">
        <w:rPr>
          <w:color w:val="000000"/>
        </w:rPr>
        <w:t xml:space="preserve">, Bonfiglio and Chelli (2008) carried out a Monte Carlo simulation </w:t>
      </w:r>
      <w:r w:rsidR="00CD7C8C">
        <w:rPr>
          <w:color w:val="000000"/>
        </w:rPr>
        <w:t>of 400,000 output multipliers</w:t>
      </w:r>
      <w:r w:rsidR="00BD5251">
        <w:rPr>
          <w:color w:val="000000"/>
        </w:rPr>
        <w:t>.  Here t</w:t>
      </w:r>
      <w:r w:rsidR="00111F4F">
        <w:rPr>
          <w:color w:val="000000"/>
        </w:rPr>
        <w:t xml:space="preserve">he FLQ </w:t>
      </w:r>
      <w:r w:rsidR="001464C4">
        <w:rPr>
          <w:color w:val="000000"/>
        </w:rPr>
        <w:t>clearly outperformed</w:t>
      </w:r>
      <w:r w:rsidR="00111F4F">
        <w:rPr>
          <w:color w:val="000000"/>
        </w:rPr>
        <w:t xml:space="preserve"> </w:t>
      </w:r>
      <w:r w:rsidR="00EE0EB1">
        <w:rPr>
          <w:color w:val="000000"/>
        </w:rPr>
        <w:t>its predecessors</w:t>
      </w:r>
      <w:r w:rsidR="00BD5251">
        <w:rPr>
          <w:color w:val="000000"/>
        </w:rPr>
        <w:t xml:space="preserve"> in terms of generating the best estimates of these multipliers</w:t>
      </w:r>
      <w:r w:rsidR="00EE0EB1">
        <w:rPr>
          <w:color w:val="000000"/>
        </w:rPr>
        <w:t>.</w:t>
      </w:r>
      <w:r w:rsidR="00FB0F98">
        <w:rPr>
          <w:color w:val="000000"/>
        </w:rPr>
        <w:t xml:space="preserve">  T</w:t>
      </w:r>
      <w:r w:rsidR="00656CF2">
        <w:rPr>
          <w:color w:val="000000"/>
        </w:rPr>
        <w:t>he stud</w:t>
      </w:r>
      <w:r w:rsidR="003C2B8D">
        <w:rPr>
          <w:color w:val="000000"/>
        </w:rPr>
        <w:t>y</w:t>
      </w:r>
      <w:r w:rsidR="00656CF2">
        <w:rPr>
          <w:color w:val="000000"/>
        </w:rPr>
        <w:t xml:space="preserve"> by Lindberg et al. (2012) </w:t>
      </w:r>
      <w:r w:rsidR="003C2B8D">
        <w:rPr>
          <w:color w:val="000000"/>
        </w:rPr>
        <w:t>is an</w:t>
      </w:r>
      <w:r w:rsidR="00656CF2">
        <w:rPr>
          <w:color w:val="000000"/>
        </w:rPr>
        <w:t xml:space="preserve"> </w:t>
      </w:r>
      <w:r w:rsidR="00FB0F98">
        <w:rPr>
          <w:color w:val="000000"/>
        </w:rPr>
        <w:t>interesting recent application of the FLQ approach.</w:t>
      </w:r>
    </w:p>
    <w:p w:rsidR="001A6A90" w:rsidRDefault="00E73972" w:rsidP="00460BA6">
      <w:pPr>
        <w:widowControl w:val="0"/>
        <w:tabs>
          <w:tab w:val="left" w:pos="426"/>
        </w:tabs>
        <w:spacing w:after="0" w:line="480" w:lineRule="auto"/>
        <w:ind w:firstLine="0"/>
        <w:rPr>
          <w:color w:val="000000"/>
        </w:rPr>
      </w:pPr>
      <w:r>
        <w:rPr>
          <w:color w:val="000000"/>
        </w:rPr>
        <w:tab/>
      </w:r>
      <w:r w:rsidR="004D7EB2">
        <w:rPr>
          <w:color w:val="000000"/>
        </w:rPr>
        <w:t>Even so</w:t>
      </w:r>
      <w:r w:rsidR="00D93C44">
        <w:rPr>
          <w:color w:val="000000"/>
        </w:rPr>
        <w:t xml:space="preserve">, the FLQ formula contains </w:t>
      </w:r>
      <w:r w:rsidR="00D93C44">
        <w:t xml:space="preserve">an unknown parameter </w:t>
      </w:r>
      <w:r w:rsidR="00D93C44" w:rsidRPr="00DE71C0">
        <w:rPr>
          <w:color w:val="000000"/>
        </w:rPr>
        <w:t>δ</w:t>
      </w:r>
      <w:r w:rsidR="00D93C44">
        <w:rPr>
          <w:color w:val="000000"/>
        </w:rPr>
        <w:t xml:space="preserve"> and there is considerable uncertainty regarding </w:t>
      </w:r>
      <w:r w:rsidR="0069716A">
        <w:rPr>
          <w:color w:val="000000"/>
        </w:rPr>
        <w:t>its</w:t>
      </w:r>
      <w:r w:rsidR="00D93C44">
        <w:rPr>
          <w:color w:val="000000"/>
        </w:rPr>
        <w:t xml:space="preserve"> appropriate</w:t>
      </w:r>
      <w:r w:rsidR="00D93C44" w:rsidRPr="00A9779B">
        <w:t xml:space="preserve"> </w:t>
      </w:r>
      <w:r w:rsidR="00D93C44">
        <w:t>value</w:t>
      </w:r>
      <w:r w:rsidR="0069716A">
        <w:t xml:space="preserve"> </w:t>
      </w:r>
      <w:r w:rsidR="004D7EB2">
        <w:t>(Bonfiglio, 2009)</w:t>
      </w:r>
      <w:r w:rsidR="00D93C44">
        <w:rPr>
          <w:color w:val="000000"/>
        </w:rPr>
        <w:t xml:space="preserve">.  This issue is important </w:t>
      </w:r>
      <w:r w:rsidR="00925416">
        <w:rPr>
          <w:color w:val="000000"/>
        </w:rPr>
        <w:t>a</w:t>
      </w:r>
      <w:r w:rsidR="007C1741">
        <w:rPr>
          <w:color w:val="000000"/>
        </w:rPr>
        <w:t>s</w:t>
      </w:r>
      <w:r w:rsidR="00D93C44">
        <w:rPr>
          <w:color w:val="000000"/>
        </w:rPr>
        <w:t xml:space="preserve"> the value </w:t>
      </w:r>
      <w:r w:rsidR="007F4C91">
        <w:rPr>
          <w:color w:val="000000"/>
        </w:rPr>
        <w:t xml:space="preserve">of </w:t>
      </w:r>
      <w:r w:rsidR="007F4C91" w:rsidRPr="00DE71C0">
        <w:rPr>
          <w:color w:val="000000"/>
        </w:rPr>
        <w:t>δ</w:t>
      </w:r>
      <w:r w:rsidR="007F4C91">
        <w:rPr>
          <w:color w:val="000000"/>
        </w:rPr>
        <w:t xml:space="preserve"> </w:t>
      </w:r>
      <w:r w:rsidR="007F4C91">
        <w:t>and</w:t>
      </w:r>
      <w:r w:rsidR="007F4C91">
        <w:rPr>
          <w:color w:val="000000"/>
        </w:rPr>
        <w:t xml:space="preserve"> regional size jointly determine the size of the adjustment for interregional trade in the FLQ.  </w:t>
      </w:r>
      <w:r w:rsidR="0058423C">
        <w:rPr>
          <w:color w:val="000000"/>
        </w:rPr>
        <w:t xml:space="preserve">By exploring this issue, we </w:t>
      </w:r>
      <w:r w:rsidR="007F4C91">
        <w:rPr>
          <w:color w:val="000000"/>
        </w:rPr>
        <w:t xml:space="preserve">aim to offer some guidance on what value of </w:t>
      </w:r>
      <w:r w:rsidR="007F4C91" w:rsidRPr="00DE71C0">
        <w:rPr>
          <w:color w:val="000000"/>
        </w:rPr>
        <w:t>δ</w:t>
      </w:r>
      <w:r w:rsidR="007F4C91">
        <w:rPr>
          <w:color w:val="000000"/>
        </w:rPr>
        <w:t xml:space="preserve"> </w:t>
      </w:r>
      <w:r w:rsidR="0058423C">
        <w:rPr>
          <w:color w:val="000000"/>
        </w:rPr>
        <w:t xml:space="preserve">would be the </w:t>
      </w:r>
      <w:r w:rsidR="00486A0D">
        <w:rPr>
          <w:color w:val="000000"/>
        </w:rPr>
        <w:t>best</w:t>
      </w:r>
      <w:r w:rsidR="0058423C">
        <w:rPr>
          <w:color w:val="000000"/>
        </w:rPr>
        <w:t xml:space="preserve"> to use in particular circumst</w:t>
      </w:r>
      <w:r w:rsidR="001A6A90">
        <w:rPr>
          <w:color w:val="000000"/>
        </w:rPr>
        <w:t>ances.</w:t>
      </w:r>
    </w:p>
    <w:p w:rsidR="007E07DE" w:rsidRPr="0097424C" w:rsidRDefault="00300F29" w:rsidP="009F5376">
      <w:pPr>
        <w:widowControl w:val="0"/>
        <w:tabs>
          <w:tab w:val="left" w:pos="426"/>
        </w:tabs>
        <w:spacing w:after="0" w:line="480" w:lineRule="auto"/>
        <w:ind w:firstLine="0"/>
      </w:pPr>
      <w:r>
        <w:rPr>
          <w:color w:val="000000"/>
        </w:rPr>
        <w:tab/>
      </w:r>
      <w:r>
        <w:t>The rest of the paper is structured as follows.</w:t>
      </w:r>
      <w:r w:rsidR="001B5ADB">
        <w:t xml:space="preserve"> </w:t>
      </w:r>
      <w:r w:rsidR="00301D2D">
        <w:t xml:space="preserve"> </w:t>
      </w:r>
      <w:r>
        <w:t xml:space="preserve">The </w:t>
      </w:r>
      <w:r w:rsidR="00C417AA">
        <w:t>next</w:t>
      </w:r>
      <w:r>
        <w:t xml:space="preserve"> section </w:t>
      </w:r>
      <w:r w:rsidR="00E974B2">
        <w:t>outlin</w:t>
      </w:r>
      <w:r w:rsidR="00873685">
        <w:t xml:space="preserve">es </w:t>
      </w:r>
      <w:r w:rsidR="00F739D2">
        <w:t xml:space="preserve">how the </w:t>
      </w:r>
      <w:r w:rsidR="00617BF0">
        <w:t xml:space="preserve">survey-based </w:t>
      </w:r>
      <w:r w:rsidR="00F739D2" w:rsidRPr="002A3504">
        <w:t>input</w:t>
      </w:r>
      <w:r w:rsidR="00F739D2">
        <w:sym w:font="Symbol" w:char="F02D"/>
      </w:r>
      <w:r w:rsidR="00F739D2" w:rsidRPr="002A3504">
        <w:t>output</w:t>
      </w:r>
      <w:r w:rsidR="00F739D2">
        <w:t xml:space="preserve"> table for </w:t>
      </w:r>
      <w:r w:rsidR="00F739D2" w:rsidRPr="0010320B">
        <w:rPr>
          <w:lang w:val="en-US"/>
        </w:rPr>
        <w:t>Córdoba</w:t>
      </w:r>
      <w:r w:rsidR="00F739D2">
        <w:rPr>
          <w:lang w:val="en-US"/>
        </w:rPr>
        <w:t xml:space="preserve"> w</w:t>
      </w:r>
      <w:r w:rsidR="00BA4F82">
        <w:rPr>
          <w:lang w:val="en-US"/>
        </w:rPr>
        <w:t>as</w:t>
      </w:r>
      <w:r w:rsidR="00F739D2">
        <w:rPr>
          <w:lang w:val="en-US"/>
        </w:rPr>
        <w:t xml:space="preserve"> reconciled with th</w:t>
      </w:r>
      <w:r w:rsidR="00BA4F82">
        <w:rPr>
          <w:lang w:val="en-US"/>
        </w:rPr>
        <w:t>at</w:t>
      </w:r>
      <w:r w:rsidR="00F739D2">
        <w:rPr>
          <w:lang w:val="en-US"/>
        </w:rPr>
        <w:t xml:space="preserve"> for Argentina.  </w:t>
      </w:r>
      <w:r w:rsidR="0059534B">
        <w:rPr>
          <w:lang w:val="en-US"/>
        </w:rPr>
        <w:t>The</w:t>
      </w:r>
      <w:r w:rsidR="00F739D2">
        <w:rPr>
          <w:lang w:val="en-US"/>
        </w:rPr>
        <w:t xml:space="preserve"> </w:t>
      </w:r>
      <w:r w:rsidR="00617BF0">
        <w:rPr>
          <w:lang w:val="en-US"/>
        </w:rPr>
        <w:t>data</w:t>
      </w:r>
      <w:r w:rsidR="00F739D2">
        <w:rPr>
          <w:lang w:val="en-US"/>
        </w:rPr>
        <w:t xml:space="preserve"> are </w:t>
      </w:r>
      <w:r w:rsidR="00F739D2">
        <w:rPr>
          <w:lang w:val="en-US"/>
        </w:rPr>
        <w:lastRenderedPageBreak/>
        <w:t xml:space="preserve">then used to </w:t>
      </w:r>
      <w:r w:rsidR="00925416">
        <w:rPr>
          <w:lang w:val="en-US"/>
        </w:rPr>
        <w:t>compare and contrast</w:t>
      </w:r>
      <w:r w:rsidR="00F739D2">
        <w:rPr>
          <w:lang w:val="en-US"/>
        </w:rPr>
        <w:t xml:space="preserve"> the </w:t>
      </w:r>
      <w:r w:rsidR="00A47E52">
        <w:rPr>
          <w:lang w:val="en-US"/>
        </w:rPr>
        <w:t xml:space="preserve">regional and national </w:t>
      </w:r>
      <w:r w:rsidR="00F739D2">
        <w:rPr>
          <w:lang w:val="en-US"/>
        </w:rPr>
        <w:t>economic structure</w:t>
      </w:r>
      <w:r w:rsidR="00A47E52">
        <w:rPr>
          <w:lang w:val="en-US"/>
        </w:rPr>
        <w:t>s</w:t>
      </w:r>
      <w:r w:rsidR="00F739D2">
        <w:rPr>
          <w:lang w:val="en-US"/>
        </w:rPr>
        <w:t>.</w:t>
      </w:r>
      <w:r w:rsidR="008915DF">
        <w:rPr>
          <w:lang w:val="en-US"/>
        </w:rPr>
        <w:t xml:space="preserve">  Section 3 considers why inconsistencies </w:t>
      </w:r>
      <w:r w:rsidR="00B640D2">
        <w:rPr>
          <w:lang w:val="en-US"/>
        </w:rPr>
        <w:t xml:space="preserve">between the </w:t>
      </w:r>
      <w:r w:rsidR="00B640D2">
        <w:t>regional and national tables might arise, along with the possible implications.</w:t>
      </w:r>
      <w:r w:rsidR="00F739D2">
        <w:rPr>
          <w:lang w:val="en-US"/>
        </w:rPr>
        <w:t xml:space="preserve">  </w:t>
      </w:r>
      <w:r w:rsidR="008915DF">
        <w:rPr>
          <w:lang w:val="en-US"/>
        </w:rPr>
        <w:t>S</w:t>
      </w:r>
      <w:r>
        <w:t>ection</w:t>
      </w:r>
      <w:r w:rsidR="008915DF">
        <w:t xml:space="preserve"> 4</w:t>
      </w:r>
      <w:r>
        <w:t xml:space="preserve"> </w:t>
      </w:r>
      <w:r w:rsidR="00B640D2">
        <w:t xml:space="preserve">then </w:t>
      </w:r>
      <w:r>
        <w:t xml:space="preserve">examines </w:t>
      </w:r>
      <w:r w:rsidR="0097424C">
        <w:t xml:space="preserve">how alternative estimates of regional </w:t>
      </w:r>
      <w:r w:rsidR="000322D3">
        <w:t>input coefficients</w:t>
      </w:r>
      <w:r w:rsidR="0097424C">
        <w:t xml:space="preserve"> were derived by</w:t>
      </w:r>
      <w:r w:rsidR="00873685">
        <w:t xml:space="preserve"> </w:t>
      </w:r>
      <w:r w:rsidR="00925416">
        <w:t>adjusting</w:t>
      </w:r>
      <w:r w:rsidR="00873685">
        <w:t xml:space="preserve"> the national </w:t>
      </w:r>
      <w:r w:rsidR="00925416">
        <w:t>coefficients</w:t>
      </w:r>
      <w:r w:rsidR="00873685">
        <w:t>.</w:t>
      </w:r>
      <w:r>
        <w:t xml:space="preserve">  In the subsequent t</w:t>
      </w:r>
      <w:r w:rsidR="00274E77">
        <w:t>wo</w:t>
      </w:r>
      <w:r>
        <w:t xml:space="preserve"> sections, we present our analysis of sectoral </w:t>
      </w:r>
      <w:r w:rsidR="005872B9">
        <w:t xml:space="preserve">input coefficients and </w:t>
      </w:r>
      <w:r>
        <w:t xml:space="preserve">output multipliers. </w:t>
      </w:r>
      <w:r w:rsidR="00224644">
        <w:rPr>
          <w:b/>
        </w:rPr>
        <w:t xml:space="preserve"> </w:t>
      </w:r>
      <w:r w:rsidR="00B640D2" w:rsidRPr="00B640D2">
        <w:t xml:space="preserve">Section 7 </w:t>
      </w:r>
      <w:r w:rsidR="00301D2D">
        <w:t xml:space="preserve">considers </w:t>
      </w:r>
      <w:r w:rsidR="00B640D2" w:rsidRPr="00B640D2">
        <w:t xml:space="preserve">how well the </w:t>
      </w:r>
      <w:r w:rsidR="00925416">
        <w:t>competing</w:t>
      </w:r>
      <w:r w:rsidR="00B640D2" w:rsidRPr="00B640D2">
        <w:t xml:space="preserve"> methods</w:t>
      </w:r>
      <w:r w:rsidR="00B640D2">
        <w:t xml:space="preserve"> are able to estimate </w:t>
      </w:r>
      <w:r w:rsidR="00B640D2" w:rsidRPr="0010320B">
        <w:rPr>
          <w:lang w:val="en-US"/>
        </w:rPr>
        <w:t>Córdoba</w:t>
      </w:r>
      <w:r w:rsidR="00B640D2">
        <w:rPr>
          <w:lang w:val="en-US"/>
        </w:rPr>
        <w:t xml:space="preserve">’s imports from other Argentinian regions. </w:t>
      </w:r>
      <w:r w:rsidR="00B640D2">
        <w:t xml:space="preserve"> </w:t>
      </w:r>
      <w:r w:rsidR="00FE2137" w:rsidRPr="00B640D2">
        <w:t>This</w:t>
      </w:r>
      <w:r w:rsidR="00FE2137" w:rsidRPr="00FE2137">
        <w:t xml:space="preserve"> </w:t>
      </w:r>
      <w:r w:rsidR="00B640D2">
        <w:t xml:space="preserve">section </w:t>
      </w:r>
      <w:r w:rsidR="00FE2137" w:rsidRPr="00FE2137">
        <w:t>is followed</w:t>
      </w:r>
      <w:r w:rsidR="00BA6B98">
        <w:t xml:space="preserve"> by a</w:t>
      </w:r>
      <w:r w:rsidR="00301D2D">
        <w:t>n</w:t>
      </w:r>
      <w:r w:rsidR="0097424C">
        <w:t xml:space="preserve"> </w:t>
      </w:r>
      <w:r w:rsidR="00301D2D">
        <w:t>explora</w:t>
      </w:r>
      <w:r w:rsidR="00BA6B98">
        <w:t xml:space="preserve">tion of </w:t>
      </w:r>
      <w:r w:rsidR="00274E77">
        <w:t xml:space="preserve">alternative ways of determining a value for the unknown parameter </w:t>
      </w:r>
      <w:r w:rsidR="00274E77" w:rsidRPr="00DE71C0">
        <w:rPr>
          <w:color w:val="000000"/>
        </w:rPr>
        <w:t>δ</w:t>
      </w:r>
      <w:r w:rsidR="00274E77">
        <w:rPr>
          <w:color w:val="000000"/>
        </w:rPr>
        <w:t xml:space="preserve"> in the FLQ</w:t>
      </w:r>
      <w:r w:rsidR="00301D2D">
        <w:rPr>
          <w:color w:val="000000"/>
        </w:rPr>
        <w:t xml:space="preserve"> and AFLQ</w:t>
      </w:r>
      <w:r w:rsidR="00274E77">
        <w:rPr>
          <w:color w:val="000000"/>
        </w:rPr>
        <w:t xml:space="preserve"> formula</w:t>
      </w:r>
      <w:r w:rsidR="00301D2D">
        <w:rPr>
          <w:color w:val="000000"/>
        </w:rPr>
        <w:t>e</w:t>
      </w:r>
      <w:r w:rsidR="00274E77">
        <w:rPr>
          <w:color w:val="000000"/>
        </w:rPr>
        <w:t xml:space="preserve">. </w:t>
      </w:r>
      <w:r w:rsidR="00B640D2">
        <w:rPr>
          <w:color w:val="000000"/>
        </w:rPr>
        <w:t xml:space="preserve"> </w:t>
      </w:r>
      <w:r w:rsidR="00274E77">
        <w:rPr>
          <w:color w:val="000000"/>
        </w:rPr>
        <w:t>In the penultimate section</w:t>
      </w:r>
      <w:r w:rsidR="00805E0D">
        <w:rPr>
          <w:color w:val="000000"/>
        </w:rPr>
        <w:t xml:space="preserve">, </w:t>
      </w:r>
      <w:r w:rsidR="00BA6B98">
        <w:t>the d</w:t>
      </w:r>
      <w:r w:rsidR="00925416">
        <w:t>eviations</w:t>
      </w:r>
      <w:r w:rsidR="00BA6B98">
        <w:t xml:space="preserve"> between </w:t>
      </w:r>
      <w:r w:rsidR="008915DF">
        <w:t xml:space="preserve">national and regional </w:t>
      </w:r>
      <w:r w:rsidR="008915DF" w:rsidRPr="008915DF">
        <w:rPr>
          <w:lang w:val="en-US"/>
        </w:rPr>
        <w:t>use of intermediate inputs</w:t>
      </w:r>
      <w:r w:rsidR="00805E0D">
        <w:t xml:space="preserve"> are explored</w:t>
      </w:r>
      <w:r w:rsidR="00BA6B98">
        <w:t>.  Here we attempt to correct for such d</w:t>
      </w:r>
      <w:r w:rsidR="00925416">
        <w:t>isparities</w:t>
      </w:r>
      <w:r w:rsidR="00BA6B98">
        <w:t xml:space="preserve"> by applying </w:t>
      </w:r>
      <w:r w:rsidR="00A26DD1" w:rsidRPr="00FE2137">
        <w:t>Round</w:t>
      </w:r>
      <w:r w:rsidR="00BA6B98">
        <w:t xml:space="preserve">’s ‘fabrication’ adjustment. </w:t>
      </w:r>
      <w:r w:rsidR="00D158B6">
        <w:t xml:space="preserve"> </w:t>
      </w:r>
      <w:r>
        <w:t>The final section contains our conclusions.</w:t>
      </w:r>
    </w:p>
    <w:p w:rsidR="000707BD" w:rsidRDefault="000707BD" w:rsidP="009F5376">
      <w:pPr>
        <w:spacing w:after="0"/>
        <w:ind w:firstLine="0"/>
        <w:rPr>
          <w:u w:val="single"/>
          <w:lang w:val="en-US"/>
        </w:rPr>
      </w:pPr>
    </w:p>
    <w:p w:rsidR="000707BD" w:rsidRDefault="000707BD" w:rsidP="00936DF3">
      <w:pPr>
        <w:spacing w:after="0" w:line="480" w:lineRule="auto"/>
        <w:ind w:firstLine="0"/>
        <w:jc w:val="left"/>
        <w:rPr>
          <w:lang w:val="en-US"/>
        </w:rPr>
      </w:pPr>
      <w:r>
        <w:rPr>
          <w:b/>
          <w:lang w:val="en-US"/>
        </w:rPr>
        <w:t xml:space="preserve">2   </w:t>
      </w:r>
      <w:r w:rsidRPr="000707BD">
        <w:rPr>
          <w:b/>
        </w:rPr>
        <w:t>INPUT</w:t>
      </w:r>
      <w:r w:rsidRPr="000707BD">
        <w:rPr>
          <w:b/>
        </w:rPr>
        <w:sym w:font="Symbol" w:char="F02D"/>
      </w:r>
      <w:r w:rsidRPr="000707BD">
        <w:rPr>
          <w:b/>
        </w:rPr>
        <w:t>OUTPUT TABLES</w:t>
      </w:r>
      <w:r>
        <w:rPr>
          <w:b/>
        </w:rPr>
        <w:t xml:space="preserve"> FOR </w:t>
      </w:r>
      <w:r w:rsidRPr="000707BD">
        <w:rPr>
          <w:b/>
          <w:lang w:val="en-US"/>
        </w:rPr>
        <w:t xml:space="preserve">CÓRDOBA </w:t>
      </w:r>
      <w:r>
        <w:rPr>
          <w:b/>
          <w:lang w:val="en-US"/>
        </w:rPr>
        <w:t>AND ARGENTINA</w:t>
      </w:r>
    </w:p>
    <w:p w:rsidR="00233214" w:rsidRDefault="00BD55F0" w:rsidP="009C6F03">
      <w:pPr>
        <w:widowControl w:val="0"/>
        <w:spacing w:after="0" w:line="480" w:lineRule="auto"/>
        <w:ind w:firstLine="0"/>
        <w:rPr>
          <w:lang w:val="en-US"/>
        </w:rPr>
      </w:pPr>
      <w:r>
        <w:rPr>
          <w:lang w:val="en-US"/>
        </w:rPr>
        <w:t xml:space="preserve">The province of </w:t>
      </w:r>
      <w:r w:rsidR="00A47E52" w:rsidRPr="0010320B">
        <w:rPr>
          <w:lang w:val="en-US"/>
        </w:rPr>
        <w:t>Córdoba</w:t>
      </w:r>
      <w:r w:rsidR="00A47E52">
        <w:rPr>
          <w:lang w:val="en-US"/>
        </w:rPr>
        <w:t xml:space="preserve"> is </w:t>
      </w:r>
      <w:r w:rsidR="0093418F">
        <w:rPr>
          <w:lang w:val="en-US"/>
        </w:rPr>
        <w:t xml:space="preserve">located </w:t>
      </w:r>
      <w:r w:rsidR="00D03019">
        <w:rPr>
          <w:lang w:val="en-US"/>
        </w:rPr>
        <w:t>just north of</w:t>
      </w:r>
      <w:r w:rsidR="00A47E52">
        <w:rPr>
          <w:lang w:val="en-US"/>
        </w:rPr>
        <w:t xml:space="preserve"> </w:t>
      </w:r>
      <w:r w:rsidR="0093418F">
        <w:rPr>
          <w:lang w:val="en-US"/>
        </w:rPr>
        <w:t xml:space="preserve">the geographical centre </w:t>
      </w:r>
      <w:r w:rsidR="008B013B">
        <w:rPr>
          <w:lang w:val="en-US"/>
        </w:rPr>
        <w:t>of Argentina.</w:t>
      </w:r>
      <w:r w:rsidR="00E9714A">
        <w:rPr>
          <w:lang w:val="en-US"/>
        </w:rPr>
        <w:t xml:space="preserve">  </w:t>
      </w:r>
      <w:r>
        <w:rPr>
          <w:lang w:val="en-US"/>
        </w:rPr>
        <w:t>It</w:t>
      </w:r>
      <w:r w:rsidR="00D22341">
        <w:rPr>
          <w:lang w:val="en-US"/>
        </w:rPr>
        <w:t xml:space="preserve"> produces about </w:t>
      </w:r>
      <w:r w:rsidR="002D487E">
        <w:rPr>
          <w:lang w:val="en-US"/>
        </w:rPr>
        <w:t>8.3</w:t>
      </w:r>
      <w:r w:rsidR="00D22341" w:rsidRPr="002D487E">
        <w:rPr>
          <w:lang w:val="en-US"/>
        </w:rPr>
        <w:t>%</w:t>
      </w:r>
      <w:r w:rsidR="00D22341">
        <w:rPr>
          <w:lang w:val="en-US"/>
        </w:rPr>
        <w:t xml:space="preserve"> of the gross output of Argentina and employs about </w:t>
      </w:r>
      <w:r w:rsidR="002D487E">
        <w:rPr>
          <w:lang w:val="en-US"/>
        </w:rPr>
        <w:t>7.9</w:t>
      </w:r>
      <w:r w:rsidR="00D22341" w:rsidRPr="002D487E">
        <w:t>%</w:t>
      </w:r>
      <w:r w:rsidR="00D22341" w:rsidRPr="00BA4F82">
        <w:t xml:space="preserve"> of its labour force.</w:t>
      </w:r>
      <w:r w:rsidR="005A2481">
        <w:rPr>
          <w:b/>
          <w:vertAlign w:val="superscript"/>
        </w:rPr>
        <w:t>3</w:t>
      </w:r>
      <w:r w:rsidR="00D22341">
        <w:t xml:space="preserve"> </w:t>
      </w:r>
      <w:r w:rsidR="002D487E">
        <w:t xml:space="preserve"> </w:t>
      </w:r>
      <w:r w:rsidR="00E9714A">
        <w:rPr>
          <w:lang w:val="en-US"/>
        </w:rPr>
        <w:t>The provincial capital,</w:t>
      </w:r>
      <w:r w:rsidR="00E9714A" w:rsidRPr="00E9714A">
        <w:rPr>
          <w:lang w:val="en-US"/>
        </w:rPr>
        <w:t xml:space="preserve"> </w:t>
      </w:r>
      <w:r w:rsidR="00E9714A" w:rsidRPr="0010320B">
        <w:rPr>
          <w:lang w:val="en-US"/>
        </w:rPr>
        <w:t>Córdoba</w:t>
      </w:r>
      <w:r w:rsidR="00E9714A">
        <w:rPr>
          <w:lang w:val="en-US"/>
        </w:rPr>
        <w:t xml:space="preserve">, </w:t>
      </w:r>
      <w:r>
        <w:rPr>
          <w:lang w:val="en-US"/>
        </w:rPr>
        <w:t>which is situated some 700</w:t>
      </w:r>
      <w:r w:rsidR="003440AB">
        <w:rPr>
          <w:lang w:val="en-US"/>
        </w:rPr>
        <w:t xml:space="preserve"> </w:t>
      </w:r>
      <w:r>
        <w:rPr>
          <w:lang w:val="en-US"/>
        </w:rPr>
        <w:t xml:space="preserve">km north-west of Buenos Aires, </w:t>
      </w:r>
      <w:r w:rsidR="00E9714A">
        <w:rPr>
          <w:lang w:val="en-US"/>
        </w:rPr>
        <w:t xml:space="preserve">is </w:t>
      </w:r>
      <w:r>
        <w:rPr>
          <w:lang w:val="en-US"/>
        </w:rPr>
        <w:t xml:space="preserve">Argentina’s </w:t>
      </w:r>
      <w:r w:rsidR="00E9714A">
        <w:rPr>
          <w:lang w:val="en-US"/>
        </w:rPr>
        <w:t xml:space="preserve">second-largest city.  </w:t>
      </w:r>
      <w:r w:rsidR="009C6F03">
        <w:rPr>
          <w:lang w:val="en-US"/>
        </w:rPr>
        <w:t>The province has a diversified economy and its key sectors</w:t>
      </w:r>
      <w:r w:rsidR="00961523">
        <w:rPr>
          <w:lang w:val="en-US"/>
        </w:rPr>
        <w:t>, measured in terms of shares of output,</w:t>
      </w:r>
      <w:r w:rsidR="009C6F03">
        <w:rPr>
          <w:lang w:val="en-US"/>
        </w:rPr>
        <w:t xml:space="preserve"> include </w:t>
      </w:r>
      <w:r w:rsidR="008A083D">
        <w:rPr>
          <w:lang w:val="en-US"/>
        </w:rPr>
        <w:t>agriculture</w:t>
      </w:r>
      <w:r w:rsidR="00CA217C">
        <w:rPr>
          <w:lang w:val="en-US"/>
        </w:rPr>
        <w:t>,</w:t>
      </w:r>
      <w:r w:rsidR="008A083D">
        <w:rPr>
          <w:lang w:val="en-US"/>
        </w:rPr>
        <w:t xml:space="preserve"> livestock, motor vehicles and food processing.  </w:t>
      </w:r>
      <w:r w:rsidR="00E72501">
        <w:rPr>
          <w:lang w:val="en-US"/>
        </w:rPr>
        <w:t xml:space="preserve">It also has a vigorous services sector and a growing tourism industry.  </w:t>
      </w:r>
      <w:r w:rsidR="00CA217C">
        <w:rPr>
          <w:lang w:val="en-US"/>
        </w:rPr>
        <w:t xml:space="preserve">Agriculture is </w:t>
      </w:r>
      <w:r w:rsidR="00F33EAF">
        <w:rPr>
          <w:lang w:val="en-US"/>
        </w:rPr>
        <w:t>focus</w:t>
      </w:r>
      <w:r w:rsidR="00CA217C">
        <w:rPr>
          <w:lang w:val="en-US"/>
        </w:rPr>
        <w:t xml:space="preserve">ed </w:t>
      </w:r>
      <w:r w:rsidR="00E80E35">
        <w:rPr>
          <w:lang w:val="en-US"/>
        </w:rPr>
        <w:t>up</w:t>
      </w:r>
      <w:r w:rsidR="00CA217C">
        <w:rPr>
          <w:lang w:val="en-US"/>
        </w:rPr>
        <w:t xml:space="preserve">on soy beans, wheat, maize and other cereals.  The </w:t>
      </w:r>
      <w:r w:rsidR="00F9739D">
        <w:rPr>
          <w:lang w:val="en-US"/>
        </w:rPr>
        <w:t>production of</w:t>
      </w:r>
      <w:r w:rsidR="00CA217C">
        <w:rPr>
          <w:lang w:val="en-US"/>
        </w:rPr>
        <w:t xml:space="preserve"> </w:t>
      </w:r>
      <w:r w:rsidR="00F9739D">
        <w:rPr>
          <w:lang w:val="en-US"/>
        </w:rPr>
        <w:t>beef and dairy products is very important</w:t>
      </w:r>
      <w:r w:rsidR="008C1569">
        <w:rPr>
          <w:lang w:val="en-US"/>
        </w:rPr>
        <w:t>, and t</w:t>
      </w:r>
      <w:r w:rsidR="00F9739D">
        <w:rPr>
          <w:lang w:val="en-US"/>
        </w:rPr>
        <w:t xml:space="preserve">he province </w:t>
      </w:r>
      <w:r w:rsidR="008C1569">
        <w:rPr>
          <w:lang w:val="en-US"/>
        </w:rPr>
        <w:t>also produces products such as fertilizers, agrochemicals, tractors and agricultural machinery</w:t>
      </w:r>
      <w:r w:rsidR="00BF14FD">
        <w:rPr>
          <w:lang w:val="en-US"/>
        </w:rPr>
        <w:t>.</w:t>
      </w:r>
      <w:r w:rsidR="00E72501">
        <w:rPr>
          <w:lang w:val="en-US"/>
        </w:rPr>
        <w:t xml:space="preserve">  Hydroelectricity and nuclear power are the main source of energy for the province’s industries.</w:t>
      </w:r>
      <w:r w:rsidR="00BF14FD">
        <w:rPr>
          <w:lang w:val="en-US"/>
        </w:rPr>
        <w:t xml:space="preserve"> </w:t>
      </w:r>
      <w:r w:rsidR="00CA217C">
        <w:rPr>
          <w:lang w:val="en-US"/>
        </w:rPr>
        <w:t xml:space="preserve"> </w:t>
      </w:r>
      <w:r w:rsidR="00E72501">
        <w:rPr>
          <w:lang w:val="en-US"/>
        </w:rPr>
        <w:t>In addition, m</w:t>
      </w:r>
      <w:r w:rsidR="008C1569">
        <w:rPr>
          <w:lang w:val="en-US"/>
        </w:rPr>
        <w:t>any different materials</w:t>
      </w:r>
      <w:r w:rsidR="00E72501">
        <w:rPr>
          <w:lang w:val="en-US"/>
        </w:rPr>
        <w:t xml:space="preserve"> are mined</w:t>
      </w:r>
      <w:r w:rsidR="00803346">
        <w:rPr>
          <w:lang w:val="en-US"/>
        </w:rPr>
        <w:t>, along with</w:t>
      </w:r>
      <w:r w:rsidR="008C1569">
        <w:rPr>
          <w:lang w:val="en-US"/>
        </w:rPr>
        <w:t xml:space="preserve"> construction materials such as marble and lime</w:t>
      </w:r>
      <w:r w:rsidR="00E536B7">
        <w:rPr>
          <w:lang w:val="en-US"/>
        </w:rPr>
        <w:t>.</w:t>
      </w:r>
    </w:p>
    <w:p w:rsidR="00CD6760" w:rsidRPr="00871ED9" w:rsidRDefault="003440AB" w:rsidP="003440AB">
      <w:pPr>
        <w:widowControl w:val="0"/>
        <w:tabs>
          <w:tab w:val="left" w:pos="426"/>
        </w:tabs>
        <w:spacing w:after="0" w:line="480" w:lineRule="auto"/>
        <w:ind w:firstLine="0"/>
        <w:rPr>
          <w:lang w:val="en-US"/>
        </w:rPr>
      </w:pPr>
      <w:r>
        <w:rPr>
          <w:lang w:val="en-US"/>
        </w:rPr>
        <w:tab/>
      </w:r>
      <w:r w:rsidR="008E01D8">
        <w:rPr>
          <w:lang w:val="en-US"/>
        </w:rPr>
        <w:t>A</w:t>
      </w:r>
      <w:r w:rsidR="00CC2C8C">
        <w:rPr>
          <w:lang w:val="en-US"/>
        </w:rPr>
        <w:t xml:space="preserve"> 124 × 124</w:t>
      </w:r>
      <w:r w:rsidR="00B36FF1">
        <w:rPr>
          <w:lang w:val="en-US"/>
        </w:rPr>
        <w:t xml:space="preserve"> </w:t>
      </w:r>
      <w:r w:rsidR="00B36FF1" w:rsidRPr="00F7201E">
        <w:t>input</w:t>
      </w:r>
      <w:r w:rsidR="00B36FF1" w:rsidRPr="00F7201E">
        <w:sym w:font="Symbol" w:char="F02D"/>
      </w:r>
      <w:r w:rsidR="00B36FF1" w:rsidRPr="00F7201E">
        <w:t xml:space="preserve">output </w:t>
      </w:r>
      <w:r w:rsidR="00B36FF1">
        <w:rPr>
          <w:lang w:val="en-US"/>
        </w:rPr>
        <w:t>table</w:t>
      </w:r>
      <w:r w:rsidR="00B36FF1" w:rsidRPr="0010320B">
        <w:rPr>
          <w:lang w:val="en-US"/>
        </w:rPr>
        <w:t xml:space="preserve"> for the province of Córdoba </w:t>
      </w:r>
      <w:r w:rsidR="008B5B92">
        <w:rPr>
          <w:lang w:val="en-US"/>
        </w:rPr>
        <w:t>in</w:t>
      </w:r>
      <w:r w:rsidR="00B36FF1" w:rsidRPr="0010320B">
        <w:rPr>
          <w:lang w:val="en-US"/>
        </w:rPr>
        <w:t xml:space="preserve"> 2003</w:t>
      </w:r>
      <w:r w:rsidR="00B36FF1">
        <w:rPr>
          <w:lang w:val="en-US"/>
        </w:rPr>
        <w:t xml:space="preserve"> was</w:t>
      </w:r>
      <w:r w:rsidR="00B36FF1" w:rsidRPr="0010320B">
        <w:rPr>
          <w:lang w:val="en-US"/>
        </w:rPr>
        <w:t xml:space="preserve"> developed by the Centro de Estudios Bonaerenses</w:t>
      </w:r>
      <w:r w:rsidR="002F0945">
        <w:rPr>
          <w:lang w:val="en-US"/>
        </w:rPr>
        <w:t xml:space="preserve"> (CEB)</w:t>
      </w:r>
      <w:r w:rsidR="00B36FF1" w:rsidRPr="0010320B">
        <w:rPr>
          <w:lang w:val="en-US"/>
        </w:rPr>
        <w:t xml:space="preserve">. </w:t>
      </w:r>
      <w:r w:rsidR="00DE15A1">
        <w:rPr>
          <w:lang w:val="en-US"/>
        </w:rPr>
        <w:t xml:space="preserve"> </w:t>
      </w:r>
      <w:r w:rsidR="00B142C9" w:rsidRPr="00B142C9">
        <w:t xml:space="preserve">Extensive surveys of key sectors and big </w:t>
      </w:r>
      <w:r w:rsidR="00B142C9" w:rsidRPr="00B142C9">
        <w:lastRenderedPageBreak/>
        <w:t xml:space="preserve">companies were used to determine </w:t>
      </w:r>
      <w:r w:rsidR="00B142C9" w:rsidRPr="00B142C9">
        <w:rPr>
          <w:lang w:val="en-US"/>
        </w:rPr>
        <w:t>sources of inputs and to measure gross output.</w:t>
      </w:r>
      <w:r w:rsidR="00CC2C8C">
        <w:rPr>
          <w:lang w:val="en-US"/>
        </w:rPr>
        <w:t xml:space="preserve"> </w:t>
      </w:r>
      <w:r w:rsidR="00ED5B33">
        <w:rPr>
          <w:lang w:val="en-US"/>
        </w:rPr>
        <w:t xml:space="preserve"> </w:t>
      </w:r>
      <w:r w:rsidR="005B49DC">
        <w:rPr>
          <w:lang w:val="en-US"/>
        </w:rPr>
        <w:t xml:space="preserve">The sampling frame was based on the 1994 census.  </w:t>
      </w:r>
      <w:r w:rsidR="00CA6723">
        <w:rPr>
          <w:lang w:val="en-US"/>
        </w:rPr>
        <w:t>W</w:t>
      </w:r>
      <w:r w:rsidR="00CC2C8C">
        <w:rPr>
          <w:lang w:val="en-US"/>
        </w:rPr>
        <w:t xml:space="preserve">eights </w:t>
      </w:r>
      <w:r w:rsidR="00CA6723">
        <w:rPr>
          <w:lang w:val="en-US"/>
        </w:rPr>
        <w:t xml:space="preserve">derived </w:t>
      </w:r>
      <w:r w:rsidR="00CC2C8C">
        <w:rPr>
          <w:lang w:val="en-US"/>
        </w:rPr>
        <w:t xml:space="preserve">from </w:t>
      </w:r>
      <w:r w:rsidR="00CA6723">
        <w:rPr>
          <w:lang w:val="en-US"/>
        </w:rPr>
        <w:t>th</w:t>
      </w:r>
      <w:r w:rsidR="005B49DC">
        <w:rPr>
          <w:lang w:val="en-US"/>
        </w:rPr>
        <w:t>at</w:t>
      </w:r>
      <w:r w:rsidR="00CA6723">
        <w:rPr>
          <w:lang w:val="en-US"/>
        </w:rPr>
        <w:t xml:space="preserve"> census</w:t>
      </w:r>
      <w:r w:rsidR="00CC2C8C">
        <w:rPr>
          <w:lang w:val="en-US"/>
        </w:rPr>
        <w:t xml:space="preserve"> were applied to </w:t>
      </w:r>
      <w:r w:rsidR="0004316F">
        <w:rPr>
          <w:lang w:val="en-US"/>
        </w:rPr>
        <w:t>scale</w:t>
      </w:r>
      <w:r w:rsidR="00CC2C8C">
        <w:rPr>
          <w:lang w:val="en-US"/>
        </w:rPr>
        <w:t xml:space="preserve"> the survey data to encompass </w:t>
      </w:r>
      <w:r w:rsidR="00D95003">
        <w:rPr>
          <w:lang w:val="en-US"/>
        </w:rPr>
        <w:t xml:space="preserve">those companies and industries not </w:t>
      </w:r>
      <w:r w:rsidR="003B5E56">
        <w:rPr>
          <w:lang w:val="en-US"/>
        </w:rPr>
        <w:t>cover</w:t>
      </w:r>
      <w:r w:rsidR="00D95003">
        <w:rPr>
          <w:lang w:val="en-US"/>
        </w:rPr>
        <w:t>ed in the surveys</w:t>
      </w:r>
      <w:r w:rsidR="00CC2C8C">
        <w:rPr>
          <w:lang w:val="en-US"/>
        </w:rPr>
        <w:t>.</w:t>
      </w:r>
      <w:r w:rsidR="005A2481">
        <w:rPr>
          <w:b/>
          <w:vertAlign w:val="superscript"/>
          <w:lang w:val="en-US"/>
        </w:rPr>
        <w:t>4</w:t>
      </w:r>
    </w:p>
    <w:p w:rsidR="00C9622F" w:rsidRDefault="00601742" w:rsidP="003440AB">
      <w:pPr>
        <w:widowControl w:val="0"/>
        <w:tabs>
          <w:tab w:val="left" w:pos="426"/>
        </w:tabs>
        <w:spacing w:after="0" w:line="480" w:lineRule="auto"/>
        <w:ind w:firstLine="0"/>
        <w:rPr>
          <w:lang w:val="en-US"/>
        </w:rPr>
      </w:pPr>
      <w:r>
        <w:rPr>
          <w:lang w:val="en-US"/>
        </w:rPr>
        <w:tab/>
        <w:t xml:space="preserve">To reconcile the data for individual sectors, </w:t>
      </w:r>
      <w:r w:rsidR="00134E6A">
        <w:rPr>
          <w:lang w:val="en-US"/>
        </w:rPr>
        <w:t xml:space="preserve">sectoral </w:t>
      </w:r>
      <w:r>
        <w:rPr>
          <w:lang w:val="en-US"/>
        </w:rPr>
        <w:t>supply and demand were estimated.</w:t>
      </w:r>
      <w:r w:rsidR="00CB3215" w:rsidRPr="00CB3215">
        <w:rPr>
          <w:b/>
          <w:lang w:val="en-US"/>
        </w:rPr>
        <w:t xml:space="preserve"> </w:t>
      </w:r>
      <w:r w:rsidR="00CB3215">
        <w:rPr>
          <w:b/>
          <w:lang w:val="en-US"/>
        </w:rPr>
        <w:t xml:space="preserve"> </w:t>
      </w:r>
      <w:r w:rsidR="00C9622F">
        <w:rPr>
          <w:lang w:val="en-US"/>
        </w:rPr>
        <w:t>M</w:t>
      </w:r>
      <w:r w:rsidR="00C9622F" w:rsidRPr="0010320B">
        <w:rPr>
          <w:lang w:val="en-US"/>
        </w:rPr>
        <w:t xml:space="preserve">any imbalances </w:t>
      </w:r>
      <w:r w:rsidR="00C9622F">
        <w:rPr>
          <w:lang w:val="en-US"/>
        </w:rPr>
        <w:t>were evident</w:t>
      </w:r>
      <w:r w:rsidR="00C9622F" w:rsidRPr="0010320B">
        <w:rPr>
          <w:lang w:val="en-US"/>
        </w:rPr>
        <w:t xml:space="preserve">, </w:t>
      </w:r>
      <w:r w:rsidR="00C9622F">
        <w:rPr>
          <w:lang w:val="en-US"/>
        </w:rPr>
        <w:t xml:space="preserve">which were </w:t>
      </w:r>
      <w:r w:rsidR="007E2871">
        <w:rPr>
          <w:lang w:val="en-US"/>
        </w:rPr>
        <w:t>addressed</w:t>
      </w:r>
      <w:r w:rsidR="00C9622F" w:rsidRPr="0010320B">
        <w:rPr>
          <w:lang w:val="en-US"/>
        </w:rPr>
        <w:t xml:space="preserve"> by </w:t>
      </w:r>
      <w:r w:rsidR="00C9622F">
        <w:rPr>
          <w:lang w:val="en-US"/>
        </w:rPr>
        <w:t>replacing</w:t>
      </w:r>
      <w:r w:rsidR="00C9622F" w:rsidRPr="0010320B">
        <w:rPr>
          <w:lang w:val="en-US"/>
        </w:rPr>
        <w:t xml:space="preserve"> the less dependable data</w:t>
      </w:r>
      <w:r w:rsidR="00C9622F">
        <w:rPr>
          <w:lang w:val="en-US"/>
        </w:rPr>
        <w:t xml:space="preserve"> with data of superior</w:t>
      </w:r>
      <w:r w:rsidR="00C9622F" w:rsidRPr="0010320B">
        <w:rPr>
          <w:lang w:val="en-US"/>
        </w:rPr>
        <w:t xml:space="preserve"> quality.</w:t>
      </w:r>
      <w:r w:rsidR="00C9622F">
        <w:rPr>
          <w:lang w:val="en-US"/>
        </w:rPr>
        <w:t xml:space="preserve">  Figures for</w:t>
      </w:r>
      <w:r w:rsidR="00CB3215">
        <w:rPr>
          <w:b/>
          <w:lang w:val="en-US"/>
        </w:rPr>
        <w:t xml:space="preserve"> </w:t>
      </w:r>
      <w:r w:rsidR="00CB3215" w:rsidRPr="009F0719">
        <w:rPr>
          <w:lang w:val="en-US"/>
        </w:rPr>
        <w:t>s</w:t>
      </w:r>
      <w:r w:rsidR="00CB3215" w:rsidRPr="00CB3215">
        <w:rPr>
          <w:lang w:val="en-US"/>
        </w:rPr>
        <w:t xml:space="preserve">upply </w:t>
      </w:r>
      <w:r w:rsidR="00CB3215">
        <w:rPr>
          <w:lang w:val="en-US"/>
        </w:rPr>
        <w:t>were</w:t>
      </w:r>
      <w:r w:rsidR="00CB3215" w:rsidRPr="00CB3215">
        <w:rPr>
          <w:lang w:val="en-US"/>
        </w:rPr>
        <w:t xml:space="preserve"> provided by </w:t>
      </w:r>
      <w:r w:rsidR="00CB3215">
        <w:rPr>
          <w:lang w:val="en-US"/>
        </w:rPr>
        <w:t xml:space="preserve">the </w:t>
      </w:r>
      <w:r w:rsidR="00CB3215" w:rsidRPr="00CB3215">
        <w:rPr>
          <w:lang w:val="en-US"/>
        </w:rPr>
        <w:t xml:space="preserve">Dirección General de Estadísticas y Censos </w:t>
      </w:r>
      <w:r w:rsidR="00CB3215">
        <w:rPr>
          <w:lang w:val="en-US"/>
        </w:rPr>
        <w:t>and the</w:t>
      </w:r>
      <w:r w:rsidR="007E2871">
        <w:rPr>
          <w:lang w:val="en-US"/>
        </w:rPr>
        <w:t xml:space="preserve"> </w:t>
      </w:r>
      <w:r w:rsidR="002A5C33" w:rsidRPr="002A5C33">
        <w:rPr>
          <w:lang w:val="en-US"/>
        </w:rPr>
        <w:t>Ministerio de Economía de Córdoba</w:t>
      </w:r>
      <w:r w:rsidR="002A5C33">
        <w:rPr>
          <w:lang w:val="en-US"/>
        </w:rPr>
        <w:t>.</w:t>
      </w:r>
      <w:r>
        <w:rPr>
          <w:lang w:val="en-US"/>
        </w:rPr>
        <w:t xml:space="preserve">  Demand was </w:t>
      </w:r>
      <w:r w:rsidRPr="0010320B">
        <w:rPr>
          <w:lang w:val="en-US"/>
        </w:rPr>
        <w:t>estimat</w:t>
      </w:r>
      <w:r>
        <w:rPr>
          <w:lang w:val="en-US"/>
        </w:rPr>
        <w:t>ed via</w:t>
      </w:r>
      <w:r w:rsidRPr="0010320B">
        <w:rPr>
          <w:lang w:val="en-US"/>
        </w:rPr>
        <w:t xml:space="preserve"> surveys </w:t>
      </w:r>
      <w:r>
        <w:rPr>
          <w:lang w:val="en-US"/>
        </w:rPr>
        <w:t>of</w:t>
      </w:r>
      <w:r w:rsidRPr="0010320B">
        <w:rPr>
          <w:lang w:val="en-US"/>
        </w:rPr>
        <w:t xml:space="preserve"> companies, </w:t>
      </w:r>
      <w:r w:rsidR="007E2871">
        <w:rPr>
          <w:lang w:val="en-US"/>
        </w:rPr>
        <w:t xml:space="preserve">via </w:t>
      </w:r>
      <w:r w:rsidRPr="0010320B">
        <w:rPr>
          <w:lang w:val="en-US"/>
        </w:rPr>
        <w:t xml:space="preserve">the household expenditure survey </w:t>
      </w:r>
      <w:r w:rsidR="007E2871">
        <w:rPr>
          <w:lang w:val="en-US"/>
        </w:rPr>
        <w:t>of</w:t>
      </w:r>
      <w:r w:rsidR="00292A43">
        <w:rPr>
          <w:lang w:val="en-US"/>
        </w:rPr>
        <w:t xml:space="preserve"> the</w:t>
      </w:r>
      <w:r w:rsidRPr="0010320B">
        <w:rPr>
          <w:lang w:val="en-US"/>
        </w:rPr>
        <w:t xml:space="preserve"> </w:t>
      </w:r>
      <w:r w:rsidR="00292A43" w:rsidRPr="0010320B">
        <w:rPr>
          <w:lang w:val="en-US"/>
        </w:rPr>
        <w:t>I</w:t>
      </w:r>
      <w:r w:rsidR="00292A43">
        <w:rPr>
          <w:lang w:val="en-US"/>
        </w:rPr>
        <w:t xml:space="preserve">nstituto </w:t>
      </w:r>
      <w:r w:rsidR="00292A43" w:rsidRPr="0010320B">
        <w:rPr>
          <w:lang w:val="en-US"/>
        </w:rPr>
        <w:t>N</w:t>
      </w:r>
      <w:r w:rsidR="00292A43">
        <w:rPr>
          <w:lang w:val="en-US"/>
        </w:rPr>
        <w:t xml:space="preserve">acional de </w:t>
      </w:r>
      <w:r w:rsidR="00292A43" w:rsidRPr="0010320B">
        <w:rPr>
          <w:lang w:val="en-US"/>
        </w:rPr>
        <w:t>E</w:t>
      </w:r>
      <w:r w:rsidR="00292A43">
        <w:rPr>
          <w:lang w:val="en-US"/>
        </w:rPr>
        <w:t xml:space="preserve">stadísticas y </w:t>
      </w:r>
      <w:r w:rsidR="00292A43" w:rsidRPr="0010320B">
        <w:rPr>
          <w:lang w:val="en-US"/>
        </w:rPr>
        <w:t>C</w:t>
      </w:r>
      <w:r w:rsidR="00292A43">
        <w:rPr>
          <w:lang w:val="en-US"/>
        </w:rPr>
        <w:t>ensos</w:t>
      </w:r>
      <w:r w:rsidR="002F0945">
        <w:rPr>
          <w:lang w:val="en-US"/>
        </w:rPr>
        <w:t xml:space="preserve"> (INDEC)</w:t>
      </w:r>
      <w:r w:rsidRPr="0010320B">
        <w:rPr>
          <w:lang w:val="en-US"/>
        </w:rPr>
        <w:t xml:space="preserve">, and </w:t>
      </w:r>
      <w:r w:rsidR="00292A43">
        <w:rPr>
          <w:lang w:val="en-US"/>
        </w:rPr>
        <w:t>by</w:t>
      </w:r>
      <w:r w:rsidRPr="0010320B">
        <w:rPr>
          <w:lang w:val="en-US"/>
        </w:rPr>
        <w:t xml:space="preserve"> data </w:t>
      </w:r>
      <w:r>
        <w:rPr>
          <w:lang w:val="en-US"/>
        </w:rPr>
        <w:t>on</w:t>
      </w:r>
      <w:r w:rsidRPr="0010320B">
        <w:rPr>
          <w:lang w:val="en-US"/>
        </w:rPr>
        <w:t xml:space="preserve"> exports</w:t>
      </w:r>
      <w:r w:rsidR="002F0945">
        <w:rPr>
          <w:lang w:val="en-US"/>
        </w:rPr>
        <w:t>, also from INDEC</w:t>
      </w:r>
      <w:r w:rsidRPr="0010320B">
        <w:rPr>
          <w:lang w:val="en-US"/>
        </w:rPr>
        <w:t xml:space="preserve">. </w:t>
      </w:r>
      <w:r w:rsidR="00292A43">
        <w:rPr>
          <w:lang w:val="en-US"/>
        </w:rPr>
        <w:t xml:space="preserve"> </w:t>
      </w:r>
      <w:r w:rsidR="00277005">
        <w:rPr>
          <w:lang w:val="en-US"/>
        </w:rPr>
        <w:t>Figures for g</w:t>
      </w:r>
      <w:r w:rsidRPr="0010320B">
        <w:rPr>
          <w:lang w:val="en-US"/>
        </w:rPr>
        <w:t xml:space="preserve">overnmental consumption and household transfers </w:t>
      </w:r>
      <w:r>
        <w:rPr>
          <w:lang w:val="en-US"/>
        </w:rPr>
        <w:t>we</w:t>
      </w:r>
      <w:r w:rsidRPr="0010320B">
        <w:rPr>
          <w:lang w:val="en-US"/>
        </w:rPr>
        <w:t xml:space="preserve">re based on information </w:t>
      </w:r>
      <w:r w:rsidR="002B47F3">
        <w:rPr>
          <w:lang w:val="en-US"/>
        </w:rPr>
        <w:t>gather</w:t>
      </w:r>
      <w:r w:rsidRPr="0010320B">
        <w:rPr>
          <w:lang w:val="en-US"/>
        </w:rPr>
        <w:t xml:space="preserve">ed </w:t>
      </w:r>
      <w:r w:rsidR="002B47F3">
        <w:rPr>
          <w:lang w:val="en-US"/>
        </w:rPr>
        <w:t>by</w:t>
      </w:r>
      <w:r w:rsidRPr="0010320B">
        <w:rPr>
          <w:lang w:val="en-US"/>
        </w:rPr>
        <w:t xml:space="preserve"> the government</w:t>
      </w:r>
      <w:r w:rsidR="007E2871">
        <w:rPr>
          <w:lang w:val="en-US"/>
        </w:rPr>
        <w:t xml:space="preserve">, </w:t>
      </w:r>
      <w:r w:rsidR="00914845">
        <w:rPr>
          <w:lang w:val="en-US"/>
        </w:rPr>
        <w:t xml:space="preserve">by </w:t>
      </w:r>
      <w:r w:rsidRPr="0010320B">
        <w:rPr>
          <w:lang w:val="en-US"/>
        </w:rPr>
        <w:t>health program</w:t>
      </w:r>
      <w:r>
        <w:rPr>
          <w:lang w:val="en-US"/>
        </w:rPr>
        <w:t>mes</w:t>
      </w:r>
      <w:r w:rsidRPr="0010320B">
        <w:rPr>
          <w:lang w:val="en-US"/>
        </w:rPr>
        <w:t xml:space="preserve">, </w:t>
      </w:r>
      <w:r w:rsidR="00914845">
        <w:rPr>
          <w:lang w:val="en-US"/>
        </w:rPr>
        <w:t xml:space="preserve">by </w:t>
      </w:r>
      <w:r w:rsidRPr="0010320B">
        <w:rPr>
          <w:lang w:val="en-US"/>
        </w:rPr>
        <w:t>the</w:t>
      </w:r>
      <w:r w:rsidR="008D4580" w:rsidRPr="008D4580">
        <w:rPr>
          <w:lang w:val="en-US"/>
        </w:rPr>
        <w:t xml:space="preserve"> </w:t>
      </w:r>
      <w:r w:rsidR="008D4580">
        <w:rPr>
          <w:lang w:val="en-US"/>
        </w:rPr>
        <w:t>Administraci</w:t>
      </w:r>
      <w:r w:rsidR="007E2871">
        <w:rPr>
          <w:lang w:val="en-US"/>
        </w:rPr>
        <w:t xml:space="preserve">ón Nacional de Seguridad Social </w:t>
      </w:r>
      <w:r w:rsidRPr="0010320B">
        <w:rPr>
          <w:lang w:val="en-US"/>
        </w:rPr>
        <w:t>and</w:t>
      </w:r>
      <w:r w:rsidR="00C72394">
        <w:rPr>
          <w:lang w:val="en-US"/>
        </w:rPr>
        <w:t xml:space="preserve"> </w:t>
      </w:r>
      <w:r w:rsidR="00914845">
        <w:rPr>
          <w:lang w:val="en-US"/>
        </w:rPr>
        <w:t xml:space="preserve">by </w:t>
      </w:r>
      <w:r w:rsidRPr="0010320B">
        <w:rPr>
          <w:lang w:val="en-US"/>
        </w:rPr>
        <w:t>non-profit organizations related to households.</w:t>
      </w:r>
    </w:p>
    <w:p w:rsidR="00601742" w:rsidRDefault="00C9622F" w:rsidP="003440AB">
      <w:pPr>
        <w:widowControl w:val="0"/>
        <w:tabs>
          <w:tab w:val="left" w:pos="426"/>
        </w:tabs>
        <w:spacing w:after="0" w:line="480" w:lineRule="auto"/>
        <w:ind w:firstLine="0"/>
        <w:rPr>
          <w:lang w:val="en-US"/>
        </w:rPr>
      </w:pPr>
      <w:r>
        <w:rPr>
          <w:lang w:val="en-US"/>
        </w:rPr>
        <w:tab/>
        <w:t>To complete the regional</w:t>
      </w:r>
      <w:r w:rsidRPr="00AA7EB7">
        <w:t xml:space="preserve"> </w:t>
      </w:r>
      <w:r w:rsidRPr="00F7201E">
        <w:t>input</w:t>
      </w:r>
      <w:r w:rsidRPr="00F7201E">
        <w:sym w:font="Symbol" w:char="F02D"/>
      </w:r>
      <w:r w:rsidRPr="00F7201E">
        <w:t xml:space="preserve">output </w:t>
      </w:r>
      <w:r>
        <w:rPr>
          <w:lang w:val="en-US"/>
        </w:rPr>
        <w:t xml:space="preserve">table, </w:t>
      </w:r>
      <w:r w:rsidR="00921210">
        <w:rPr>
          <w:lang w:val="en-US"/>
        </w:rPr>
        <w:t xml:space="preserve">survey data on </w:t>
      </w:r>
      <w:r w:rsidRPr="0010320B">
        <w:rPr>
          <w:lang w:val="en-US"/>
        </w:rPr>
        <w:t xml:space="preserve">imports of goods and services from the rest of the country and </w:t>
      </w:r>
      <w:r w:rsidR="00134E6A">
        <w:rPr>
          <w:lang w:val="en-US"/>
        </w:rPr>
        <w:t xml:space="preserve">from </w:t>
      </w:r>
      <w:r w:rsidRPr="0010320B">
        <w:rPr>
          <w:lang w:val="en-US"/>
        </w:rPr>
        <w:t>the rest of the world</w:t>
      </w:r>
      <w:r>
        <w:rPr>
          <w:lang w:val="en-US"/>
        </w:rPr>
        <w:t xml:space="preserve"> were added.</w:t>
      </w:r>
      <w:r w:rsidR="00F110EC">
        <w:rPr>
          <w:lang w:val="en-US"/>
        </w:rPr>
        <w:t xml:space="preserve">  The </w:t>
      </w:r>
      <w:r w:rsidR="004F3F05">
        <w:rPr>
          <w:lang w:val="en-US"/>
        </w:rPr>
        <w:t>q</w:t>
      </w:r>
      <w:r w:rsidR="00F110EC">
        <w:rPr>
          <w:lang w:val="en-US"/>
        </w:rPr>
        <w:t>uestionnaires specifically ask</w:t>
      </w:r>
      <w:r w:rsidR="004F3F05">
        <w:rPr>
          <w:lang w:val="en-US"/>
        </w:rPr>
        <w:t>ed</w:t>
      </w:r>
      <w:r w:rsidR="00F110EC">
        <w:rPr>
          <w:lang w:val="en-US"/>
        </w:rPr>
        <w:t xml:space="preserve"> firms about</w:t>
      </w:r>
      <w:r w:rsidR="00946F0A">
        <w:rPr>
          <w:lang w:val="en-US"/>
        </w:rPr>
        <w:t xml:space="preserve"> the regional origin of their inputs and the destination of their sales.  </w:t>
      </w:r>
      <w:r>
        <w:rPr>
          <w:lang w:val="en-US"/>
        </w:rPr>
        <w:t xml:space="preserve">Finally, </w:t>
      </w:r>
      <w:r w:rsidRPr="0010320B">
        <w:rPr>
          <w:lang w:val="en-US"/>
        </w:rPr>
        <w:t>taxes net of subsidies</w:t>
      </w:r>
      <w:r>
        <w:rPr>
          <w:lang w:val="en-US"/>
        </w:rPr>
        <w:t>,</w:t>
      </w:r>
      <w:r w:rsidRPr="0010320B">
        <w:rPr>
          <w:lang w:val="en-US"/>
        </w:rPr>
        <w:t xml:space="preserve"> and </w:t>
      </w:r>
      <w:r>
        <w:rPr>
          <w:lang w:val="en-US"/>
        </w:rPr>
        <w:t xml:space="preserve">trade </w:t>
      </w:r>
      <w:r w:rsidRPr="0010320B">
        <w:rPr>
          <w:lang w:val="en-US"/>
        </w:rPr>
        <w:t>and freight margins</w:t>
      </w:r>
      <w:r>
        <w:rPr>
          <w:lang w:val="en-US"/>
        </w:rPr>
        <w:t>, were incorporated</w:t>
      </w:r>
      <w:r w:rsidRPr="0010320B">
        <w:rPr>
          <w:lang w:val="en-US"/>
        </w:rPr>
        <w:t xml:space="preserve">. </w:t>
      </w:r>
      <w:r>
        <w:rPr>
          <w:lang w:val="en-US"/>
        </w:rPr>
        <w:t xml:space="preserve"> </w:t>
      </w:r>
      <w:r w:rsidRPr="0010320B">
        <w:rPr>
          <w:lang w:val="en-US"/>
        </w:rPr>
        <w:t>The</w:t>
      </w:r>
      <w:r>
        <w:rPr>
          <w:lang w:val="en-US"/>
        </w:rPr>
        <w:t xml:space="preserve">se </w:t>
      </w:r>
      <w:r w:rsidR="00953F02">
        <w:rPr>
          <w:lang w:val="en-US"/>
        </w:rPr>
        <w:t xml:space="preserve">latter </w:t>
      </w:r>
      <w:r>
        <w:rPr>
          <w:lang w:val="en-US"/>
        </w:rPr>
        <w:t>figures were</w:t>
      </w:r>
      <w:r w:rsidRPr="0010320B">
        <w:rPr>
          <w:lang w:val="en-US"/>
        </w:rPr>
        <w:t xml:space="preserve"> obtained</w:t>
      </w:r>
      <w:r>
        <w:rPr>
          <w:lang w:val="en-US"/>
        </w:rPr>
        <w:t xml:space="preserve"> </w:t>
      </w:r>
      <w:r w:rsidRPr="0010320B">
        <w:rPr>
          <w:lang w:val="en-US"/>
        </w:rPr>
        <w:t xml:space="preserve">from the national and provincial tax </w:t>
      </w:r>
      <w:r>
        <w:rPr>
          <w:lang w:val="en-US"/>
        </w:rPr>
        <w:t>b</w:t>
      </w:r>
      <w:r w:rsidRPr="0010320B">
        <w:rPr>
          <w:lang w:val="en-US"/>
        </w:rPr>
        <w:t>o</w:t>
      </w:r>
      <w:r>
        <w:rPr>
          <w:lang w:val="en-US"/>
        </w:rPr>
        <w:t>dies</w:t>
      </w:r>
      <w:r w:rsidRPr="0010320B">
        <w:rPr>
          <w:lang w:val="en-US"/>
        </w:rPr>
        <w:t xml:space="preserve"> and </w:t>
      </w:r>
      <w:r>
        <w:rPr>
          <w:lang w:val="en-US"/>
        </w:rPr>
        <w:t xml:space="preserve">from </w:t>
      </w:r>
      <w:r w:rsidRPr="0010320B">
        <w:rPr>
          <w:lang w:val="en-US"/>
        </w:rPr>
        <w:t xml:space="preserve">the </w:t>
      </w:r>
      <w:r>
        <w:rPr>
          <w:lang w:val="en-US"/>
        </w:rPr>
        <w:t>trade</w:t>
      </w:r>
      <w:r w:rsidRPr="0010320B">
        <w:rPr>
          <w:lang w:val="en-US"/>
        </w:rPr>
        <w:t xml:space="preserve"> margins survey.</w:t>
      </w:r>
    </w:p>
    <w:p w:rsidR="00486A0D" w:rsidRPr="00B41523" w:rsidRDefault="008117DD" w:rsidP="00882BF1">
      <w:pPr>
        <w:widowControl w:val="0"/>
        <w:tabs>
          <w:tab w:val="left" w:pos="426"/>
        </w:tabs>
        <w:spacing w:after="0" w:line="480" w:lineRule="auto"/>
        <w:ind w:firstLine="0"/>
        <w:rPr>
          <w:vertAlign w:val="superscript"/>
          <w:lang w:val="en-US"/>
        </w:rPr>
      </w:pPr>
      <w:r>
        <w:rPr>
          <w:lang w:val="en-US"/>
        </w:rPr>
        <w:tab/>
      </w:r>
      <w:r w:rsidR="004E6B86">
        <w:rPr>
          <w:lang w:val="en-US" w:eastAsia="es-AR"/>
        </w:rPr>
        <w:t>The first</w:t>
      </w:r>
      <w:r w:rsidR="001C1C5C">
        <w:rPr>
          <w:lang w:val="en-US"/>
        </w:rPr>
        <w:t xml:space="preserve"> problem </w:t>
      </w:r>
      <w:r w:rsidR="004E6B86">
        <w:rPr>
          <w:lang w:val="en-US"/>
        </w:rPr>
        <w:t xml:space="preserve">encountered </w:t>
      </w:r>
      <w:r w:rsidR="0053360D">
        <w:rPr>
          <w:lang w:val="en-US"/>
        </w:rPr>
        <w:t>whe</w:t>
      </w:r>
      <w:r w:rsidR="001C1C5C">
        <w:rPr>
          <w:lang w:val="en-US"/>
        </w:rPr>
        <w:t xml:space="preserve">n trying to reconcile the </w:t>
      </w:r>
      <w:r w:rsidR="00B10C7E" w:rsidRPr="00F7201E">
        <w:t>input</w:t>
      </w:r>
      <w:r w:rsidR="00B10C7E" w:rsidRPr="00F7201E">
        <w:sym w:font="Symbol" w:char="F02D"/>
      </w:r>
      <w:r w:rsidR="00B10C7E" w:rsidRPr="00F7201E">
        <w:t xml:space="preserve">output </w:t>
      </w:r>
      <w:r w:rsidR="001C1C5C">
        <w:rPr>
          <w:lang w:val="en-US"/>
        </w:rPr>
        <w:t>tables</w:t>
      </w:r>
      <w:r w:rsidR="00C03C6F">
        <w:rPr>
          <w:lang w:val="en-US"/>
        </w:rPr>
        <w:t xml:space="preserve"> for </w:t>
      </w:r>
      <w:r w:rsidR="00C03C6F" w:rsidRPr="0010320B">
        <w:rPr>
          <w:lang w:val="en-US"/>
        </w:rPr>
        <w:t>Córdoba</w:t>
      </w:r>
      <w:r w:rsidR="00C03C6F">
        <w:rPr>
          <w:lang w:val="en-US"/>
        </w:rPr>
        <w:t xml:space="preserve"> and Argentina </w:t>
      </w:r>
      <w:r w:rsidR="004C396D">
        <w:rPr>
          <w:lang w:val="en-US"/>
        </w:rPr>
        <w:t>wa</w:t>
      </w:r>
      <w:r w:rsidR="00C03C6F">
        <w:rPr>
          <w:lang w:val="en-US"/>
        </w:rPr>
        <w:t xml:space="preserve">s that the </w:t>
      </w:r>
      <w:r w:rsidR="00233214">
        <w:rPr>
          <w:lang w:val="en-US"/>
        </w:rPr>
        <w:t xml:space="preserve">most recent </w:t>
      </w:r>
      <w:r w:rsidR="00C03C6F">
        <w:rPr>
          <w:lang w:val="en-US"/>
        </w:rPr>
        <w:t>national table</w:t>
      </w:r>
      <w:r w:rsidR="00D17F63">
        <w:rPr>
          <w:lang w:val="en-US"/>
        </w:rPr>
        <w:t xml:space="preserve"> </w:t>
      </w:r>
      <w:r w:rsidR="00C03C6F">
        <w:rPr>
          <w:lang w:val="en-US"/>
        </w:rPr>
        <w:t>ha</w:t>
      </w:r>
      <w:r w:rsidR="00730FE9">
        <w:rPr>
          <w:lang w:val="en-US"/>
        </w:rPr>
        <w:t>d</w:t>
      </w:r>
      <w:r w:rsidR="00C03C6F">
        <w:rPr>
          <w:lang w:val="en-US"/>
        </w:rPr>
        <w:t xml:space="preserve"> thirty</w:t>
      </w:r>
      <w:r w:rsidR="00B10C7E">
        <w:rPr>
          <w:lang w:val="en-US"/>
        </w:rPr>
        <w:t xml:space="preserve"> sectors, whereas the </w:t>
      </w:r>
      <w:r w:rsidR="00233214">
        <w:rPr>
          <w:lang w:val="en-US"/>
        </w:rPr>
        <w:t>provincial table contain</w:t>
      </w:r>
      <w:r w:rsidR="00730FE9">
        <w:rPr>
          <w:lang w:val="en-US"/>
        </w:rPr>
        <w:t>ed</w:t>
      </w:r>
      <w:r w:rsidR="00233214">
        <w:rPr>
          <w:lang w:val="en-US"/>
        </w:rPr>
        <w:t xml:space="preserve"> 124 sectors.</w:t>
      </w:r>
      <w:r w:rsidR="005A2481">
        <w:rPr>
          <w:b/>
          <w:vertAlign w:val="superscript"/>
          <w:lang w:val="en-US"/>
        </w:rPr>
        <w:t>5</w:t>
      </w:r>
      <w:r w:rsidR="00953F02">
        <w:rPr>
          <w:lang w:val="en-US"/>
        </w:rPr>
        <w:t xml:space="preserve"> </w:t>
      </w:r>
      <w:r w:rsidR="00F61AD3">
        <w:rPr>
          <w:lang w:val="en-US"/>
        </w:rPr>
        <w:t xml:space="preserve"> </w:t>
      </w:r>
      <w:r w:rsidR="005D6E19">
        <w:rPr>
          <w:lang w:val="en-US"/>
        </w:rPr>
        <w:t xml:space="preserve">To circumvent this problem, the transactions for </w:t>
      </w:r>
      <w:r w:rsidR="005D6E19" w:rsidRPr="0010320B">
        <w:rPr>
          <w:lang w:val="en-US"/>
        </w:rPr>
        <w:t>Córdoba</w:t>
      </w:r>
      <w:r w:rsidR="005D6E19">
        <w:rPr>
          <w:lang w:val="en-US"/>
        </w:rPr>
        <w:t xml:space="preserve"> were aggregated to correspon</w:t>
      </w:r>
      <w:r w:rsidR="004C396D">
        <w:rPr>
          <w:lang w:val="en-US"/>
        </w:rPr>
        <w:t>d with the national</w:t>
      </w:r>
      <w:r w:rsidR="004C396D" w:rsidRPr="004C396D">
        <w:t xml:space="preserve"> sectoral classification</w:t>
      </w:r>
      <w:r w:rsidR="003C4269">
        <w:t>.</w:t>
      </w:r>
      <w:r w:rsidR="00D17F63">
        <w:t xml:space="preserve">  Another obstacle was that </w:t>
      </w:r>
      <w:r w:rsidR="001B52AF" w:rsidRPr="0010320B">
        <w:rPr>
          <w:lang w:val="en-US"/>
        </w:rPr>
        <w:t>Córdoba</w:t>
      </w:r>
      <w:r w:rsidR="001B52AF">
        <w:rPr>
          <w:lang w:val="en-US"/>
        </w:rPr>
        <w:t xml:space="preserve">’s data </w:t>
      </w:r>
      <w:r w:rsidR="00730FE9">
        <w:rPr>
          <w:lang w:val="en-US"/>
        </w:rPr>
        <w:t>we</w:t>
      </w:r>
      <w:r w:rsidR="001B52AF">
        <w:rPr>
          <w:lang w:val="en-US"/>
        </w:rPr>
        <w:t xml:space="preserve">re </w:t>
      </w:r>
      <w:r w:rsidR="004E6B86">
        <w:rPr>
          <w:lang w:val="en-US"/>
        </w:rPr>
        <w:t>in</w:t>
      </w:r>
      <w:r w:rsidR="001B52AF">
        <w:rPr>
          <w:lang w:val="en-US"/>
        </w:rPr>
        <w:t xml:space="preserve"> basic prices, whereas the national data </w:t>
      </w:r>
      <w:r w:rsidR="00730FE9">
        <w:rPr>
          <w:lang w:val="en-US"/>
        </w:rPr>
        <w:t>we</w:t>
      </w:r>
      <w:r w:rsidR="001B52AF">
        <w:rPr>
          <w:lang w:val="en-US"/>
        </w:rPr>
        <w:t>re in producer</w:t>
      </w:r>
      <w:r w:rsidR="009F25C3">
        <w:rPr>
          <w:lang w:val="en-US"/>
        </w:rPr>
        <w:t>s’</w:t>
      </w:r>
      <w:r w:rsidR="001B52AF">
        <w:rPr>
          <w:lang w:val="en-US"/>
        </w:rPr>
        <w:t xml:space="preserve"> prices.  Therefore, the national </w:t>
      </w:r>
      <w:r w:rsidR="00730FE9">
        <w:rPr>
          <w:lang w:val="en-US"/>
        </w:rPr>
        <w:t xml:space="preserve">output </w:t>
      </w:r>
      <w:r w:rsidR="001B52AF">
        <w:rPr>
          <w:lang w:val="en-US"/>
        </w:rPr>
        <w:t xml:space="preserve">data were adjusted to basic prices by </w:t>
      </w:r>
      <w:r w:rsidR="001B52AF">
        <w:rPr>
          <w:lang w:val="en-US"/>
        </w:rPr>
        <w:lastRenderedPageBreak/>
        <w:t>deducting taxes on production</w:t>
      </w:r>
      <w:r w:rsidR="005471AD">
        <w:rPr>
          <w:lang w:val="en-US"/>
        </w:rPr>
        <w:t xml:space="preserve"> </w:t>
      </w:r>
      <w:r w:rsidR="001B52AF">
        <w:rPr>
          <w:lang w:val="en-US"/>
        </w:rPr>
        <w:t>and adding subsidies</w:t>
      </w:r>
      <w:r w:rsidR="0053360D">
        <w:rPr>
          <w:lang w:val="en-US"/>
        </w:rPr>
        <w:t>, using data from Chisari</w:t>
      </w:r>
      <w:r w:rsidR="00B2468E">
        <w:rPr>
          <w:lang w:val="en-US"/>
        </w:rPr>
        <w:t xml:space="preserve"> </w:t>
      </w:r>
      <w:r w:rsidR="00B2468E" w:rsidRPr="00FA1DE6">
        <w:rPr>
          <w:lang w:val="en-US"/>
        </w:rPr>
        <w:t>et al.</w:t>
      </w:r>
      <w:r w:rsidR="0053360D">
        <w:rPr>
          <w:lang w:val="en-US"/>
        </w:rPr>
        <w:t xml:space="preserve"> (2009).</w:t>
      </w:r>
      <w:r w:rsidR="004E6B86">
        <w:rPr>
          <w:lang w:val="en-US"/>
        </w:rPr>
        <w:t xml:space="preserve">  A final issue</w:t>
      </w:r>
      <w:r w:rsidR="005D6E19">
        <w:rPr>
          <w:lang w:val="en-US"/>
        </w:rPr>
        <w:t xml:space="preserve"> </w:t>
      </w:r>
      <w:r w:rsidR="004E6B86">
        <w:rPr>
          <w:lang w:val="en-US"/>
        </w:rPr>
        <w:t xml:space="preserve">was that the national table </w:t>
      </w:r>
      <w:r w:rsidR="00730FE9">
        <w:rPr>
          <w:lang w:val="en-US"/>
        </w:rPr>
        <w:t>wa</w:t>
      </w:r>
      <w:r w:rsidR="0053360D">
        <w:rPr>
          <w:lang w:val="en-US"/>
        </w:rPr>
        <w:t>s</w:t>
      </w:r>
      <w:r w:rsidR="004E6B86">
        <w:rPr>
          <w:lang w:val="en-US"/>
        </w:rPr>
        <w:t xml:space="preserve"> for 1997, whereas the provincial table </w:t>
      </w:r>
      <w:r w:rsidR="00730FE9">
        <w:rPr>
          <w:lang w:val="en-US"/>
        </w:rPr>
        <w:t>was</w:t>
      </w:r>
      <w:r w:rsidR="004E6B86">
        <w:rPr>
          <w:lang w:val="en-US"/>
        </w:rPr>
        <w:t xml:space="preserve"> for 2003.  Here it was assumed that the national input coefficients had remained stable between 1997 and 2003.</w:t>
      </w:r>
      <w:r w:rsidR="0018373A">
        <w:rPr>
          <w:lang w:val="en-US"/>
        </w:rPr>
        <w:t xml:space="preserve">  This assumption is reviewed in Section 3.</w:t>
      </w:r>
    </w:p>
    <w:p w:rsidR="00B36FF1" w:rsidRDefault="00B2468E" w:rsidP="006920BB">
      <w:pPr>
        <w:spacing w:after="0" w:line="480" w:lineRule="auto"/>
        <w:ind w:firstLine="0"/>
        <w:jc w:val="center"/>
        <w:rPr>
          <w:b/>
          <w:lang w:val="en-US"/>
        </w:rPr>
      </w:pPr>
      <w:r>
        <w:rPr>
          <w:b/>
          <w:lang w:val="en-US"/>
        </w:rPr>
        <w:t xml:space="preserve">Table </w:t>
      </w:r>
      <w:r w:rsidR="006920BB">
        <w:rPr>
          <w:b/>
          <w:lang w:val="en-US"/>
        </w:rPr>
        <w:t>1</w:t>
      </w:r>
      <w:r w:rsidR="00ED5A89">
        <w:rPr>
          <w:b/>
          <w:lang w:val="en-US"/>
        </w:rPr>
        <w:t xml:space="preserve"> near here</w:t>
      </w:r>
    </w:p>
    <w:p w:rsidR="009653D2" w:rsidRPr="00817C35" w:rsidRDefault="006920BB" w:rsidP="009653D2">
      <w:pPr>
        <w:widowControl w:val="0"/>
        <w:tabs>
          <w:tab w:val="left" w:pos="426"/>
        </w:tabs>
        <w:spacing w:after="0" w:line="480" w:lineRule="auto"/>
        <w:ind w:firstLine="0"/>
        <w:rPr>
          <w:b/>
          <w:vertAlign w:val="superscript"/>
          <w:lang w:val="en-US" w:eastAsia="es-AR"/>
        </w:rPr>
      </w:pPr>
      <w:r>
        <w:rPr>
          <w:lang w:val="en-US"/>
        </w:rPr>
        <w:tab/>
      </w:r>
      <w:r w:rsidR="00285D28">
        <w:rPr>
          <w:lang w:val="en-US"/>
        </w:rPr>
        <w:t xml:space="preserve">There are some noticeable differences in the extent to which </w:t>
      </w:r>
      <w:r w:rsidR="00ED5A89">
        <w:rPr>
          <w:lang w:val="en-US"/>
        </w:rPr>
        <w:t>C</w:t>
      </w:r>
      <w:r w:rsidR="00ED5A89" w:rsidRPr="0010320B">
        <w:rPr>
          <w:lang w:val="en-US"/>
        </w:rPr>
        <w:t>ó</w:t>
      </w:r>
      <w:r w:rsidR="00ED5A89">
        <w:rPr>
          <w:lang w:val="en-US"/>
        </w:rPr>
        <w:t>rdoba</w:t>
      </w:r>
      <w:r w:rsidR="00285D28">
        <w:rPr>
          <w:lang w:val="en-US"/>
        </w:rPr>
        <w:t xml:space="preserve"> and </w:t>
      </w:r>
      <w:r w:rsidR="00ED5A89">
        <w:rPr>
          <w:lang w:val="en-US"/>
        </w:rPr>
        <w:t>Argentina</w:t>
      </w:r>
      <w:r w:rsidR="00285D28">
        <w:rPr>
          <w:lang w:val="en-US"/>
        </w:rPr>
        <w:t xml:space="preserve"> specialize in particular industries.  These differences are captured in the simple LQs (SLQs) displayed in Table 1, which were computed using the following formula:</w:t>
      </w:r>
      <w:r w:rsidR="000263C4">
        <w:rPr>
          <w:b/>
          <w:vertAlign w:val="superscript"/>
          <w:lang w:val="en-US"/>
        </w:rPr>
        <w:t>6</w:t>
      </w:r>
    </w:p>
    <w:p w:rsidR="009653D2" w:rsidRPr="00CD065D" w:rsidRDefault="009653D2" w:rsidP="000D7940">
      <w:pPr>
        <w:widowControl w:val="0"/>
        <w:tabs>
          <w:tab w:val="left" w:pos="720"/>
          <w:tab w:val="center" w:pos="4440"/>
          <w:tab w:val="right" w:pos="8931"/>
        </w:tabs>
        <w:spacing w:after="0" w:line="480" w:lineRule="auto"/>
      </w:pPr>
      <w:r>
        <w:tab/>
      </w:r>
      <w:r>
        <w:tab/>
      </w:r>
      <w:r w:rsidRPr="00BC5821">
        <w:rPr>
          <w:i/>
        </w:rPr>
        <w:t>SLQ</w:t>
      </w:r>
      <w:r w:rsidRPr="00BC5821">
        <w:rPr>
          <w:i/>
          <w:vertAlign w:val="subscript"/>
        </w:rPr>
        <w:t>i</w:t>
      </w:r>
      <w:r w:rsidRPr="00CD065D">
        <w:rPr>
          <w:vertAlign w:val="subscript"/>
        </w:rPr>
        <w:t xml:space="preserve"> </w:t>
      </w:r>
      <w:r w:rsidR="00E70DC4" w:rsidRPr="00E70DC4">
        <w:rPr>
          <w:position w:val="-30"/>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pt;height:36.5pt" o:ole="" fillcolor="window">
            <v:imagedata r:id="rId11" o:title=""/>
          </v:shape>
          <o:OLEObject Type="Embed" ProgID="Equation.3" ShapeID="_x0000_i1025" DrawAspect="Content" ObjectID="_1494569078" r:id="rId12"/>
        </w:object>
      </w:r>
      <w:r>
        <w:tab/>
      </w:r>
      <w:r w:rsidRPr="00CD065D">
        <w:t>(</w:t>
      </w:r>
      <w:r>
        <w:t>1</w:t>
      </w:r>
      <w:r w:rsidRPr="00CD065D">
        <w:t>)</w:t>
      </w:r>
    </w:p>
    <w:p w:rsidR="0004683F" w:rsidRDefault="009653D2" w:rsidP="007E1E18">
      <w:pPr>
        <w:widowControl w:val="0"/>
        <w:tabs>
          <w:tab w:val="left" w:pos="426"/>
        </w:tabs>
        <w:spacing w:after="0" w:line="480" w:lineRule="auto"/>
        <w:ind w:firstLine="0"/>
        <w:rPr>
          <w:color w:val="000000"/>
        </w:rPr>
      </w:pPr>
      <w:r>
        <w:t>where</w:t>
      </w:r>
      <w:r w:rsidRPr="00CD065D">
        <w:rPr>
          <w:color w:val="000000"/>
        </w:rPr>
        <w:t xml:space="preserve"> </w:t>
      </w:r>
      <w:r w:rsidR="00E70DC4" w:rsidRPr="00D139DF">
        <w:rPr>
          <w:position w:val="-12"/>
        </w:rPr>
        <w:object w:dxaOrig="320" w:dyaOrig="400">
          <v:shape id="_x0000_i1026" type="#_x0000_t75" style="width:17.25pt;height:21.3pt" o:ole="">
            <v:imagedata r:id="rId13" o:title=""/>
          </v:shape>
          <o:OLEObject Type="Embed" ProgID="Equation.3" ShapeID="_x0000_i1026" DrawAspect="Content" ObjectID="_1494569079" r:id="rId14"/>
        </w:object>
      </w:r>
      <w:r>
        <w:rPr>
          <w:color w:val="000000"/>
        </w:rPr>
        <w:t xml:space="preserve"> is </w:t>
      </w:r>
      <w:r w:rsidRPr="00CD065D">
        <w:rPr>
          <w:color w:val="000000"/>
        </w:rPr>
        <w:t xml:space="preserve">regional </w:t>
      </w:r>
      <w:r>
        <w:rPr>
          <w:color w:val="000000"/>
        </w:rPr>
        <w:t>output</w:t>
      </w:r>
      <w:r w:rsidRPr="00CD065D">
        <w:rPr>
          <w:color w:val="000000"/>
        </w:rPr>
        <w:t xml:space="preserve"> in sector </w:t>
      </w:r>
      <w:r w:rsidRPr="00CD065D">
        <w:rPr>
          <w:i/>
          <w:color w:val="000000"/>
        </w:rPr>
        <w:t>i</w:t>
      </w:r>
      <w:r w:rsidRPr="00CD065D">
        <w:rPr>
          <w:color w:val="000000"/>
        </w:rPr>
        <w:t xml:space="preserve"> and </w:t>
      </w:r>
      <w:r w:rsidR="00E70DC4" w:rsidRPr="00D139DF">
        <w:rPr>
          <w:position w:val="-12"/>
        </w:rPr>
        <w:object w:dxaOrig="340" w:dyaOrig="400">
          <v:shape id="_x0000_i1027" type="#_x0000_t75" style="width:17.25pt;height:21.3pt" o:ole="">
            <v:imagedata r:id="rId15" o:title=""/>
          </v:shape>
          <o:OLEObject Type="Embed" ProgID="Equation.3" ShapeID="_x0000_i1027" DrawAspect="Content" ObjectID="_1494569080" r:id="rId16"/>
        </w:object>
      </w:r>
      <w:r w:rsidRPr="00CD065D">
        <w:rPr>
          <w:color w:val="000000"/>
        </w:rPr>
        <w:t xml:space="preserve"> </w:t>
      </w:r>
      <w:r>
        <w:rPr>
          <w:color w:val="000000"/>
        </w:rPr>
        <w:t>i</w:t>
      </w:r>
      <w:r w:rsidRPr="00CD065D">
        <w:rPr>
          <w:color w:val="000000"/>
        </w:rPr>
        <w:t xml:space="preserve">s the corresponding national figure.  </w:t>
      </w:r>
      <w:r w:rsidR="00E70DC4" w:rsidRPr="00D139DF">
        <w:rPr>
          <w:position w:val="-12"/>
        </w:rPr>
        <w:object w:dxaOrig="540" w:dyaOrig="400">
          <v:shape id="_x0000_i1028" type="#_x0000_t75" style="width:26.35pt;height:21.3pt" o:ole="">
            <v:imagedata r:id="rId17" o:title=""/>
          </v:shape>
          <o:OLEObject Type="Embed" ProgID="Equation.3" ShapeID="_x0000_i1028" DrawAspect="Content" ObjectID="_1494569081" r:id="rId18"/>
        </w:object>
      </w:r>
      <w:r>
        <w:rPr>
          <w:color w:val="000000"/>
        </w:rPr>
        <w:t xml:space="preserve"> </w:t>
      </w:r>
      <w:r w:rsidRPr="00CD065D">
        <w:rPr>
          <w:color w:val="000000"/>
        </w:rPr>
        <w:t xml:space="preserve">and </w:t>
      </w:r>
      <w:r w:rsidR="00E70DC4" w:rsidRPr="00D139DF">
        <w:rPr>
          <w:position w:val="-12"/>
        </w:rPr>
        <w:object w:dxaOrig="540" w:dyaOrig="400">
          <v:shape id="_x0000_i1029" type="#_x0000_t75" style="width:26.35pt;height:21.3pt" o:ole="">
            <v:imagedata r:id="rId19" o:title=""/>
          </v:shape>
          <o:OLEObject Type="Embed" ProgID="Equation.3" ShapeID="_x0000_i1029" DrawAspect="Content" ObjectID="_1494569082" r:id="rId20"/>
        </w:object>
      </w:r>
      <w:r w:rsidRPr="00CD065D">
        <w:rPr>
          <w:color w:val="000000"/>
        </w:rPr>
        <w:t xml:space="preserve"> are the respective regional and national totals</w:t>
      </w:r>
      <w:r>
        <w:rPr>
          <w:color w:val="000000"/>
        </w:rPr>
        <w:t>.</w:t>
      </w:r>
    </w:p>
    <w:p w:rsidR="00416041" w:rsidRPr="00056B68" w:rsidRDefault="0004683F" w:rsidP="00A17DDB">
      <w:pPr>
        <w:widowControl w:val="0"/>
        <w:tabs>
          <w:tab w:val="left" w:pos="426"/>
        </w:tabs>
        <w:spacing w:after="0" w:line="480" w:lineRule="auto"/>
        <w:ind w:firstLine="0"/>
        <w:rPr>
          <w:b/>
          <w:color w:val="000000"/>
        </w:rPr>
      </w:pPr>
      <w:r>
        <w:rPr>
          <w:color w:val="000000"/>
        </w:rPr>
        <w:tab/>
        <w:t xml:space="preserve">Table 1 reveals that </w:t>
      </w:r>
      <w:r w:rsidR="00D0478D">
        <w:rPr>
          <w:lang w:val="en-US"/>
        </w:rPr>
        <w:t>C</w:t>
      </w:r>
      <w:r w:rsidR="00D0478D" w:rsidRPr="0010320B">
        <w:rPr>
          <w:lang w:val="en-US"/>
        </w:rPr>
        <w:t>ó</w:t>
      </w:r>
      <w:r w:rsidR="00D0478D">
        <w:rPr>
          <w:lang w:val="en-US"/>
        </w:rPr>
        <w:t>rdoba</w:t>
      </w:r>
      <w:r>
        <w:rPr>
          <w:color w:val="000000"/>
        </w:rPr>
        <w:t xml:space="preserve"> has a </w:t>
      </w:r>
      <w:r w:rsidR="00D0478D">
        <w:rPr>
          <w:color w:val="000000"/>
        </w:rPr>
        <w:t>high</w:t>
      </w:r>
      <w:r>
        <w:rPr>
          <w:color w:val="000000"/>
        </w:rPr>
        <w:t xml:space="preserve"> degree of specialization in sectors 1</w:t>
      </w:r>
      <w:r w:rsidR="00AC4E8F">
        <w:rPr>
          <w:color w:val="000000"/>
        </w:rPr>
        <w:t xml:space="preserve"> </w:t>
      </w:r>
      <w:r w:rsidR="00D0478D">
        <w:rPr>
          <w:color w:val="000000"/>
        </w:rPr>
        <w:t xml:space="preserve">and 17.  Other sectors exhibiting </w:t>
      </w:r>
      <w:r w:rsidR="00E13F35">
        <w:rPr>
          <w:color w:val="000000"/>
        </w:rPr>
        <w:t xml:space="preserve">significant </w:t>
      </w:r>
      <w:r w:rsidR="00D0478D">
        <w:rPr>
          <w:color w:val="000000"/>
        </w:rPr>
        <w:t xml:space="preserve">specialization include </w:t>
      </w:r>
      <w:r w:rsidR="00AC4E8F">
        <w:rPr>
          <w:color w:val="000000"/>
        </w:rPr>
        <w:t>4</w:t>
      </w:r>
      <w:r>
        <w:rPr>
          <w:color w:val="000000"/>
        </w:rPr>
        <w:t xml:space="preserve">, </w:t>
      </w:r>
      <w:r w:rsidR="00AC4E8F">
        <w:rPr>
          <w:color w:val="000000"/>
        </w:rPr>
        <w:t xml:space="preserve">13 </w:t>
      </w:r>
      <w:r w:rsidR="00D0478D">
        <w:rPr>
          <w:color w:val="000000"/>
        </w:rPr>
        <w:t>and</w:t>
      </w:r>
      <w:r w:rsidR="00AC4E8F">
        <w:rPr>
          <w:color w:val="000000"/>
        </w:rPr>
        <w:t xml:space="preserve"> 16</w:t>
      </w:r>
      <w:r>
        <w:rPr>
          <w:color w:val="000000"/>
        </w:rPr>
        <w:t>.</w:t>
      </w:r>
      <w:r w:rsidR="008E46E2">
        <w:rPr>
          <w:color w:val="000000"/>
        </w:rPr>
        <w:t xml:space="preserve">  It is also worth noting that the key sectors 1, 4 and 17 account for 41% of </w:t>
      </w:r>
      <w:r w:rsidR="008E46E2">
        <w:rPr>
          <w:lang w:val="en-US"/>
        </w:rPr>
        <w:t>C</w:t>
      </w:r>
      <w:r w:rsidR="008E46E2" w:rsidRPr="0010320B">
        <w:rPr>
          <w:lang w:val="en-US"/>
        </w:rPr>
        <w:t>ó</w:t>
      </w:r>
      <w:r w:rsidR="008E46E2">
        <w:rPr>
          <w:lang w:val="en-US"/>
        </w:rPr>
        <w:t>rdoba’s output.</w:t>
      </w:r>
      <w:r>
        <w:rPr>
          <w:color w:val="000000"/>
        </w:rPr>
        <w:t xml:space="preserve">  On the other hand, relatively low </w:t>
      </w:r>
      <w:r w:rsidR="0096622B">
        <w:rPr>
          <w:color w:val="000000"/>
        </w:rPr>
        <w:t xml:space="preserve">values of </w:t>
      </w:r>
      <w:r w:rsidR="0096622B" w:rsidRPr="0096622B">
        <w:rPr>
          <w:i/>
          <w:color w:val="000000"/>
        </w:rPr>
        <w:t>SLQ</w:t>
      </w:r>
      <w:r w:rsidR="0096622B" w:rsidRPr="0096622B">
        <w:rPr>
          <w:i/>
          <w:color w:val="000000"/>
          <w:vertAlign w:val="subscript"/>
        </w:rPr>
        <w:t>i</w:t>
      </w:r>
      <w:r w:rsidR="0096622B">
        <w:rPr>
          <w:color w:val="000000"/>
        </w:rPr>
        <w:t xml:space="preserve"> </w:t>
      </w:r>
      <w:r w:rsidR="00F072EB">
        <w:rPr>
          <w:color w:val="000000"/>
        </w:rPr>
        <w:t xml:space="preserve">occur </w:t>
      </w:r>
      <w:r>
        <w:rPr>
          <w:color w:val="000000"/>
        </w:rPr>
        <w:t xml:space="preserve">in sectors </w:t>
      </w:r>
      <w:r w:rsidR="0096622B">
        <w:rPr>
          <w:color w:val="000000"/>
        </w:rPr>
        <w:t>such as 11</w:t>
      </w:r>
      <w:r w:rsidR="004F7DBA">
        <w:rPr>
          <w:color w:val="000000"/>
        </w:rPr>
        <w:t xml:space="preserve"> and 2</w:t>
      </w:r>
      <w:r>
        <w:rPr>
          <w:color w:val="000000"/>
        </w:rPr>
        <w:t xml:space="preserve">5.  These differences are important </w:t>
      </w:r>
      <w:r w:rsidR="0067471F">
        <w:rPr>
          <w:color w:val="000000"/>
        </w:rPr>
        <w:t>sin</w:t>
      </w:r>
      <w:r>
        <w:rPr>
          <w:color w:val="000000"/>
        </w:rPr>
        <w:t xml:space="preserve">ce </w:t>
      </w:r>
      <w:r w:rsidR="0072440A">
        <w:rPr>
          <w:color w:val="000000"/>
        </w:rPr>
        <w:t>the S</w:t>
      </w:r>
      <w:r>
        <w:rPr>
          <w:color w:val="000000"/>
        </w:rPr>
        <w:t xml:space="preserve">LQ approach </w:t>
      </w:r>
      <w:r w:rsidR="00366664">
        <w:rPr>
          <w:color w:val="000000"/>
        </w:rPr>
        <w:t xml:space="preserve">to regionalization </w:t>
      </w:r>
      <w:r>
        <w:rPr>
          <w:color w:val="000000"/>
        </w:rPr>
        <w:t>presuppose</w:t>
      </w:r>
      <w:r w:rsidR="0072440A">
        <w:rPr>
          <w:color w:val="000000"/>
        </w:rPr>
        <w:t>s</w:t>
      </w:r>
      <w:r>
        <w:rPr>
          <w:color w:val="000000"/>
        </w:rPr>
        <w:t xml:space="preserve"> that sectors in which the region is </w:t>
      </w:r>
      <w:r>
        <w:rPr>
          <w:i/>
          <w:color w:val="000000"/>
        </w:rPr>
        <w:t>not</w:t>
      </w:r>
      <w:r>
        <w:rPr>
          <w:color w:val="000000"/>
        </w:rPr>
        <w:t xml:space="preserve"> specialized will be unable to fulfil all of the requirements for the commodity in question from within the region and so will need to ‘import’ some of these items from other regions.  </w:t>
      </w:r>
      <w:r w:rsidR="0067471F">
        <w:rPr>
          <w:color w:val="000000"/>
        </w:rPr>
        <w:t>Conversely</w:t>
      </w:r>
      <w:r>
        <w:rPr>
          <w:color w:val="000000"/>
        </w:rPr>
        <w:t xml:space="preserve">, the region is more likely to be self-sufficient in those sectors in which it is specialized.  For example, </w:t>
      </w:r>
      <w:r w:rsidR="0072440A">
        <w:rPr>
          <w:color w:val="000000"/>
        </w:rPr>
        <w:t xml:space="preserve">following the SLQ approach, </w:t>
      </w:r>
      <w:r>
        <w:rPr>
          <w:color w:val="000000"/>
        </w:rPr>
        <w:t>we might expect the propensity to import from other regions to be relatively high in sector</w:t>
      </w:r>
      <w:r w:rsidR="0096622B">
        <w:rPr>
          <w:color w:val="000000"/>
        </w:rPr>
        <w:t xml:space="preserve"> 8</w:t>
      </w:r>
      <w:r>
        <w:rPr>
          <w:color w:val="000000"/>
        </w:rPr>
        <w:t xml:space="preserve"> but relatively low in sector</w:t>
      </w:r>
      <w:r w:rsidR="0096622B">
        <w:rPr>
          <w:color w:val="000000"/>
        </w:rPr>
        <w:t xml:space="preserve"> 17</w:t>
      </w:r>
      <w:r>
        <w:rPr>
          <w:color w:val="000000"/>
        </w:rPr>
        <w:t>.</w:t>
      </w:r>
    </w:p>
    <w:p w:rsidR="000E4B5F" w:rsidRPr="00D15AF3" w:rsidRDefault="00416041" w:rsidP="00A17DDB">
      <w:pPr>
        <w:widowControl w:val="0"/>
        <w:tabs>
          <w:tab w:val="left" w:pos="426"/>
        </w:tabs>
        <w:spacing w:after="0" w:line="480" w:lineRule="auto"/>
        <w:ind w:firstLine="0"/>
        <w:rPr>
          <w:color w:val="000000"/>
        </w:rPr>
      </w:pPr>
      <w:r>
        <w:rPr>
          <w:color w:val="000000"/>
        </w:rPr>
        <w:tab/>
      </w:r>
      <w:r w:rsidR="000E4B5F">
        <w:rPr>
          <w:color w:val="000000"/>
        </w:rPr>
        <w:t xml:space="preserve">Table </w:t>
      </w:r>
      <w:r w:rsidR="0048474F">
        <w:rPr>
          <w:color w:val="000000"/>
        </w:rPr>
        <w:t>1</w:t>
      </w:r>
      <w:r w:rsidR="000E4B5F">
        <w:rPr>
          <w:color w:val="000000"/>
        </w:rPr>
        <w:t xml:space="preserve"> also shows that sectors 2 and 10 </w:t>
      </w:r>
      <w:r w:rsidR="000E4B5F" w:rsidRPr="00407838">
        <w:rPr>
          <w:color w:val="000000"/>
        </w:rPr>
        <w:t xml:space="preserve">play a minuscule role in </w:t>
      </w:r>
      <w:r w:rsidR="000E4B5F" w:rsidRPr="00407838">
        <w:rPr>
          <w:lang w:val="en-US"/>
        </w:rPr>
        <w:t>Córdoba’s economy</w:t>
      </w:r>
      <w:r w:rsidR="006E48E2">
        <w:rPr>
          <w:lang w:val="en-US"/>
        </w:rPr>
        <w:t xml:space="preserve">, so we decided to </w:t>
      </w:r>
      <w:r w:rsidR="006D6DF8">
        <w:rPr>
          <w:lang w:val="en-US"/>
        </w:rPr>
        <w:t>amalgamate sector 2 with 1</w:t>
      </w:r>
      <w:r w:rsidR="00094ED8">
        <w:rPr>
          <w:lang w:val="en-US"/>
        </w:rPr>
        <w:t xml:space="preserve"> and 10 with 3.</w:t>
      </w:r>
      <w:r w:rsidR="000263C4">
        <w:rPr>
          <w:b/>
          <w:vertAlign w:val="superscript"/>
          <w:lang w:val="en-US"/>
        </w:rPr>
        <w:t>7</w:t>
      </w:r>
      <w:r w:rsidR="00094ED8">
        <w:rPr>
          <w:lang w:val="en-US"/>
        </w:rPr>
        <w:t xml:space="preserve">  T</w:t>
      </w:r>
      <w:r w:rsidR="006D6DF8" w:rsidRPr="00094ED8">
        <w:rPr>
          <w:lang w:val="en-US"/>
        </w:rPr>
        <w:t>his</w:t>
      </w:r>
      <w:r w:rsidR="006D6DF8">
        <w:rPr>
          <w:lang w:val="en-US"/>
        </w:rPr>
        <w:t xml:space="preserve"> decision to base the statistical analysis on twenty-eight rather than thirty </w:t>
      </w:r>
      <w:r w:rsidR="006E48E2">
        <w:rPr>
          <w:lang w:val="en-US"/>
        </w:rPr>
        <w:t xml:space="preserve">sectors has the </w:t>
      </w:r>
      <w:r w:rsidR="00B52BD4">
        <w:rPr>
          <w:lang w:val="en-US"/>
        </w:rPr>
        <w:t>merit</w:t>
      </w:r>
      <w:r w:rsidR="006E48E2">
        <w:rPr>
          <w:lang w:val="en-US"/>
        </w:rPr>
        <w:t xml:space="preserve"> of</w:t>
      </w:r>
      <w:r w:rsidR="00F35F2C">
        <w:rPr>
          <w:lang w:val="en-US"/>
        </w:rPr>
        <w:t xml:space="preserve"> </w:t>
      </w:r>
      <w:r w:rsidR="003E5395">
        <w:rPr>
          <w:lang w:val="en-US"/>
        </w:rPr>
        <w:t>simplifying the discussion</w:t>
      </w:r>
      <w:r w:rsidR="008D76AB">
        <w:rPr>
          <w:lang w:val="en-US"/>
        </w:rPr>
        <w:t xml:space="preserve">, </w:t>
      </w:r>
      <w:r w:rsidR="008D76AB">
        <w:rPr>
          <w:lang w:val="en-US"/>
        </w:rPr>
        <w:lastRenderedPageBreak/>
        <w:t>while</w:t>
      </w:r>
      <w:r w:rsidR="003E5395">
        <w:rPr>
          <w:lang w:val="en-US"/>
        </w:rPr>
        <w:t xml:space="preserve"> </w:t>
      </w:r>
      <w:r w:rsidR="009E2E1D">
        <w:rPr>
          <w:lang w:val="en-US"/>
        </w:rPr>
        <w:t>ensur</w:t>
      </w:r>
      <w:r w:rsidR="006E48E2">
        <w:rPr>
          <w:lang w:val="en-US"/>
        </w:rPr>
        <w:t>ing</w:t>
      </w:r>
      <w:r w:rsidR="009E2E1D">
        <w:rPr>
          <w:lang w:val="en-US"/>
        </w:rPr>
        <w:t xml:space="preserve"> that these two sectors d</w:t>
      </w:r>
      <w:r w:rsidR="006E48E2">
        <w:rPr>
          <w:lang w:val="en-US"/>
        </w:rPr>
        <w:t>o</w:t>
      </w:r>
      <w:r w:rsidR="009E2E1D">
        <w:rPr>
          <w:lang w:val="en-US"/>
        </w:rPr>
        <w:t xml:space="preserve"> not have an undue impact on the results</w:t>
      </w:r>
      <w:r w:rsidR="00F35F2C">
        <w:rPr>
          <w:lang w:val="en-US"/>
        </w:rPr>
        <w:t>.</w:t>
      </w:r>
    </w:p>
    <w:p w:rsidR="009E7128" w:rsidRPr="000263C4" w:rsidRDefault="009E7128" w:rsidP="009E7128">
      <w:pPr>
        <w:spacing w:after="0"/>
        <w:ind w:firstLine="0"/>
        <w:jc w:val="left"/>
        <w:rPr>
          <w:lang w:val="en-US"/>
        </w:rPr>
      </w:pPr>
    </w:p>
    <w:p w:rsidR="009E7128" w:rsidRDefault="009E7128" w:rsidP="009E7128">
      <w:pPr>
        <w:spacing w:after="0" w:line="480" w:lineRule="auto"/>
        <w:ind w:firstLine="0"/>
        <w:jc w:val="left"/>
        <w:rPr>
          <w:b/>
          <w:lang w:val="en-US"/>
        </w:rPr>
      </w:pPr>
      <w:r>
        <w:rPr>
          <w:b/>
          <w:lang w:val="en-US"/>
        </w:rPr>
        <w:t>3   SOME CAVEATS</w:t>
      </w:r>
    </w:p>
    <w:p w:rsidR="003D34A5" w:rsidRPr="00B41523" w:rsidRDefault="009E7128" w:rsidP="003D34A5">
      <w:pPr>
        <w:widowControl w:val="0"/>
        <w:tabs>
          <w:tab w:val="left" w:pos="426"/>
        </w:tabs>
        <w:spacing w:after="0" w:line="480" w:lineRule="auto"/>
        <w:ind w:firstLine="0"/>
        <w:rPr>
          <w:vertAlign w:val="superscript"/>
          <w:lang w:val="en-US"/>
        </w:rPr>
      </w:pPr>
      <w:r w:rsidRPr="009E7128">
        <w:rPr>
          <w:lang w:val="en-US"/>
        </w:rPr>
        <w:t xml:space="preserve">Before </w:t>
      </w:r>
      <w:r w:rsidR="00821DC7" w:rsidRPr="009E7128">
        <w:rPr>
          <w:lang w:val="en-US"/>
        </w:rPr>
        <w:t>consider</w:t>
      </w:r>
      <w:r w:rsidR="00821DC7">
        <w:rPr>
          <w:lang w:val="en-US"/>
        </w:rPr>
        <w:t xml:space="preserve">ing any results, we should note some reasons why inconsistencies between the regional and national </w:t>
      </w:r>
      <w:r w:rsidR="00821DC7" w:rsidRPr="00F7201E">
        <w:t>input</w:t>
      </w:r>
      <w:r w:rsidR="00821DC7" w:rsidRPr="00F7201E">
        <w:sym w:font="Symbol" w:char="F02D"/>
      </w:r>
      <w:r w:rsidR="00821DC7" w:rsidRPr="00F7201E">
        <w:t xml:space="preserve">output </w:t>
      </w:r>
      <w:r w:rsidR="00821DC7">
        <w:rPr>
          <w:lang w:val="en-US"/>
        </w:rPr>
        <w:t xml:space="preserve">tables might </w:t>
      </w:r>
      <w:r w:rsidR="009B0E87">
        <w:rPr>
          <w:lang w:val="en-US"/>
        </w:rPr>
        <w:t>arise</w:t>
      </w:r>
      <w:r w:rsidR="00821DC7">
        <w:rPr>
          <w:lang w:val="en-US"/>
        </w:rPr>
        <w:t>.</w:t>
      </w:r>
      <w:r w:rsidR="009E048D">
        <w:rPr>
          <w:lang w:val="en-US"/>
        </w:rPr>
        <w:t xml:space="preserve">  </w:t>
      </w:r>
      <w:r w:rsidR="00C44E8B">
        <w:rPr>
          <w:lang w:val="en-US"/>
        </w:rPr>
        <w:tab/>
      </w:r>
      <w:r w:rsidR="00821DC7">
        <w:rPr>
          <w:lang w:val="en-US"/>
        </w:rPr>
        <w:t xml:space="preserve">One concern is that </w:t>
      </w:r>
      <w:r w:rsidR="00821DC7" w:rsidRPr="00C95213">
        <w:t>the</w:t>
      </w:r>
      <w:r w:rsidR="00821DC7">
        <w:t>se</w:t>
      </w:r>
      <w:r w:rsidR="00821DC7" w:rsidRPr="00C95213">
        <w:t xml:space="preserve"> table</w:t>
      </w:r>
      <w:r w:rsidR="00821DC7">
        <w:t>s</w:t>
      </w:r>
      <w:r w:rsidR="00821DC7" w:rsidRPr="00C95213">
        <w:t xml:space="preserve"> refer to </w:t>
      </w:r>
      <w:r w:rsidR="00821DC7">
        <w:t>different years</w:t>
      </w:r>
      <w:r w:rsidR="00954050">
        <w:t xml:space="preserve"> and that</w:t>
      </w:r>
      <w:r w:rsidR="000F49A4">
        <w:t xml:space="preserve"> t</w:t>
      </w:r>
      <w:r w:rsidR="00821DC7">
        <w:t>echnological and structural changes in the period 1997</w:t>
      </w:r>
      <w:r w:rsidR="00821DC7" w:rsidRPr="00F7201E">
        <w:sym w:font="Symbol" w:char="F02D"/>
      </w:r>
      <w:r w:rsidR="00821DC7">
        <w:t xml:space="preserve">2003 </w:t>
      </w:r>
      <w:r w:rsidR="00DF38FE">
        <w:t>might</w:t>
      </w:r>
      <w:r w:rsidR="00821DC7">
        <w:t xml:space="preserve"> have altered the national input coefficients</w:t>
      </w:r>
      <w:r w:rsidR="00821DC7" w:rsidRPr="00C52DC0">
        <w:t xml:space="preserve"> </w:t>
      </w:r>
      <w:r w:rsidR="00821DC7">
        <w:t xml:space="preserve">significantly. </w:t>
      </w:r>
      <w:r w:rsidR="0055039C">
        <w:t xml:space="preserve"> </w:t>
      </w:r>
      <w:r w:rsidR="00954050">
        <w:t>W</w:t>
      </w:r>
      <w:r w:rsidR="003D34A5">
        <w:t>hil</w:t>
      </w:r>
      <w:r w:rsidR="00954050">
        <w:t>st</w:t>
      </w:r>
      <w:r w:rsidR="003D34A5">
        <w:t xml:space="preserve"> it is true</w:t>
      </w:r>
      <w:r w:rsidR="003D34A5">
        <w:rPr>
          <w:lang w:val="en-US"/>
        </w:rPr>
        <w:t xml:space="preserve"> that there was </w:t>
      </w:r>
      <w:r w:rsidR="00954050">
        <w:rPr>
          <w:lang w:val="en-US"/>
        </w:rPr>
        <w:t>much</w:t>
      </w:r>
      <w:r w:rsidR="003D34A5">
        <w:rPr>
          <w:lang w:val="en-US"/>
        </w:rPr>
        <w:t xml:space="preserve"> macroeconomic instability in Argentina during this period, there is </w:t>
      </w:r>
      <w:r w:rsidR="00954050">
        <w:rPr>
          <w:lang w:val="en-US"/>
        </w:rPr>
        <w:t>scant</w:t>
      </w:r>
      <w:r w:rsidR="003D34A5">
        <w:rPr>
          <w:lang w:val="en-US"/>
        </w:rPr>
        <w:t xml:space="preserve"> evidence of major structural change.  For instance, there is a very strong correlation (</w:t>
      </w:r>
      <w:r w:rsidR="003D34A5">
        <w:rPr>
          <w:i/>
          <w:lang w:val="en-US"/>
        </w:rPr>
        <w:t>r</w:t>
      </w:r>
      <w:r w:rsidR="003D34A5">
        <w:rPr>
          <w:lang w:val="en-US"/>
        </w:rPr>
        <w:t xml:space="preserve"> = 0. 972) between the shares of GDP in 1997 and 2003 of thirteen broadly defined national sectors.</w:t>
      </w:r>
      <w:r w:rsidR="000263C4">
        <w:rPr>
          <w:b/>
          <w:vertAlign w:val="superscript"/>
          <w:lang w:val="en-US"/>
        </w:rPr>
        <w:t>8</w:t>
      </w:r>
    </w:p>
    <w:p w:rsidR="006C1AA3" w:rsidRDefault="000774BA" w:rsidP="0055039C">
      <w:pPr>
        <w:widowControl w:val="0"/>
        <w:spacing w:after="0" w:line="480" w:lineRule="auto"/>
        <w:ind w:firstLine="426"/>
        <w:rPr>
          <w:lang w:val="en-US"/>
        </w:rPr>
      </w:pPr>
      <w:r>
        <w:t xml:space="preserve">Another possible concern is </w:t>
      </w:r>
      <w:r w:rsidR="006C1AA3">
        <w:t>that the regional table made more use of non-survey data</w:t>
      </w:r>
      <w:r w:rsidR="007F65FE">
        <w:t>.  However</w:t>
      </w:r>
      <w:r w:rsidR="00AF2D48">
        <w:t xml:space="preserve">, </w:t>
      </w:r>
      <w:r w:rsidR="007F65FE">
        <w:t>i</w:t>
      </w:r>
      <w:r w:rsidR="008E2E8D">
        <w:t>t</w:t>
      </w:r>
      <w:r w:rsidR="006C1AA3">
        <w:t xml:space="preserve"> </w:t>
      </w:r>
      <w:r w:rsidR="006C1AA3">
        <w:rPr>
          <w:lang w:val="en-US"/>
        </w:rPr>
        <w:t xml:space="preserve">was built entirely using national accounting methods and </w:t>
      </w:r>
      <w:r w:rsidR="00BC2EC4">
        <w:rPr>
          <w:lang w:val="en-US"/>
        </w:rPr>
        <w:t>i</w:t>
      </w:r>
      <w:r w:rsidR="006C1AA3">
        <w:rPr>
          <w:lang w:val="en-US"/>
        </w:rPr>
        <w:t>ndirect methods were not employed to estimate regional transactions.</w:t>
      </w:r>
      <w:r w:rsidR="006C1AA3" w:rsidRPr="004F3F05">
        <w:rPr>
          <w:lang w:val="en-US"/>
        </w:rPr>
        <w:t xml:space="preserve"> </w:t>
      </w:r>
      <w:r w:rsidR="006C1AA3">
        <w:rPr>
          <w:lang w:val="en-US"/>
        </w:rPr>
        <w:t xml:space="preserve"> </w:t>
      </w:r>
      <w:r w:rsidR="008E2E8D">
        <w:rPr>
          <w:lang w:val="en-US"/>
        </w:rPr>
        <w:t>M</w:t>
      </w:r>
      <w:r w:rsidR="006C1AA3">
        <w:rPr>
          <w:lang w:val="en-US"/>
        </w:rPr>
        <w:t>ore</w:t>
      </w:r>
      <w:r w:rsidR="008E2E8D">
        <w:rPr>
          <w:lang w:val="en-US"/>
        </w:rPr>
        <w:t>over</w:t>
      </w:r>
      <w:r w:rsidR="006C1AA3">
        <w:rPr>
          <w:lang w:val="en-US"/>
        </w:rPr>
        <w:t>, identical sectoral definitions were used in constructing the regional and national tables, based on the ISIC (revision 3).</w:t>
      </w:r>
      <w:r w:rsidR="009E048D">
        <w:rPr>
          <w:lang w:val="en-US"/>
        </w:rPr>
        <w:t xml:space="preserve">  Even so, </w:t>
      </w:r>
      <w:r w:rsidR="009E048D">
        <w:t xml:space="preserve">any </w:t>
      </w:r>
      <w:r w:rsidR="009E048D">
        <w:rPr>
          <w:lang w:val="en-US"/>
        </w:rPr>
        <w:t>differences between Argentina and C</w:t>
      </w:r>
      <w:r w:rsidR="009E048D" w:rsidRPr="0010320B">
        <w:rPr>
          <w:lang w:val="en-US"/>
        </w:rPr>
        <w:t>ó</w:t>
      </w:r>
      <w:r w:rsidR="009E048D">
        <w:rPr>
          <w:lang w:val="en-US"/>
        </w:rPr>
        <w:t>rdoba in terms of the mix of commodities in each sector or in the technology employed</w:t>
      </w:r>
      <w:r w:rsidR="009E048D" w:rsidRPr="00C44E8B">
        <w:rPr>
          <w:lang w:val="en-US"/>
        </w:rPr>
        <w:t xml:space="preserve"> </w:t>
      </w:r>
      <w:r w:rsidR="009E048D">
        <w:rPr>
          <w:lang w:val="en-US"/>
        </w:rPr>
        <w:t>would still cause problems.</w:t>
      </w:r>
    </w:p>
    <w:p w:rsidR="00821DC7" w:rsidRPr="009E7128" w:rsidRDefault="00821DC7" w:rsidP="00B52BD4">
      <w:pPr>
        <w:tabs>
          <w:tab w:val="left" w:pos="567"/>
        </w:tabs>
        <w:spacing w:after="0" w:line="480" w:lineRule="auto"/>
        <w:ind w:firstLine="426"/>
        <w:rPr>
          <w:lang w:val="en-US"/>
        </w:rPr>
      </w:pPr>
      <w:r>
        <w:rPr>
          <w:lang w:val="en-US"/>
        </w:rPr>
        <w:t>A</w:t>
      </w:r>
      <w:r>
        <w:t xml:space="preserve"> final caveat concerns possible </w:t>
      </w:r>
      <w:r>
        <w:rPr>
          <w:lang w:val="en-US"/>
        </w:rPr>
        <w:t xml:space="preserve">aggregation bias.  Typically, the analyst faces a situation where the national table has many more sectors than the regional table.  For example, Flegg and Tohmo (2014) had to </w:t>
      </w:r>
      <w:r>
        <w:t>aggregate transactions for fifty-eight Finnish national sectors in order to create a table consistent with the data available for twenty-six regional sectors.  In such cases, Sawyer and Miller (1983), Lahr and Stevens (2002) and other authors emphasize that</w:t>
      </w:r>
      <w:r w:rsidR="00AB230F">
        <w:t>, in order</w:t>
      </w:r>
      <w:r>
        <w:t xml:space="preserve"> </w:t>
      </w:r>
      <w:r w:rsidR="00AB230F">
        <w:t xml:space="preserve">to minimize aggregation bias, </w:t>
      </w:r>
      <w:r>
        <w:t>regionalization of a national table via the use of LQs should precede aggregation.</w:t>
      </w:r>
      <w:r w:rsidR="00AD53FA">
        <w:rPr>
          <w:b/>
          <w:vertAlign w:val="superscript"/>
        </w:rPr>
        <w:t>9</w:t>
      </w:r>
      <w:r w:rsidR="00AB230F">
        <w:t xml:space="preserve">  </w:t>
      </w:r>
      <w:r>
        <w:t>It is also recommended that regional weights should be used when aggregating.</w:t>
      </w:r>
    </w:p>
    <w:p w:rsidR="00821DC7" w:rsidRDefault="00821DC7" w:rsidP="00E202F1">
      <w:pPr>
        <w:widowControl w:val="0"/>
        <w:tabs>
          <w:tab w:val="left" w:pos="426"/>
        </w:tabs>
        <w:spacing w:after="0" w:line="480" w:lineRule="auto"/>
        <w:ind w:firstLine="0"/>
        <w:rPr>
          <w:lang w:val="en-US"/>
        </w:rPr>
      </w:pPr>
      <w:r>
        <w:rPr>
          <w:lang w:val="en-US"/>
        </w:rPr>
        <w:tab/>
        <w:t xml:space="preserve">However, our study </w:t>
      </w:r>
      <w:r w:rsidR="00CE33C6">
        <w:rPr>
          <w:lang w:val="en-US"/>
        </w:rPr>
        <w:t xml:space="preserve">is unusual </w:t>
      </w:r>
      <w:r w:rsidR="009B0E87">
        <w:rPr>
          <w:lang w:val="en-US"/>
        </w:rPr>
        <w:t>as</w:t>
      </w:r>
      <w:r>
        <w:rPr>
          <w:lang w:val="en-US"/>
        </w:rPr>
        <w:t xml:space="preserve"> it was the regional </w:t>
      </w:r>
      <w:r w:rsidR="00604158">
        <w:rPr>
          <w:lang w:val="en-US"/>
        </w:rPr>
        <w:t xml:space="preserve">rather than the national </w:t>
      </w:r>
      <w:r>
        <w:rPr>
          <w:lang w:val="en-US"/>
        </w:rPr>
        <w:t xml:space="preserve">table that had to be aggregated.  </w:t>
      </w:r>
      <w:r w:rsidR="00604158">
        <w:rPr>
          <w:lang w:val="en-US"/>
        </w:rPr>
        <w:t>Hence</w:t>
      </w:r>
      <w:r>
        <w:rPr>
          <w:lang w:val="en-US"/>
        </w:rPr>
        <w:t xml:space="preserve"> the debate about whether regionalization should precede </w:t>
      </w:r>
      <w:r>
        <w:rPr>
          <w:lang w:val="en-US"/>
        </w:rPr>
        <w:lastRenderedPageBreak/>
        <w:t xml:space="preserve">aggregation or vice versa is irrelevant.   </w:t>
      </w:r>
      <w:r w:rsidR="00604158">
        <w:rPr>
          <w:lang w:val="en-US"/>
        </w:rPr>
        <w:t>Furthermore</w:t>
      </w:r>
      <w:r>
        <w:rPr>
          <w:lang w:val="en-US"/>
        </w:rPr>
        <w:t>, s</w:t>
      </w:r>
      <w:r w:rsidR="00CE33C6">
        <w:rPr>
          <w:lang w:val="en-US"/>
        </w:rPr>
        <w:t>ince</w:t>
      </w:r>
      <w:r>
        <w:rPr>
          <w:lang w:val="en-US"/>
        </w:rPr>
        <w:t xml:space="preserve"> the aggregation was performed on disaggregated regional transactions, the aggregated regional sectors should reflect the regional economic structure. </w:t>
      </w:r>
    </w:p>
    <w:p w:rsidR="00821DC7" w:rsidRPr="00ED2961" w:rsidRDefault="00821DC7" w:rsidP="00143F22">
      <w:pPr>
        <w:widowControl w:val="0"/>
        <w:tabs>
          <w:tab w:val="left" w:pos="426"/>
        </w:tabs>
        <w:spacing w:after="0" w:line="480" w:lineRule="auto"/>
        <w:ind w:firstLine="0"/>
      </w:pPr>
      <w:r>
        <w:rPr>
          <w:lang w:val="en-US"/>
        </w:rPr>
        <w:tab/>
        <w:t>Nevertheless, the loss of information entailed by aggregation must be acknowledged; clearly, it would have been preferable if we had been able to start with a disaggregated national table containing 124 sectors.  Aggregation bias arise</w:t>
      </w:r>
      <w:r w:rsidR="003F1497">
        <w:rPr>
          <w:lang w:val="en-US"/>
        </w:rPr>
        <w:t>s</w:t>
      </w:r>
      <w:r>
        <w:rPr>
          <w:lang w:val="en-US"/>
        </w:rPr>
        <w:t xml:space="preserve"> because the detailed sectors </w:t>
      </w:r>
      <w:r w:rsidR="009F34B8">
        <w:rPr>
          <w:lang w:val="en-US"/>
        </w:rPr>
        <w:t xml:space="preserve">comprising </w:t>
      </w:r>
      <w:r>
        <w:rPr>
          <w:lang w:val="en-US"/>
        </w:rPr>
        <w:t xml:space="preserve">each aggregated regional sector </w:t>
      </w:r>
      <w:r w:rsidR="003F1497">
        <w:rPr>
          <w:lang w:val="en-US"/>
        </w:rPr>
        <w:t xml:space="preserve">are apt to </w:t>
      </w:r>
      <w:r>
        <w:rPr>
          <w:lang w:val="en-US"/>
        </w:rPr>
        <w:t>differ in terms of their input requirements and propensity to import from other regions.</w:t>
      </w:r>
      <w:r>
        <w:t xml:space="preserve">  However, this bias should be less acute in a diversified regional economy such as </w:t>
      </w:r>
      <w:r>
        <w:rPr>
          <w:lang w:val="en-US"/>
        </w:rPr>
        <w:t>C</w:t>
      </w:r>
      <w:r w:rsidRPr="0010320B">
        <w:rPr>
          <w:lang w:val="en-US"/>
        </w:rPr>
        <w:t>ó</w:t>
      </w:r>
      <w:r>
        <w:rPr>
          <w:lang w:val="en-US"/>
        </w:rPr>
        <w:t>rdoba’s (see Table 1).</w:t>
      </w:r>
      <w:r w:rsidR="00AD53FA">
        <w:rPr>
          <w:b/>
          <w:vertAlign w:val="superscript"/>
          <w:lang w:val="en-US"/>
        </w:rPr>
        <w:t>10</w:t>
      </w:r>
    </w:p>
    <w:p w:rsidR="009E7128" w:rsidRPr="005F2708" w:rsidRDefault="009E7128" w:rsidP="0004683F">
      <w:pPr>
        <w:tabs>
          <w:tab w:val="left" w:pos="426"/>
        </w:tabs>
        <w:spacing w:after="0"/>
        <w:ind w:firstLine="0"/>
        <w:jc w:val="left"/>
        <w:rPr>
          <w:lang w:val="en-US"/>
        </w:rPr>
      </w:pPr>
    </w:p>
    <w:p w:rsidR="0004683F" w:rsidRDefault="009E7128" w:rsidP="0004683F">
      <w:pPr>
        <w:spacing w:after="0" w:line="480" w:lineRule="auto"/>
        <w:ind w:firstLine="0"/>
        <w:jc w:val="left"/>
        <w:rPr>
          <w:b/>
          <w:lang w:val="en-US"/>
        </w:rPr>
      </w:pPr>
      <w:r>
        <w:rPr>
          <w:b/>
          <w:lang w:val="en-US"/>
        </w:rPr>
        <w:t>4</w:t>
      </w:r>
      <w:r w:rsidR="0004683F">
        <w:rPr>
          <w:b/>
          <w:lang w:val="en-US"/>
        </w:rPr>
        <w:t xml:space="preserve">   REGIONALIZATION</w:t>
      </w:r>
    </w:p>
    <w:p w:rsidR="0004683F" w:rsidRDefault="0004683F" w:rsidP="0004683F">
      <w:pPr>
        <w:widowControl w:val="0"/>
        <w:spacing w:after="0" w:line="480" w:lineRule="auto"/>
        <w:ind w:firstLine="0"/>
        <w:rPr>
          <w:color w:val="000000"/>
        </w:rPr>
      </w:pPr>
      <w:r>
        <w:rPr>
          <w:lang w:val="en-US"/>
        </w:rPr>
        <w:t xml:space="preserve">At the outset, the </w:t>
      </w:r>
      <w:r w:rsidR="00182FE9">
        <w:rPr>
          <w:lang w:val="en-US"/>
        </w:rPr>
        <w:t>28</w:t>
      </w:r>
      <w:r>
        <w:rPr>
          <w:lang w:val="en-US"/>
        </w:rPr>
        <w:t xml:space="preserve"> × </w:t>
      </w:r>
      <w:r w:rsidR="00182FE9">
        <w:rPr>
          <w:lang w:val="en-US"/>
        </w:rPr>
        <w:t>28</w:t>
      </w:r>
      <w:r>
        <w:rPr>
          <w:lang w:val="en-US"/>
        </w:rPr>
        <w:t xml:space="preserve"> national and regional transactions matrices were transformed into matrices of input coefficients.  The national coefficient matrix was then ‘regionalized’ via the following formula:</w:t>
      </w:r>
    </w:p>
    <w:p w:rsidR="0004683F" w:rsidRPr="002A3504" w:rsidRDefault="0004683F" w:rsidP="0004683F">
      <w:pPr>
        <w:pStyle w:val="Normaali1"/>
        <w:tabs>
          <w:tab w:val="center" w:pos="4440"/>
          <w:tab w:val="right" w:pos="8931"/>
        </w:tabs>
        <w:spacing w:line="480" w:lineRule="auto"/>
        <w:rPr>
          <w:rFonts w:ascii="Times New Roman" w:hAnsi="Times New Roman"/>
          <w:lang w:val="en-GB"/>
        </w:rPr>
      </w:pPr>
      <w:r>
        <w:rPr>
          <w:rFonts w:ascii="Times New Roman" w:hAnsi="Times New Roman"/>
          <w:lang w:val="en-GB"/>
        </w:rPr>
        <w:tab/>
      </w:r>
      <w:r w:rsidRPr="005C5CDD">
        <w:rPr>
          <w:rFonts w:ascii="Times New Roman" w:hAnsi="Times New Roman"/>
          <w:i/>
          <w:lang w:val="en-GB"/>
        </w:rPr>
        <w:t>r</w:t>
      </w:r>
      <w:r w:rsidRPr="005C5CDD">
        <w:rPr>
          <w:rFonts w:ascii="Times New Roman" w:hAnsi="Times New Roman"/>
          <w:i/>
          <w:szCs w:val="24"/>
          <w:vertAlign w:val="subscript"/>
          <w:lang w:val="en-GB"/>
        </w:rPr>
        <w:t>ij</w:t>
      </w:r>
      <w:r>
        <w:rPr>
          <w:rFonts w:ascii="Times New Roman" w:hAnsi="Times New Roman"/>
          <w:szCs w:val="24"/>
          <w:lang w:val="en-GB"/>
        </w:rPr>
        <w:t xml:space="preserve"> </w:t>
      </w:r>
      <w:r>
        <w:rPr>
          <w:rFonts w:ascii="Times New Roman" w:hAnsi="Times New Roman"/>
          <w:lang w:val="en-GB"/>
        </w:rPr>
        <w:t xml:space="preserve">= </w:t>
      </w:r>
      <w:r w:rsidRPr="005C5CDD">
        <w:rPr>
          <w:rFonts w:ascii="Times New Roman" w:hAnsi="Times New Roman"/>
          <w:i/>
          <w:lang w:val="en-GB"/>
        </w:rPr>
        <w:t>β</w:t>
      </w:r>
      <w:r w:rsidRPr="005C5CDD">
        <w:rPr>
          <w:rFonts w:ascii="Times New Roman" w:hAnsi="Times New Roman"/>
          <w:i/>
          <w:szCs w:val="24"/>
          <w:vertAlign w:val="subscript"/>
          <w:lang w:val="en-GB"/>
        </w:rPr>
        <w:t>ij</w:t>
      </w:r>
      <w:r>
        <w:rPr>
          <w:rFonts w:ascii="Times New Roman" w:hAnsi="Times New Roman"/>
          <w:lang w:val="en-GB"/>
        </w:rPr>
        <w:t xml:space="preserve"> × </w:t>
      </w:r>
      <w:r w:rsidRPr="005C5CDD">
        <w:rPr>
          <w:rFonts w:ascii="Times New Roman" w:hAnsi="Times New Roman"/>
          <w:i/>
          <w:lang w:val="en-GB"/>
        </w:rPr>
        <w:t>a</w:t>
      </w:r>
      <w:r w:rsidRPr="005C5CDD">
        <w:rPr>
          <w:rFonts w:ascii="Times New Roman" w:hAnsi="Times New Roman"/>
          <w:i/>
          <w:szCs w:val="24"/>
          <w:vertAlign w:val="subscript"/>
          <w:lang w:val="en-GB"/>
        </w:rPr>
        <w:t>ij</w:t>
      </w:r>
      <w:r>
        <w:rPr>
          <w:rFonts w:ascii="Times New Roman" w:hAnsi="Times New Roman"/>
          <w:lang w:val="en-GB"/>
        </w:rPr>
        <w:tab/>
        <w:t>(2)</w:t>
      </w:r>
    </w:p>
    <w:p w:rsidR="0004683F" w:rsidRPr="000D49F9" w:rsidRDefault="0004683F" w:rsidP="0004683F">
      <w:pPr>
        <w:widowControl w:val="0"/>
        <w:tabs>
          <w:tab w:val="left" w:pos="426"/>
        </w:tabs>
        <w:spacing w:line="480" w:lineRule="auto"/>
        <w:ind w:firstLine="0"/>
        <w:rPr>
          <w:color w:val="000000"/>
        </w:rPr>
      </w:pPr>
      <w:r w:rsidRPr="000D49F9">
        <w:rPr>
          <w:color w:val="000000"/>
        </w:rPr>
        <w:t xml:space="preserve">where </w:t>
      </w:r>
      <w:r w:rsidRPr="005C5CDD">
        <w:rPr>
          <w:i/>
          <w:color w:val="000000"/>
        </w:rPr>
        <w:t>r</w:t>
      </w:r>
      <w:r w:rsidRPr="005C5CDD">
        <w:rPr>
          <w:i/>
          <w:color w:val="000000"/>
          <w:vertAlign w:val="subscript"/>
        </w:rPr>
        <w:t>ij</w:t>
      </w:r>
      <w:r w:rsidRPr="000D49F9">
        <w:rPr>
          <w:color w:val="000000"/>
        </w:rPr>
        <w:t xml:space="preserve"> is the regional input coefficient, </w:t>
      </w:r>
      <w:r w:rsidRPr="005C5CDD">
        <w:rPr>
          <w:i/>
        </w:rPr>
        <w:t>β</w:t>
      </w:r>
      <w:r w:rsidRPr="005C5CDD">
        <w:rPr>
          <w:i/>
          <w:color w:val="000000"/>
          <w:vertAlign w:val="subscript"/>
        </w:rPr>
        <w:t>ij</w:t>
      </w:r>
      <w:r w:rsidRPr="000D49F9">
        <w:rPr>
          <w:color w:val="000000"/>
        </w:rPr>
        <w:t xml:space="preserve"> is </w:t>
      </w:r>
      <w:r>
        <w:rPr>
          <w:color w:val="000000"/>
        </w:rPr>
        <w:t>an</w:t>
      </w:r>
      <w:r w:rsidRPr="000D49F9">
        <w:rPr>
          <w:color w:val="000000"/>
        </w:rPr>
        <w:t xml:space="preserve"> </w:t>
      </w:r>
      <w:r w:rsidRPr="00BF2F03">
        <w:rPr>
          <w:color w:val="000000"/>
        </w:rPr>
        <w:t>adjustment coefficient</w:t>
      </w:r>
      <w:r w:rsidRPr="000D49F9">
        <w:rPr>
          <w:color w:val="000000"/>
        </w:rPr>
        <w:t xml:space="preserve"> and </w:t>
      </w:r>
      <w:r w:rsidRPr="005C5CDD">
        <w:rPr>
          <w:i/>
          <w:color w:val="000000"/>
        </w:rPr>
        <w:t>a</w:t>
      </w:r>
      <w:r w:rsidRPr="005C5CDD">
        <w:rPr>
          <w:i/>
          <w:color w:val="000000"/>
          <w:vertAlign w:val="subscript"/>
        </w:rPr>
        <w:t>ij</w:t>
      </w:r>
      <w:r w:rsidRPr="000D49F9">
        <w:rPr>
          <w:color w:val="000000"/>
        </w:rPr>
        <w:t xml:space="preserve"> is the national input coefficient.  </w:t>
      </w:r>
      <w:r w:rsidRPr="005C5CDD">
        <w:rPr>
          <w:i/>
          <w:color w:val="000000"/>
        </w:rPr>
        <w:t>r</w:t>
      </w:r>
      <w:r w:rsidRPr="005C5CDD">
        <w:rPr>
          <w:i/>
          <w:color w:val="000000"/>
          <w:vertAlign w:val="subscript"/>
        </w:rPr>
        <w:t>ij</w:t>
      </w:r>
      <w:r w:rsidRPr="000D49F9">
        <w:rPr>
          <w:color w:val="000000"/>
        </w:rPr>
        <w:t xml:space="preserve"> measures the amount of regional input </w:t>
      </w:r>
      <w:r w:rsidRPr="000D49F9">
        <w:rPr>
          <w:i/>
          <w:color w:val="000000"/>
        </w:rPr>
        <w:t>i</w:t>
      </w:r>
      <w:r w:rsidRPr="000D49F9">
        <w:rPr>
          <w:color w:val="000000"/>
        </w:rPr>
        <w:t xml:space="preserve"> needed to produce one unit of regional gross output </w:t>
      </w:r>
      <w:r w:rsidRPr="000D49F9">
        <w:rPr>
          <w:i/>
          <w:color w:val="000000"/>
        </w:rPr>
        <w:t>j</w:t>
      </w:r>
      <w:r w:rsidRPr="000D49F9">
        <w:rPr>
          <w:color w:val="000000"/>
        </w:rPr>
        <w:t xml:space="preserve">; it thus excludes any supplies of </w:t>
      </w:r>
      <w:r w:rsidRPr="000D49F9">
        <w:rPr>
          <w:i/>
          <w:color w:val="000000"/>
        </w:rPr>
        <w:t>i</w:t>
      </w:r>
      <w:r w:rsidRPr="000D49F9">
        <w:rPr>
          <w:color w:val="000000"/>
        </w:rPr>
        <w:t xml:space="preserve"> ‘imported’ from other regions or obtained from abroad.  </w:t>
      </w:r>
      <w:r w:rsidRPr="005C5CDD">
        <w:rPr>
          <w:i/>
          <w:color w:val="000000"/>
        </w:rPr>
        <w:t>a</w:t>
      </w:r>
      <w:r w:rsidRPr="005C5CDD">
        <w:rPr>
          <w:i/>
          <w:color w:val="000000"/>
          <w:vertAlign w:val="subscript"/>
        </w:rPr>
        <w:t>ij</w:t>
      </w:r>
      <w:r w:rsidRPr="000D49F9">
        <w:rPr>
          <w:color w:val="000000"/>
        </w:rPr>
        <w:t xml:space="preserve"> likewise excludes any supplies of </w:t>
      </w:r>
      <w:r w:rsidRPr="000D49F9">
        <w:rPr>
          <w:i/>
          <w:color w:val="000000"/>
        </w:rPr>
        <w:t>i</w:t>
      </w:r>
      <w:r w:rsidRPr="000D49F9">
        <w:rPr>
          <w:color w:val="000000"/>
        </w:rPr>
        <w:t xml:space="preserve"> obtained from abroad.  </w:t>
      </w:r>
      <w:r>
        <w:rPr>
          <w:color w:val="000000"/>
        </w:rPr>
        <w:t xml:space="preserve">The role of </w:t>
      </w:r>
      <w:r w:rsidRPr="005C5CDD">
        <w:rPr>
          <w:i/>
        </w:rPr>
        <w:t>β</w:t>
      </w:r>
      <w:r w:rsidRPr="005C5CDD">
        <w:rPr>
          <w:i/>
          <w:vertAlign w:val="subscript"/>
        </w:rPr>
        <w:t>ij</w:t>
      </w:r>
      <w:r w:rsidRPr="000D49F9">
        <w:rPr>
          <w:color w:val="000000"/>
        </w:rPr>
        <w:t xml:space="preserve"> </w:t>
      </w:r>
      <w:r>
        <w:rPr>
          <w:color w:val="000000"/>
        </w:rPr>
        <w:t>is to take account of a</w:t>
      </w:r>
      <w:r w:rsidRPr="000D49F9">
        <w:rPr>
          <w:color w:val="000000"/>
        </w:rPr>
        <w:t xml:space="preserve"> region</w:t>
      </w:r>
      <w:r>
        <w:rPr>
          <w:color w:val="000000"/>
        </w:rPr>
        <w:t>’s</w:t>
      </w:r>
      <w:r w:rsidRPr="000D49F9">
        <w:rPr>
          <w:color w:val="000000"/>
        </w:rPr>
        <w:t xml:space="preserve"> </w:t>
      </w:r>
      <w:r>
        <w:rPr>
          <w:color w:val="000000"/>
        </w:rPr>
        <w:t>purchases</w:t>
      </w:r>
      <w:r w:rsidRPr="000D49F9">
        <w:rPr>
          <w:color w:val="000000"/>
        </w:rPr>
        <w:t xml:space="preserve"> of input </w:t>
      </w:r>
      <w:r w:rsidRPr="000D49F9">
        <w:rPr>
          <w:i/>
          <w:color w:val="000000"/>
        </w:rPr>
        <w:t>i</w:t>
      </w:r>
      <w:r w:rsidRPr="000D49F9">
        <w:rPr>
          <w:color w:val="000000"/>
        </w:rPr>
        <w:t xml:space="preserve"> </w:t>
      </w:r>
      <w:r>
        <w:rPr>
          <w:color w:val="000000"/>
        </w:rPr>
        <w:t>from other regions</w:t>
      </w:r>
      <w:r w:rsidRPr="000D49F9">
        <w:rPr>
          <w:color w:val="000000"/>
        </w:rPr>
        <w:t>.</w:t>
      </w:r>
    </w:p>
    <w:p w:rsidR="0004683F" w:rsidRDefault="0004683F" w:rsidP="007B4076">
      <w:pPr>
        <w:widowControl w:val="0"/>
        <w:tabs>
          <w:tab w:val="left" w:pos="426"/>
        </w:tabs>
        <w:spacing w:line="480" w:lineRule="auto"/>
        <w:ind w:firstLine="425"/>
      </w:pPr>
      <w:r w:rsidRPr="000D49F9">
        <w:rPr>
          <w:color w:val="000000"/>
        </w:rPr>
        <w:t>If we replace</w:t>
      </w:r>
      <w:r w:rsidRPr="00522B95">
        <w:t xml:space="preserve"> </w:t>
      </w:r>
      <w:r w:rsidRPr="005C5CDD">
        <w:rPr>
          <w:i/>
        </w:rPr>
        <w:t>β</w:t>
      </w:r>
      <w:r w:rsidRPr="005C5CDD">
        <w:rPr>
          <w:i/>
          <w:vertAlign w:val="subscript"/>
        </w:rPr>
        <w:t>ij</w:t>
      </w:r>
      <w:r w:rsidRPr="000D49F9">
        <w:rPr>
          <w:color w:val="000000"/>
        </w:rPr>
        <w:t xml:space="preserve"> </w:t>
      </w:r>
      <w:r w:rsidRPr="000D49F9">
        <w:t xml:space="preserve">in equation </w:t>
      </w:r>
      <w:r>
        <w:t>(2)</w:t>
      </w:r>
      <w:r w:rsidRPr="000D49F9">
        <w:rPr>
          <w:color w:val="000000"/>
        </w:rPr>
        <w:t xml:space="preserve"> </w:t>
      </w:r>
      <w:r>
        <w:rPr>
          <w:color w:val="000000"/>
        </w:rPr>
        <w:t xml:space="preserve">with an </w:t>
      </w:r>
      <w:r w:rsidRPr="005820DE">
        <w:t>LQ</w:t>
      </w:r>
      <w:r>
        <w:t xml:space="preserve">, we can obtain estimates of the </w:t>
      </w:r>
      <w:r w:rsidRPr="005C5CDD">
        <w:rPr>
          <w:i/>
        </w:rPr>
        <w:t>r</w:t>
      </w:r>
      <w:r w:rsidRPr="005C5CDD">
        <w:rPr>
          <w:i/>
          <w:vertAlign w:val="subscript"/>
        </w:rPr>
        <w:t>ij</w:t>
      </w:r>
      <w:r>
        <w:t>.  Thus, for instance:</w:t>
      </w:r>
    </w:p>
    <w:p w:rsidR="0004683F" w:rsidRPr="002A3504" w:rsidRDefault="0004683F" w:rsidP="0004683F">
      <w:pPr>
        <w:pStyle w:val="Normaali1"/>
        <w:tabs>
          <w:tab w:val="center" w:pos="4440"/>
          <w:tab w:val="right" w:pos="8931"/>
        </w:tabs>
        <w:spacing w:line="480" w:lineRule="auto"/>
        <w:rPr>
          <w:rFonts w:ascii="Times New Roman" w:hAnsi="Times New Roman"/>
          <w:lang w:val="en-GB"/>
        </w:rPr>
      </w:pPr>
      <w:r>
        <w:rPr>
          <w:rFonts w:ascii="Times New Roman" w:hAnsi="Times New Roman"/>
          <w:lang w:val="en-GB"/>
        </w:rPr>
        <w:tab/>
      </w:r>
      <w:r w:rsidRPr="009A6E5B">
        <w:rPr>
          <w:position w:val="-14"/>
        </w:rPr>
        <w:object w:dxaOrig="240" w:dyaOrig="360">
          <v:shape id="_x0000_i1030" type="#_x0000_t75" style="width:12.7pt;height:18.25pt" o:ole="">
            <v:imagedata r:id="rId21" o:title=""/>
          </v:shape>
          <o:OLEObject Type="Embed" ProgID="Equation.3" ShapeID="_x0000_i1030" DrawAspect="Content" ObjectID="_1494569083" r:id="rId22"/>
        </w:object>
      </w:r>
      <w:r>
        <w:rPr>
          <w:rFonts w:ascii="Times New Roman" w:hAnsi="Times New Roman"/>
          <w:lang w:val="en-GB"/>
        </w:rPr>
        <w:t xml:space="preserve">= </w:t>
      </w:r>
      <w:r w:rsidRPr="00B5503B">
        <w:rPr>
          <w:rFonts w:ascii="Times New Roman" w:hAnsi="Times New Roman"/>
          <w:i/>
          <w:lang w:val="en-GB"/>
        </w:rPr>
        <w:t>SLQ</w:t>
      </w:r>
      <w:r w:rsidRPr="00B5503B">
        <w:rPr>
          <w:rFonts w:ascii="Times New Roman" w:hAnsi="Times New Roman"/>
          <w:i/>
          <w:szCs w:val="24"/>
          <w:vertAlign w:val="subscript"/>
          <w:lang w:val="en-GB"/>
        </w:rPr>
        <w:t>i</w:t>
      </w:r>
      <w:r>
        <w:rPr>
          <w:rFonts w:ascii="Times New Roman" w:hAnsi="Times New Roman"/>
          <w:lang w:val="en-GB"/>
        </w:rPr>
        <w:t xml:space="preserve"> × </w:t>
      </w:r>
      <w:r w:rsidRPr="005C5CDD">
        <w:rPr>
          <w:rFonts w:ascii="Times New Roman" w:hAnsi="Times New Roman"/>
          <w:i/>
          <w:lang w:val="en-GB"/>
        </w:rPr>
        <w:t>a</w:t>
      </w:r>
      <w:r w:rsidRPr="005C5CDD">
        <w:rPr>
          <w:rFonts w:ascii="Times New Roman" w:hAnsi="Times New Roman"/>
          <w:i/>
          <w:szCs w:val="24"/>
          <w:vertAlign w:val="subscript"/>
          <w:lang w:val="en-GB"/>
        </w:rPr>
        <w:t>ij</w:t>
      </w:r>
      <w:r>
        <w:rPr>
          <w:rFonts w:ascii="Times New Roman" w:hAnsi="Times New Roman"/>
          <w:lang w:val="en-GB"/>
        </w:rPr>
        <w:tab/>
        <w:t>(3)</w:t>
      </w:r>
    </w:p>
    <w:p w:rsidR="0004683F" w:rsidRPr="00E422B6" w:rsidRDefault="0004683F" w:rsidP="001B044B">
      <w:pPr>
        <w:widowControl w:val="0"/>
        <w:tabs>
          <w:tab w:val="left" w:pos="426"/>
        </w:tabs>
        <w:spacing w:line="480" w:lineRule="auto"/>
        <w:ind w:firstLine="0"/>
      </w:pPr>
      <w:r>
        <w:t xml:space="preserve">Another possibility is to replace </w:t>
      </w:r>
      <w:r w:rsidRPr="005C5CDD">
        <w:rPr>
          <w:i/>
        </w:rPr>
        <w:t>β</w:t>
      </w:r>
      <w:r w:rsidRPr="005C5CDD">
        <w:rPr>
          <w:i/>
          <w:vertAlign w:val="subscript"/>
        </w:rPr>
        <w:t>ij</w:t>
      </w:r>
      <w:r>
        <w:t xml:space="preserve"> with </w:t>
      </w:r>
      <w:r w:rsidRPr="00CD065D">
        <w:t>CILQ</w:t>
      </w:r>
      <w:r w:rsidRPr="008838A3">
        <w:rPr>
          <w:i/>
          <w:vertAlign w:val="subscript"/>
        </w:rPr>
        <w:t>ij</w:t>
      </w:r>
      <w:r>
        <w:t>, which is defined as follows:</w:t>
      </w:r>
    </w:p>
    <w:p w:rsidR="0004683F" w:rsidRDefault="0004683F" w:rsidP="000D7940">
      <w:pPr>
        <w:tabs>
          <w:tab w:val="left" w:pos="426"/>
          <w:tab w:val="center" w:pos="4395"/>
          <w:tab w:val="right" w:pos="8931"/>
        </w:tabs>
        <w:spacing w:after="0" w:line="480" w:lineRule="auto"/>
        <w:ind w:firstLine="0"/>
      </w:pPr>
      <w:r>
        <w:lastRenderedPageBreak/>
        <w:tab/>
      </w:r>
      <w:r>
        <w:tab/>
      </w:r>
      <w:r w:rsidRPr="00B5503B">
        <w:rPr>
          <w:i/>
        </w:rPr>
        <w:t>CILQ</w:t>
      </w:r>
      <w:r w:rsidRPr="00B5503B">
        <w:rPr>
          <w:i/>
          <w:vertAlign w:val="subscript"/>
        </w:rPr>
        <w:t>ij</w:t>
      </w:r>
      <w:r w:rsidR="00B5503B" w:rsidRPr="00CD065D">
        <w:rPr>
          <w:vertAlign w:val="subscript"/>
        </w:rPr>
        <w:t xml:space="preserve"> </w:t>
      </w:r>
      <w:r w:rsidR="00E70DC4" w:rsidRPr="00E70DC4">
        <w:rPr>
          <w:position w:val="-34"/>
        </w:rPr>
        <w:object w:dxaOrig="1840" w:dyaOrig="760">
          <v:shape id="_x0000_i1031" type="#_x0000_t75" style="width:92.8pt;height:38.55pt" o:ole="" fillcolor="window">
            <v:imagedata r:id="rId23" o:title=""/>
          </v:shape>
          <o:OLEObject Type="Embed" ProgID="Equation.3" ShapeID="_x0000_i1031" DrawAspect="Content" ObjectID="_1494569084" r:id="rId24"/>
        </w:object>
      </w:r>
      <w:r w:rsidRPr="00CD065D">
        <w:tab/>
        <w:t>(</w:t>
      </w:r>
      <w:r>
        <w:t>4</w:t>
      </w:r>
      <w:r w:rsidRPr="00CD065D">
        <w:t>)</w:t>
      </w:r>
    </w:p>
    <w:p w:rsidR="0004683F" w:rsidRPr="00A26C55" w:rsidRDefault="0004683F" w:rsidP="0004683F">
      <w:pPr>
        <w:tabs>
          <w:tab w:val="left" w:pos="426"/>
          <w:tab w:val="center" w:pos="4395"/>
          <w:tab w:val="right" w:pos="8931"/>
        </w:tabs>
        <w:spacing w:line="480" w:lineRule="auto"/>
        <w:ind w:firstLine="0"/>
      </w:pPr>
      <w:r>
        <w:t xml:space="preserve">where the subscripts </w:t>
      </w:r>
      <w:r>
        <w:rPr>
          <w:i/>
        </w:rPr>
        <w:t>i</w:t>
      </w:r>
      <w:r>
        <w:t xml:space="preserve"> and</w:t>
      </w:r>
      <w:r w:rsidRPr="004A65B7">
        <w:rPr>
          <w:i/>
        </w:rPr>
        <w:t xml:space="preserve"> j</w:t>
      </w:r>
      <w:r>
        <w:t xml:space="preserve"> refer to the supplying and purchasing sectors, respectively.</w:t>
      </w:r>
      <w:r w:rsidR="00734E57">
        <w:t xml:space="preserve">  </w:t>
      </w:r>
      <w:r>
        <w:t xml:space="preserve">No adjustment is made to the national coefficient where </w:t>
      </w:r>
      <w:r w:rsidRPr="00817C35">
        <w:rPr>
          <w:i/>
        </w:rPr>
        <w:t>CILQ</w:t>
      </w:r>
      <w:r w:rsidRPr="00817C35">
        <w:rPr>
          <w:i/>
          <w:vertAlign w:val="subscript"/>
        </w:rPr>
        <w:t>ij</w:t>
      </w:r>
      <w:r w:rsidRPr="005820DE">
        <w:t xml:space="preserve"> ≥ 1</w:t>
      </w:r>
      <w:r>
        <w:t xml:space="preserve"> and likewise for </w:t>
      </w:r>
      <w:r w:rsidRPr="00817C35">
        <w:rPr>
          <w:i/>
        </w:rPr>
        <w:t>SLQ</w:t>
      </w:r>
      <w:r w:rsidRPr="00817C35">
        <w:rPr>
          <w:i/>
          <w:vertAlign w:val="subscript"/>
        </w:rPr>
        <w:t>i</w:t>
      </w:r>
      <w:r>
        <w:t>.</w:t>
      </w:r>
      <w:r w:rsidR="00C21129" w:rsidRPr="00C21129">
        <w:t xml:space="preserve"> </w:t>
      </w:r>
      <w:r w:rsidR="00C21129">
        <w:t xml:space="preserve"> </w:t>
      </w:r>
      <w:r w:rsidR="00A26C55">
        <w:t xml:space="preserve">The CILQ has the merit that a different scaling can be applied to different cells in a given row of the national coefficient matrix.  </w:t>
      </w:r>
      <w:r w:rsidR="00C21129">
        <w:t>Unlike the SLQ, the CILQ does not presuppose that a purchasing sector is either an exporter or an importer of a given commodity but never both.</w:t>
      </w:r>
    </w:p>
    <w:p w:rsidR="0004683F" w:rsidRPr="00275999" w:rsidRDefault="0004683F" w:rsidP="000D7940">
      <w:pPr>
        <w:widowControl w:val="0"/>
        <w:tabs>
          <w:tab w:val="left" w:pos="426"/>
          <w:tab w:val="center" w:pos="4395"/>
          <w:tab w:val="right" w:pos="8931"/>
        </w:tabs>
        <w:spacing w:after="0" w:line="480" w:lineRule="auto"/>
        <w:ind w:firstLine="0"/>
      </w:pPr>
      <w:r>
        <w:tab/>
      </w:r>
      <w:r w:rsidR="00C15A0B">
        <w:t>Nonetheless</w:t>
      </w:r>
      <w:r>
        <w:t>, for reasons alluded to earlier, the authors would recommend the use of the FLQ, which is defined as follows:</w:t>
      </w:r>
    </w:p>
    <w:p w:rsidR="0004683F" w:rsidRPr="00275999" w:rsidRDefault="0004683F" w:rsidP="000D7940">
      <w:pPr>
        <w:tabs>
          <w:tab w:val="left" w:pos="720"/>
          <w:tab w:val="center" w:pos="4440"/>
          <w:tab w:val="right" w:pos="8931"/>
        </w:tabs>
        <w:spacing w:after="0" w:line="480" w:lineRule="auto"/>
      </w:pPr>
      <w:r w:rsidRPr="00275999">
        <w:tab/>
      </w:r>
      <w:r w:rsidRPr="00275999">
        <w:tab/>
      </w:r>
      <w:r w:rsidRPr="00817C35">
        <w:rPr>
          <w:i/>
        </w:rPr>
        <w:t>FLQ</w:t>
      </w:r>
      <w:r w:rsidRPr="00817C35">
        <w:rPr>
          <w:i/>
          <w:vertAlign w:val="subscript"/>
        </w:rPr>
        <w:t>ij</w:t>
      </w:r>
      <w:r w:rsidRPr="00817C35">
        <w:rPr>
          <w:i/>
        </w:rPr>
        <w:t xml:space="preserve"> ≡ CILQ</w:t>
      </w:r>
      <w:r w:rsidRPr="00817C35">
        <w:rPr>
          <w:i/>
          <w:vertAlign w:val="subscript"/>
        </w:rPr>
        <w:t>ij</w:t>
      </w:r>
      <w:r w:rsidRPr="00817C35">
        <w:rPr>
          <w:i/>
        </w:rPr>
        <w:t xml:space="preserve"> × </w:t>
      </w:r>
      <w:r w:rsidRPr="00817C35">
        <w:rPr>
          <w:i/>
          <w:color w:val="000000"/>
        </w:rPr>
        <w:t>λ</w:t>
      </w:r>
      <w:r w:rsidRPr="00817C35">
        <w:rPr>
          <w:i/>
          <w:color w:val="000000"/>
          <w:lang w:val="sv-SE"/>
        </w:rPr>
        <w:t>*</w:t>
      </w:r>
      <w:r w:rsidRPr="00275999">
        <w:rPr>
          <w:color w:val="000000"/>
          <w:lang w:val="sv-SE"/>
        </w:rPr>
        <w:t xml:space="preserve"> </w:t>
      </w:r>
      <w:r>
        <w:rPr>
          <w:color w:val="000000"/>
          <w:lang w:val="sv-SE"/>
        </w:rPr>
        <w:t xml:space="preserve">   </w:t>
      </w:r>
      <w:r w:rsidRPr="00275999">
        <w:rPr>
          <w:color w:val="000000"/>
          <w:lang w:val="sv-SE"/>
        </w:rPr>
        <w:t xml:space="preserve">for </w:t>
      </w:r>
      <w:r w:rsidRPr="00B335EC">
        <w:rPr>
          <w:i/>
          <w:color w:val="000000"/>
          <w:lang w:val="sv-SE"/>
        </w:rPr>
        <w:t>i</w:t>
      </w:r>
      <w:r w:rsidRPr="00275999">
        <w:rPr>
          <w:color w:val="000000"/>
          <w:lang w:val="sv-SE"/>
        </w:rPr>
        <w:t xml:space="preserve"> ≠ </w:t>
      </w:r>
      <w:r w:rsidRPr="00B335EC">
        <w:rPr>
          <w:i/>
          <w:color w:val="000000"/>
          <w:lang w:val="sv-SE"/>
        </w:rPr>
        <w:t>j</w:t>
      </w:r>
      <w:r w:rsidRPr="00275999">
        <w:tab/>
        <w:t>(</w:t>
      </w:r>
      <w:r>
        <w:t>5</w:t>
      </w:r>
      <w:r w:rsidRPr="00275999">
        <w:t>)</w:t>
      </w:r>
    </w:p>
    <w:p w:rsidR="0004683F" w:rsidRPr="00275999" w:rsidRDefault="0004683F" w:rsidP="000D7940">
      <w:pPr>
        <w:tabs>
          <w:tab w:val="left" w:pos="720"/>
          <w:tab w:val="center" w:pos="4440"/>
          <w:tab w:val="right" w:pos="8931"/>
        </w:tabs>
        <w:spacing w:after="0" w:line="480" w:lineRule="auto"/>
      </w:pPr>
      <w:r w:rsidRPr="00275999">
        <w:tab/>
      </w:r>
      <w:r w:rsidRPr="00275999">
        <w:tab/>
      </w:r>
      <w:r w:rsidRPr="00817C35">
        <w:rPr>
          <w:i/>
        </w:rPr>
        <w:t>FLQ</w:t>
      </w:r>
      <w:r w:rsidRPr="00817C35">
        <w:rPr>
          <w:i/>
          <w:vertAlign w:val="subscript"/>
        </w:rPr>
        <w:t>ij</w:t>
      </w:r>
      <w:r w:rsidRPr="00817C35">
        <w:rPr>
          <w:i/>
        </w:rPr>
        <w:t xml:space="preserve"> ≡ SLQ</w:t>
      </w:r>
      <w:r w:rsidRPr="00817C35">
        <w:rPr>
          <w:i/>
          <w:vertAlign w:val="subscript"/>
        </w:rPr>
        <w:t>i</w:t>
      </w:r>
      <w:r w:rsidRPr="00817C35">
        <w:rPr>
          <w:i/>
        </w:rPr>
        <w:t xml:space="preserve"> × </w:t>
      </w:r>
      <w:r w:rsidRPr="00817C35">
        <w:rPr>
          <w:i/>
          <w:color w:val="000000"/>
        </w:rPr>
        <w:t>λ</w:t>
      </w:r>
      <w:r w:rsidRPr="00817C35">
        <w:rPr>
          <w:i/>
          <w:color w:val="000000"/>
          <w:lang w:val="sv-SE"/>
        </w:rPr>
        <w:t>*</w:t>
      </w:r>
      <w:r w:rsidRPr="00275999">
        <w:rPr>
          <w:color w:val="000000"/>
          <w:lang w:val="sv-SE"/>
        </w:rPr>
        <w:t xml:space="preserve"> </w:t>
      </w:r>
      <w:r>
        <w:rPr>
          <w:color w:val="000000"/>
          <w:lang w:val="sv-SE"/>
        </w:rPr>
        <w:t xml:space="preserve">   </w:t>
      </w:r>
      <w:r w:rsidRPr="00275999">
        <w:rPr>
          <w:color w:val="000000"/>
          <w:lang w:val="sv-SE"/>
        </w:rPr>
        <w:t xml:space="preserve">for </w:t>
      </w:r>
      <w:r w:rsidRPr="00B335EC">
        <w:rPr>
          <w:i/>
          <w:color w:val="000000"/>
          <w:lang w:val="sv-SE"/>
        </w:rPr>
        <w:t>i</w:t>
      </w:r>
      <w:r w:rsidRPr="00275999">
        <w:rPr>
          <w:color w:val="000000"/>
          <w:lang w:val="sv-SE"/>
        </w:rPr>
        <w:t xml:space="preserve"> = </w:t>
      </w:r>
      <w:r w:rsidRPr="00B335EC">
        <w:rPr>
          <w:i/>
          <w:color w:val="000000"/>
          <w:lang w:val="sv-SE"/>
        </w:rPr>
        <w:t>j</w:t>
      </w:r>
      <w:r w:rsidRPr="00275999">
        <w:tab/>
        <w:t>(</w:t>
      </w:r>
      <w:r>
        <w:t>6</w:t>
      </w:r>
      <w:r w:rsidRPr="00275999">
        <w:t>)</w:t>
      </w:r>
    </w:p>
    <w:p w:rsidR="0004683F" w:rsidRPr="00275999" w:rsidRDefault="0004683F" w:rsidP="0004683F">
      <w:pPr>
        <w:pStyle w:val="Normaali1"/>
        <w:tabs>
          <w:tab w:val="left" w:pos="360"/>
        </w:tabs>
        <w:spacing w:line="480" w:lineRule="auto"/>
        <w:rPr>
          <w:rFonts w:ascii="Times New Roman" w:hAnsi="Times New Roman"/>
          <w:szCs w:val="24"/>
        </w:rPr>
      </w:pPr>
      <w:r w:rsidRPr="00275999">
        <w:rPr>
          <w:rFonts w:ascii="Times New Roman" w:hAnsi="Times New Roman"/>
          <w:szCs w:val="24"/>
        </w:rPr>
        <w:t>where:</w:t>
      </w:r>
    </w:p>
    <w:p w:rsidR="0004683F" w:rsidRPr="00275999" w:rsidRDefault="0004683F" w:rsidP="000D7940">
      <w:pPr>
        <w:tabs>
          <w:tab w:val="left" w:pos="720"/>
          <w:tab w:val="center" w:pos="4440"/>
          <w:tab w:val="right" w:pos="8931"/>
        </w:tabs>
        <w:spacing w:after="0" w:line="480" w:lineRule="auto"/>
      </w:pPr>
      <w:r w:rsidRPr="00275999">
        <w:tab/>
      </w:r>
      <w:r w:rsidRPr="00275999">
        <w:tab/>
      </w:r>
      <w:r w:rsidRPr="00817C35">
        <w:rPr>
          <w:i/>
          <w:color w:val="000000"/>
        </w:rPr>
        <w:t>λ</w:t>
      </w:r>
      <w:r w:rsidRPr="00817C35">
        <w:rPr>
          <w:i/>
          <w:color w:val="000000"/>
          <w:lang w:val="sv-SE"/>
        </w:rPr>
        <w:t xml:space="preserve">* </w:t>
      </w:r>
      <w:r w:rsidRPr="00817C35">
        <w:rPr>
          <w:i/>
        </w:rPr>
        <w:t>≡</w:t>
      </w:r>
      <w:r w:rsidRPr="00817C35">
        <w:rPr>
          <w:i/>
          <w:color w:val="000000"/>
          <w:lang w:val="sv-SE"/>
        </w:rPr>
        <w:t xml:space="preserve"> </w:t>
      </w:r>
      <w:r w:rsidRPr="008E2749">
        <w:rPr>
          <w:color w:val="000000"/>
          <w:lang w:val="sv-SE"/>
        </w:rPr>
        <w:t>[</w:t>
      </w:r>
      <w:r w:rsidRPr="00F738EC">
        <w:rPr>
          <w:color w:val="000000"/>
          <w:lang w:val="sv-SE"/>
        </w:rPr>
        <w:t>log</w:t>
      </w:r>
      <w:r w:rsidRPr="00F738EC">
        <w:rPr>
          <w:color w:val="000000"/>
          <w:vertAlign w:val="subscript"/>
          <w:lang w:val="sv-SE"/>
        </w:rPr>
        <w:t>2</w:t>
      </w:r>
      <w:r w:rsidRPr="00F738EC">
        <w:rPr>
          <w:color w:val="000000"/>
          <w:lang w:val="sv-SE"/>
        </w:rPr>
        <w:t>(1 +</w:t>
      </w:r>
      <w:r w:rsidRPr="00817C35">
        <w:rPr>
          <w:i/>
          <w:color w:val="000000"/>
          <w:lang w:val="sv-SE"/>
        </w:rPr>
        <w:t xml:space="preserve"> </w:t>
      </w:r>
      <w:r w:rsidR="00E70DC4" w:rsidRPr="00E70DC4">
        <w:rPr>
          <w:position w:val="-12"/>
        </w:rPr>
        <w:object w:dxaOrig="1160" w:dyaOrig="400">
          <v:shape id="_x0000_i1032" type="#_x0000_t75" style="width:57.3pt;height:21.3pt" o:ole="">
            <v:imagedata r:id="rId25" o:title=""/>
          </v:shape>
          <o:OLEObject Type="Embed" ProgID="Equation.3" ShapeID="_x0000_i1032" DrawAspect="Content" ObjectID="_1494569085" r:id="rId26"/>
        </w:object>
      </w:r>
      <w:r w:rsidR="00F738EC">
        <w:t>)</w:t>
      </w:r>
      <w:r w:rsidRPr="008E2749">
        <w:rPr>
          <w:color w:val="000000"/>
          <w:lang w:val="sv-SE"/>
        </w:rPr>
        <w:t>]</w:t>
      </w:r>
      <w:r w:rsidRPr="008E2749">
        <w:rPr>
          <w:color w:val="000000"/>
          <w:vertAlign w:val="superscript"/>
        </w:rPr>
        <w:t>δ</w:t>
      </w:r>
      <w:r w:rsidRPr="00275999">
        <w:tab/>
        <w:t>(</w:t>
      </w:r>
      <w:r>
        <w:t>7</w:t>
      </w:r>
      <w:r w:rsidRPr="00275999">
        <w:t>)</w:t>
      </w:r>
    </w:p>
    <w:p w:rsidR="0004683F" w:rsidRDefault="0004683F" w:rsidP="0004683F">
      <w:pPr>
        <w:pStyle w:val="Normaali1"/>
        <w:tabs>
          <w:tab w:val="left" w:pos="360"/>
        </w:tabs>
        <w:spacing w:line="480" w:lineRule="auto"/>
        <w:rPr>
          <w:rFonts w:ascii="Times New Roman" w:hAnsi="Times New Roman"/>
          <w:color w:val="000000"/>
          <w:szCs w:val="24"/>
          <w:lang w:val="sv-SE"/>
        </w:rPr>
      </w:pPr>
      <w:r>
        <w:rPr>
          <w:rFonts w:ascii="Times New Roman" w:hAnsi="Times New Roman"/>
          <w:color w:val="000000"/>
          <w:szCs w:val="24"/>
          <w:lang w:val="sv-SE"/>
        </w:rPr>
        <w:t xml:space="preserve">It is assumed that </w:t>
      </w:r>
      <w:r w:rsidRPr="00275999">
        <w:rPr>
          <w:rFonts w:ascii="Times New Roman" w:hAnsi="Times New Roman"/>
          <w:color w:val="000000"/>
          <w:szCs w:val="24"/>
          <w:lang w:val="sv-SE"/>
        </w:rPr>
        <w:t>0</w:t>
      </w:r>
      <w:r w:rsidRPr="00275999">
        <w:rPr>
          <w:rFonts w:ascii="Times New Roman" w:hAnsi="Times New Roman"/>
          <w:color w:val="000000"/>
          <w:szCs w:val="24"/>
          <w:lang w:val="en-GB"/>
        </w:rPr>
        <w:t xml:space="preserve"> ≤ </w:t>
      </w:r>
      <w:r w:rsidRPr="00B335EC">
        <w:rPr>
          <w:rFonts w:ascii="Times New Roman" w:hAnsi="Times New Roman"/>
          <w:i/>
          <w:color w:val="000000"/>
          <w:szCs w:val="24"/>
          <w:lang w:val="en-GB"/>
        </w:rPr>
        <w:t>δ</w:t>
      </w:r>
      <w:r w:rsidRPr="00275999">
        <w:rPr>
          <w:rFonts w:ascii="Times New Roman" w:hAnsi="Times New Roman"/>
          <w:color w:val="000000"/>
          <w:szCs w:val="24"/>
          <w:lang w:val="en-GB"/>
        </w:rPr>
        <w:t xml:space="preserve"> &lt; 1; a</w:t>
      </w:r>
      <w:r w:rsidRPr="00275999">
        <w:rPr>
          <w:rFonts w:ascii="Times New Roman" w:hAnsi="Times New Roman"/>
          <w:color w:val="000000"/>
          <w:szCs w:val="24"/>
          <w:lang w:val="sv-SE"/>
        </w:rPr>
        <w:t xml:space="preserve">s </w:t>
      </w:r>
      <w:r w:rsidRPr="00B335EC">
        <w:rPr>
          <w:rFonts w:ascii="Times New Roman" w:hAnsi="Times New Roman"/>
          <w:i/>
          <w:color w:val="000000"/>
          <w:szCs w:val="24"/>
          <w:lang w:val="en-GB"/>
        </w:rPr>
        <w:t>δ</w:t>
      </w:r>
      <w:r w:rsidRPr="00275999">
        <w:rPr>
          <w:rFonts w:ascii="Times New Roman" w:hAnsi="Times New Roman"/>
          <w:color w:val="000000"/>
          <w:szCs w:val="24"/>
          <w:lang w:val="en-GB"/>
        </w:rPr>
        <w:t xml:space="preserve"> increases, so too does the allowance for interregional imports.</w:t>
      </w:r>
      <w:r w:rsidRPr="00275999">
        <w:rPr>
          <w:rFonts w:ascii="Times New Roman" w:hAnsi="Times New Roman"/>
          <w:color w:val="000000"/>
          <w:szCs w:val="24"/>
          <w:lang w:val="sv-SE"/>
        </w:rPr>
        <w:t xml:space="preserve">  </w:t>
      </w:r>
      <w:r w:rsidRPr="00B335EC">
        <w:rPr>
          <w:rFonts w:ascii="Times New Roman" w:hAnsi="Times New Roman"/>
          <w:i/>
          <w:color w:val="000000"/>
          <w:szCs w:val="24"/>
          <w:lang w:val="en-GB"/>
        </w:rPr>
        <w:t>δ</w:t>
      </w:r>
      <w:r w:rsidRPr="00275999">
        <w:rPr>
          <w:rFonts w:ascii="Times New Roman" w:hAnsi="Times New Roman"/>
          <w:color w:val="000000"/>
          <w:szCs w:val="24"/>
          <w:lang w:val="en-GB"/>
        </w:rPr>
        <w:t xml:space="preserve"> = 0 represents a special case where </w:t>
      </w:r>
      <w:r w:rsidRPr="00B0222D">
        <w:rPr>
          <w:rFonts w:ascii="Times New Roman" w:hAnsi="Times New Roman"/>
          <w:i/>
          <w:szCs w:val="24"/>
        </w:rPr>
        <w:t>FLQ</w:t>
      </w:r>
      <w:r w:rsidRPr="00B0222D">
        <w:rPr>
          <w:rFonts w:ascii="Times New Roman" w:hAnsi="Times New Roman"/>
          <w:i/>
          <w:szCs w:val="24"/>
          <w:vertAlign w:val="subscript"/>
        </w:rPr>
        <w:t>ij</w:t>
      </w:r>
      <w:r w:rsidRPr="00275999">
        <w:rPr>
          <w:rFonts w:ascii="Times New Roman" w:hAnsi="Times New Roman"/>
          <w:szCs w:val="24"/>
        </w:rPr>
        <w:t xml:space="preserve"> = </w:t>
      </w:r>
      <w:r w:rsidRPr="00B0222D">
        <w:rPr>
          <w:rFonts w:ascii="Times New Roman" w:hAnsi="Times New Roman"/>
          <w:i/>
          <w:szCs w:val="24"/>
        </w:rPr>
        <w:t>CILQ</w:t>
      </w:r>
      <w:r w:rsidRPr="00B0222D">
        <w:rPr>
          <w:rFonts w:ascii="Times New Roman" w:hAnsi="Times New Roman"/>
          <w:i/>
          <w:szCs w:val="24"/>
          <w:vertAlign w:val="subscript"/>
        </w:rPr>
        <w:t>ij</w:t>
      </w:r>
      <w:r w:rsidRPr="00275999">
        <w:rPr>
          <w:rFonts w:ascii="Times New Roman" w:hAnsi="Times New Roman"/>
          <w:szCs w:val="24"/>
        </w:rPr>
        <w:t>.</w:t>
      </w:r>
      <w:r>
        <w:rPr>
          <w:rFonts w:ascii="Times New Roman" w:hAnsi="Times New Roman"/>
          <w:szCs w:val="24"/>
        </w:rPr>
        <w:t xml:space="preserve">  </w:t>
      </w:r>
      <w:r w:rsidRPr="00275999">
        <w:rPr>
          <w:rFonts w:ascii="Times New Roman" w:hAnsi="Times New Roman"/>
          <w:color w:val="000000"/>
          <w:szCs w:val="24"/>
          <w:lang w:val="sv-SE"/>
        </w:rPr>
        <w:t>As with other LQ-based formulae, the FLQ is constrained to unity.</w:t>
      </w:r>
    </w:p>
    <w:p w:rsidR="0004683F" w:rsidRDefault="0004683F" w:rsidP="0004683F">
      <w:pPr>
        <w:widowControl w:val="0"/>
        <w:tabs>
          <w:tab w:val="left" w:pos="426"/>
          <w:tab w:val="center" w:pos="4395"/>
          <w:tab w:val="right" w:pos="8931"/>
        </w:tabs>
        <w:spacing w:line="480" w:lineRule="auto"/>
        <w:ind w:firstLine="0"/>
        <w:rPr>
          <w:color w:val="000000"/>
          <w:lang w:val="sv-SE"/>
        </w:rPr>
      </w:pPr>
      <w:r>
        <w:rPr>
          <w:color w:val="000000"/>
          <w:lang w:val="sv-SE"/>
        </w:rPr>
        <w:tab/>
      </w:r>
      <w:r>
        <w:rPr>
          <w:color w:val="000000"/>
        </w:rPr>
        <w:t xml:space="preserve">Two </w:t>
      </w:r>
      <w:r w:rsidR="00797D08">
        <w:rPr>
          <w:color w:val="000000"/>
        </w:rPr>
        <w:t>fa</w:t>
      </w:r>
      <w:r>
        <w:rPr>
          <w:color w:val="000000"/>
        </w:rPr>
        <w:t>c</w:t>
      </w:r>
      <w:r w:rsidR="00797D08">
        <w:rPr>
          <w:color w:val="000000"/>
        </w:rPr>
        <w:t>e</w:t>
      </w:r>
      <w:r>
        <w:rPr>
          <w:color w:val="000000"/>
        </w:rPr>
        <w:t xml:space="preserve">ts of the FLQ formula are worth </w:t>
      </w:r>
      <w:r w:rsidR="00797D08">
        <w:rPr>
          <w:color w:val="000000"/>
        </w:rPr>
        <w:t>stre</w:t>
      </w:r>
      <w:r>
        <w:rPr>
          <w:color w:val="000000"/>
        </w:rPr>
        <w:t>s</w:t>
      </w:r>
      <w:r w:rsidR="00797D08">
        <w:rPr>
          <w:color w:val="000000"/>
        </w:rPr>
        <w:t>s</w:t>
      </w:r>
      <w:r>
        <w:rPr>
          <w:color w:val="000000"/>
        </w:rPr>
        <w:t xml:space="preserve">ing: its cross-industry foundations and the explicit role </w:t>
      </w:r>
      <w:r w:rsidR="00797D08">
        <w:rPr>
          <w:color w:val="000000"/>
        </w:rPr>
        <w:t>given</w:t>
      </w:r>
      <w:r>
        <w:rPr>
          <w:color w:val="000000"/>
        </w:rPr>
        <w:t xml:space="preserve"> to regional size.  Thus, with the FLQ, the relative size of the</w:t>
      </w:r>
      <w:r w:rsidRPr="00A07F3E">
        <w:rPr>
          <w:color w:val="000000"/>
        </w:rPr>
        <w:t xml:space="preserve"> </w:t>
      </w:r>
      <w:r w:rsidRPr="008E547C">
        <w:rPr>
          <w:color w:val="000000"/>
        </w:rPr>
        <w:t xml:space="preserve">regional </w:t>
      </w:r>
      <w:r>
        <w:rPr>
          <w:color w:val="000000"/>
        </w:rPr>
        <w:t xml:space="preserve">purchasing and </w:t>
      </w:r>
      <w:r w:rsidRPr="008E547C">
        <w:rPr>
          <w:color w:val="000000"/>
        </w:rPr>
        <w:t>supplying sector</w:t>
      </w:r>
      <w:r>
        <w:rPr>
          <w:color w:val="000000"/>
        </w:rPr>
        <w:t>s</w:t>
      </w:r>
      <w:r w:rsidRPr="008E547C">
        <w:rPr>
          <w:color w:val="000000"/>
        </w:rPr>
        <w:t xml:space="preserve"> is </w:t>
      </w:r>
      <w:r w:rsidR="00797D08">
        <w:rPr>
          <w:color w:val="000000"/>
        </w:rPr>
        <w:t>considered</w:t>
      </w:r>
      <w:r>
        <w:rPr>
          <w:color w:val="000000"/>
        </w:rPr>
        <w:t xml:space="preserve"> when </w:t>
      </w:r>
      <w:r w:rsidR="00797D08">
        <w:rPr>
          <w:color w:val="000000"/>
        </w:rPr>
        <w:t>making an</w:t>
      </w:r>
      <w:r>
        <w:rPr>
          <w:color w:val="000000"/>
        </w:rPr>
        <w:t xml:space="preserve"> adjustment for inter</w:t>
      </w:r>
      <w:r w:rsidRPr="008E547C">
        <w:rPr>
          <w:color w:val="000000"/>
        </w:rPr>
        <w:t xml:space="preserve">regional </w:t>
      </w:r>
      <w:r>
        <w:rPr>
          <w:color w:val="000000"/>
        </w:rPr>
        <w:t>trade</w:t>
      </w:r>
      <w:r w:rsidRPr="008E547C">
        <w:rPr>
          <w:color w:val="000000"/>
        </w:rPr>
        <w:t xml:space="preserve">, </w:t>
      </w:r>
      <w:r>
        <w:rPr>
          <w:color w:val="000000"/>
        </w:rPr>
        <w:t xml:space="preserve">as is the </w:t>
      </w:r>
      <w:r w:rsidRPr="008E547C">
        <w:rPr>
          <w:color w:val="000000"/>
        </w:rPr>
        <w:t>re</w:t>
      </w:r>
      <w:r>
        <w:rPr>
          <w:color w:val="000000"/>
        </w:rPr>
        <w:t>lative</w:t>
      </w:r>
      <w:r>
        <w:t xml:space="preserve"> </w:t>
      </w:r>
      <w:r w:rsidRPr="002A3504">
        <w:t>si</w:t>
      </w:r>
      <w:r>
        <w:t>z</w:t>
      </w:r>
      <w:r w:rsidRPr="002A3504">
        <w:t xml:space="preserve">e </w:t>
      </w:r>
      <w:r>
        <w:t xml:space="preserve">of </w:t>
      </w:r>
      <w:r w:rsidRPr="002A3504">
        <w:t>the region</w:t>
      </w:r>
      <w:r w:rsidRPr="009F273F">
        <w:rPr>
          <w:color w:val="000000"/>
        </w:rPr>
        <w:t>.</w:t>
      </w:r>
      <w:r>
        <w:rPr>
          <w:color w:val="000000"/>
        </w:rPr>
        <w:t xml:space="preserve">  </w:t>
      </w:r>
      <w:r>
        <w:rPr>
          <w:color w:val="000000"/>
          <w:lang w:val="sv-SE"/>
        </w:rPr>
        <w:t xml:space="preserve">By taking explicit account of </w:t>
      </w:r>
      <w:r w:rsidR="00452CC8">
        <w:rPr>
          <w:color w:val="000000"/>
          <w:lang w:val="sv-SE"/>
        </w:rPr>
        <w:t>a region’s</w:t>
      </w:r>
      <w:r>
        <w:rPr>
          <w:color w:val="000000"/>
          <w:lang w:val="sv-SE"/>
        </w:rPr>
        <w:t xml:space="preserve"> relative size, the FLQ should help to address the problem of cross-hauling, which is likely to be </w:t>
      </w:r>
      <w:r w:rsidR="00797D08">
        <w:rPr>
          <w:color w:val="000000"/>
          <w:lang w:val="sv-SE"/>
        </w:rPr>
        <w:t>more serious</w:t>
      </w:r>
      <w:r>
        <w:rPr>
          <w:color w:val="000000"/>
          <w:lang w:val="sv-SE"/>
        </w:rPr>
        <w:t xml:space="preserve"> in smaller regions than in larger ones</w:t>
      </w:r>
      <w:r w:rsidR="00257F54">
        <w:rPr>
          <w:color w:val="000000"/>
          <w:lang w:val="sv-SE"/>
        </w:rPr>
        <w:t xml:space="preserve"> (see, for example, Robison and Miller</w:t>
      </w:r>
      <w:r w:rsidR="00CF6AF8">
        <w:rPr>
          <w:color w:val="000000"/>
          <w:lang w:val="sv-SE"/>
        </w:rPr>
        <w:t>,</w:t>
      </w:r>
      <w:r w:rsidR="00257F54">
        <w:rPr>
          <w:color w:val="000000"/>
          <w:lang w:val="sv-SE"/>
        </w:rPr>
        <w:t xml:space="preserve"> 1988, table 2)</w:t>
      </w:r>
      <w:r>
        <w:rPr>
          <w:color w:val="000000"/>
          <w:lang w:val="sv-SE"/>
        </w:rPr>
        <w:t xml:space="preserve">.  Smaller regions are </w:t>
      </w:r>
      <w:r w:rsidR="00E54E2B">
        <w:rPr>
          <w:color w:val="000000"/>
          <w:lang w:val="sv-SE"/>
        </w:rPr>
        <w:t>liable</w:t>
      </w:r>
      <w:r>
        <w:rPr>
          <w:color w:val="000000"/>
          <w:lang w:val="sv-SE"/>
        </w:rPr>
        <w:t xml:space="preserve"> to be more open to interregional trade.</w:t>
      </w:r>
    </w:p>
    <w:p w:rsidR="006707D4" w:rsidRDefault="006707D4" w:rsidP="000D7940">
      <w:pPr>
        <w:widowControl w:val="0"/>
        <w:tabs>
          <w:tab w:val="left" w:pos="426"/>
          <w:tab w:val="center" w:pos="4395"/>
          <w:tab w:val="right" w:pos="8931"/>
        </w:tabs>
        <w:spacing w:after="0" w:line="480" w:lineRule="auto"/>
        <w:ind w:firstLine="0"/>
      </w:pPr>
      <w:r>
        <w:rPr>
          <w:color w:val="000000"/>
          <w:lang w:val="sv-SE"/>
        </w:rPr>
        <w:tab/>
        <w:t xml:space="preserve">In our empirical analysis, we also consider </w:t>
      </w:r>
      <w:r>
        <w:t xml:space="preserve">the </w:t>
      </w:r>
      <w:r>
        <w:rPr>
          <w:i/>
          <w:color w:val="000000"/>
        </w:rPr>
        <w:t>augmented</w:t>
      </w:r>
      <w:r>
        <w:rPr>
          <w:color w:val="000000"/>
        </w:rPr>
        <w:t xml:space="preserve"> FLQ (AFLQ)</w:t>
      </w:r>
      <w:r w:rsidRPr="006707D4">
        <w:t xml:space="preserve"> </w:t>
      </w:r>
      <w:r w:rsidR="00987F19">
        <w:t xml:space="preserve">formula </w:t>
      </w:r>
      <w:r w:rsidR="00C76A94">
        <w:t>formulated</w:t>
      </w:r>
      <w:r>
        <w:t xml:space="preserve"> by </w:t>
      </w:r>
      <w:r>
        <w:rPr>
          <w:color w:val="000000"/>
        </w:rPr>
        <w:t>Flegg and Webber (2000)</w:t>
      </w:r>
      <w:r w:rsidR="00987F19">
        <w:rPr>
          <w:color w:val="000000"/>
        </w:rPr>
        <w:t xml:space="preserve">, which </w:t>
      </w:r>
      <w:r>
        <w:rPr>
          <w:color w:val="000000"/>
        </w:rPr>
        <w:t xml:space="preserve">aims to </w:t>
      </w:r>
      <w:r>
        <w:t xml:space="preserve">capture the impact of regional </w:t>
      </w:r>
      <w:r>
        <w:lastRenderedPageBreak/>
        <w:t xml:space="preserve">specialization on the size of regional </w:t>
      </w:r>
      <w:r w:rsidRPr="00F7201E">
        <w:t>input</w:t>
      </w:r>
      <w:r>
        <w:t xml:space="preserve"> coefficients.</w:t>
      </w:r>
      <w:r w:rsidR="0090618C">
        <w:t xml:space="preserve">  </w:t>
      </w:r>
      <w:r w:rsidR="00C76A94">
        <w:t>This effect</w:t>
      </w:r>
      <w:r w:rsidR="0090618C">
        <w:t xml:space="preserve"> is measured via </w:t>
      </w:r>
      <w:r w:rsidR="00C76A94" w:rsidRPr="00817C35">
        <w:rPr>
          <w:i/>
        </w:rPr>
        <w:t>SLQ</w:t>
      </w:r>
      <w:r w:rsidR="00A57F28">
        <w:rPr>
          <w:i/>
          <w:vertAlign w:val="subscript"/>
        </w:rPr>
        <w:t>j</w:t>
      </w:r>
      <w:r w:rsidR="00C76A94">
        <w:t>.</w:t>
      </w:r>
      <w:r w:rsidR="00987F19">
        <w:t xml:space="preserve">  The AFLQ is one of the formulae examined </w:t>
      </w:r>
      <w:r w:rsidR="00BF4EB0">
        <w:t xml:space="preserve">in a Monte Carlo study </w:t>
      </w:r>
      <w:r w:rsidR="00987F19">
        <w:t xml:space="preserve">by Bonfiglio and Chelli (2008), who found that </w:t>
      </w:r>
      <w:r w:rsidR="00C76A94">
        <w:t xml:space="preserve">it </w:t>
      </w:r>
      <w:r w:rsidR="00D55857">
        <w:t>gave</w:t>
      </w:r>
      <w:r w:rsidR="00BF4EB0">
        <w:t xml:space="preserve"> marginally better results </w:t>
      </w:r>
      <w:r w:rsidR="003402CA">
        <w:t xml:space="preserve">on average </w:t>
      </w:r>
      <w:r w:rsidR="00BF4EB0">
        <w:t>than the FLQ.</w:t>
      </w:r>
      <w:r w:rsidR="004B0D1A">
        <w:rPr>
          <w:b/>
          <w:vertAlign w:val="superscript"/>
        </w:rPr>
        <w:t>1</w:t>
      </w:r>
      <w:r w:rsidR="00AD53FA">
        <w:rPr>
          <w:b/>
          <w:vertAlign w:val="superscript"/>
        </w:rPr>
        <w:t>1</w:t>
      </w:r>
      <w:r w:rsidR="00BF4EB0">
        <w:t xml:space="preserve">  It is defined as follows:</w:t>
      </w:r>
    </w:p>
    <w:p w:rsidR="00BF4EB0" w:rsidRDefault="00BF4EB0" w:rsidP="000D7940">
      <w:pPr>
        <w:tabs>
          <w:tab w:val="left" w:pos="720"/>
          <w:tab w:val="center" w:pos="4440"/>
          <w:tab w:val="right" w:pos="8931"/>
        </w:tabs>
        <w:spacing w:after="0" w:line="480" w:lineRule="auto"/>
      </w:pPr>
      <w:r w:rsidRPr="00275999">
        <w:tab/>
      </w:r>
      <w:r w:rsidRPr="00275999">
        <w:tab/>
      </w:r>
      <w:r>
        <w:rPr>
          <w:i/>
        </w:rPr>
        <w:t>A</w:t>
      </w:r>
      <w:r w:rsidRPr="00817C35">
        <w:rPr>
          <w:i/>
        </w:rPr>
        <w:t>FLQ</w:t>
      </w:r>
      <w:r w:rsidRPr="00817C35">
        <w:rPr>
          <w:i/>
          <w:vertAlign w:val="subscript"/>
        </w:rPr>
        <w:t>ij</w:t>
      </w:r>
      <w:r w:rsidR="0090618C">
        <w:rPr>
          <w:i/>
        </w:rPr>
        <w:t xml:space="preserve"> ≡ F</w:t>
      </w:r>
      <w:r w:rsidRPr="00817C35">
        <w:rPr>
          <w:i/>
        </w:rPr>
        <w:t>LQ</w:t>
      </w:r>
      <w:r w:rsidRPr="00817C35">
        <w:rPr>
          <w:i/>
          <w:vertAlign w:val="subscript"/>
        </w:rPr>
        <w:t>ij</w:t>
      </w:r>
      <w:r w:rsidRPr="00817C35">
        <w:rPr>
          <w:i/>
        </w:rPr>
        <w:t xml:space="preserve"> × </w:t>
      </w:r>
      <w:r w:rsidR="00B32762" w:rsidRPr="00F738EC">
        <w:rPr>
          <w:color w:val="000000"/>
          <w:lang w:val="sv-SE"/>
        </w:rPr>
        <w:t>log</w:t>
      </w:r>
      <w:r w:rsidR="00B32762" w:rsidRPr="00F738EC">
        <w:rPr>
          <w:color w:val="000000"/>
          <w:vertAlign w:val="subscript"/>
          <w:lang w:val="sv-SE"/>
        </w:rPr>
        <w:t>2</w:t>
      </w:r>
      <w:r w:rsidR="00B32762" w:rsidRPr="00F738EC">
        <w:rPr>
          <w:color w:val="000000"/>
          <w:lang w:val="sv-SE"/>
        </w:rPr>
        <w:t>(</w:t>
      </w:r>
      <w:r w:rsidR="0090618C">
        <w:t>1 +</w:t>
      </w:r>
      <w:r w:rsidR="0090618C" w:rsidRPr="0090618C">
        <w:rPr>
          <w:i/>
        </w:rPr>
        <w:t xml:space="preserve"> </w:t>
      </w:r>
      <w:r w:rsidR="0090618C" w:rsidRPr="00817C35">
        <w:rPr>
          <w:i/>
        </w:rPr>
        <w:t>SLQ</w:t>
      </w:r>
      <w:r w:rsidR="00A57F28">
        <w:rPr>
          <w:i/>
          <w:vertAlign w:val="subscript"/>
        </w:rPr>
        <w:t>j</w:t>
      </w:r>
      <w:r w:rsidR="0090618C">
        <w:t>)</w:t>
      </w:r>
      <w:r w:rsidRPr="00275999">
        <w:tab/>
        <w:t>(</w:t>
      </w:r>
      <w:r>
        <w:t>8</w:t>
      </w:r>
      <w:r w:rsidRPr="00275999">
        <w:t>)</w:t>
      </w:r>
    </w:p>
    <w:p w:rsidR="00BF4EB0" w:rsidRPr="00275999" w:rsidRDefault="0090618C" w:rsidP="003402CA">
      <w:pPr>
        <w:tabs>
          <w:tab w:val="left" w:pos="720"/>
          <w:tab w:val="center" w:pos="4440"/>
          <w:tab w:val="right" w:pos="8931"/>
        </w:tabs>
        <w:spacing w:line="480" w:lineRule="auto"/>
        <w:ind w:firstLine="0"/>
      </w:pPr>
      <w:r>
        <w:t xml:space="preserve">However, the specialization term, </w:t>
      </w:r>
      <w:r w:rsidR="00B32762" w:rsidRPr="00F738EC">
        <w:rPr>
          <w:color w:val="000000"/>
          <w:lang w:val="sv-SE"/>
        </w:rPr>
        <w:t>log</w:t>
      </w:r>
      <w:r w:rsidR="00B32762" w:rsidRPr="00F738EC">
        <w:rPr>
          <w:color w:val="000000"/>
          <w:vertAlign w:val="subscript"/>
          <w:lang w:val="sv-SE"/>
        </w:rPr>
        <w:t>2</w:t>
      </w:r>
      <w:r>
        <w:t>(1 +</w:t>
      </w:r>
      <w:r w:rsidRPr="0090618C">
        <w:rPr>
          <w:i/>
        </w:rPr>
        <w:t xml:space="preserve"> </w:t>
      </w:r>
      <w:r w:rsidRPr="00817C35">
        <w:rPr>
          <w:i/>
        </w:rPr>
        <w:t>SLQ</w:t>
      </w:r>
      <w:r w:rsidR="00A57F28">
        <w:rPr>
          <w:i/>
          <w:vertAlign w:val="subscript"/>
        </w:rPr>
        <w:t>j</w:t>
      </w:r>
      <w:r>
        <w:t>), is only applicable where</w:t>
      </w:r>
      <w:r w:rsidRPr="00275999">
        <w:rPr>
          <w:color w:val="000000"/>
          <w:lang w:val="sv-SE"/>
        </w:rPr>
        <w:t xml:space="preserve"> </w:t>
      </w:r>
      <w:r w:rsidRPr="00817C35">
        <w:rPr>
          <w:i/>
        </w:rPr>
        <w:t>SLQ</w:t>
      </w:r>
      <w:r w:rsidR="00A57F28">
        <w:rPr>
          <w:i/>
          <w:vertAlign w:val="subscript"/>
        </w:rPr>
        <w:t>j</w:t>
      </w:r>
      <w:r>
        <w:t xml:space="preserve"> &gt; 1.</w:t>
      </w:r>
      <w:r w:rsidR="00C76A94">
        <w:t xml:space="preserve">  </w:t>
      </w:r>
      <w:r w:rsidR="00D55857">
        <w:rPr>
          <w:color w:val="000000"/>
          <w:lang w:val="sv-SE"/>
        </w:rPr>
        <w:t xml:space="preserve">The AFLQ has the novel property that it can encompass situations where </w:t>
      </w:r>
      <w:r w:rsidR="00D55857" w:rsidRPr="005C5CDD">
        <w:rPr>
          <w:i/>
        </w:rPr>
        <w:t>r</w:t>
      </w:r>
      <w:r w:rsidR="00D55857" w:rsidRPr="005C5CDD">
        <w:rPr>
          <w:i/>
          <w:vertAlign w:val="subscript"/>
        </w:rPr>
        <w:t>ij</w:t>
      </w:r>
      <w:r w:rsidR="00D55857">
        <w:t xml:space="preserve"> &gt; </w:t>
      </w:r>
      <w:r w:rsidR="00D55857" w:rsidRPr="005C5CDD">
        <w:rPr>
          <w:i/>
        </w:rPr>
        <w:t>a</w:t>
      </w:r>
      <w:r w:rsidR="00D55857" w:rsidRPr="005C5CDD">
        <w:rPr>
          <w:i/>
          <w:vertAlign w:val="subscript"/>
        </w:rPr>
        <w:t>ij</w:t>
      </w:r>
      <w:r w:rsidR="00D55857">
        <w:t xml:space="preserve"> in equation (2).  Like</w:t>
      </w:r>
      <w:r w:rsidR="00C76A94" w:rsidRPr="00275999">
        <w:rPr>
          <w:color w:val="000000"/>
          <w:lang w:val="sv-SE"/>
        </w:rPr>
        <w:t xml:space="preserve"> </w:t>
      </w:r>
      <w:r w:rsidR="00C76A94">
        <w:rPr>
          <w:color w:val="000000"/>
          <w:lang w:val="sv-SE"/>
        </w:rPr>
        <w:t>the FLQ</w:t>
      </w:r>
      <w:r w:rsidR="00C76A94" w:rsidRPr="00275999">
        <w:rPr>
          <w:color w:val="000000"/>
          <w:lang w:val="sv-SE"/>
        </w:rPr>
        <w:t xml:space="preserve">, </w:t>
      </w:r>
      <w:r w:rsidR="00D55857">
        <w:rPr>
          <w:color w:val="000000"/>
          <w:lang w:val="sv-SE"/>
        </w:rPr>
        <w:t>it</w:t>
      </w:r>
      <w:r w:rsidR="00C76A94" w:rsidRPr="00275999">
        <w:rPr>
          <w:color w:val="000000"/>
          <w:lang w:val="sv-SE"/>
        </w:rPr>
        <w:t xml:space="preserve"> is constrained to unity.</w:t>
      </w:r>
    </w:p>
    <w:p w:rsidR="00C31E7C" w:rsidRPr="005B3409" w:rsidRDefault="00C31E7C" w:rsidP="00C31E7C">
      <w:pPr>
        <w:spacing w:after="0"/>
        <w:ind w:firstLine="0"/>
        <w:jc w:val="left"/>
        <w:rPr>
          <w:lang w:val="en-US"/>
        </w:rPr>
      </w:pPr>
    </w:p>
    <w:p w:rsidR="00C31E7C" w:rsidRDefault="00AE2829" w:rsidP="00C31E7C">
      <w:pPr>
        <w:spacing w:after="0" w:line="480" w:lineRule="auto"/>
        <w:ind w:firstLine="0"/>
        <w:jc w:val="left"/>
        <w:rPr>
          <w:lang w:val="en-US"/>
        </w:rPr>
      </w:pPr>
      <w:r>
        <w:rPr>
          <w:b/>
          <w:lang w:val="en-US"/>
        </w:rPr>
        <w:t>5</w:t>
      </w:r>
      <w:r w:rsidR="00C31E7C">
        <w:rPr>
          <w:b/>
          <w:lang w:val="en-US"/>
        </w:rPr>
        <w:t xml:space="preserve">   INPUT COEFFICIENTS</w:t>
      </w:r>
    </w:p>
    <w:p w:rsidR="00C31E7C" w:rsidRDefault="00C31E7C" w:rsidP="000D7940">
      <w:pPr>
        <w:widowControl w:val="0"/>
        <w:spacing w:after="0" w:line="480" w:lineRule="auto"/>
        <w:ind w:firstLine="0"/>
      </w:pPr>
      <w:r>
        <w:t xml:space="preserve">Even though most analysts are apt to be more concerned with the outcomes for regional sectoral multipliers, it is often fruitful to examine the </w:t>
      </w:r>
      <w:r w:rsidR="008C4E88">
        <w:t>estimates of</w:t>
      </w:r>
      <w:r>
        <w:t xml:space="preserve"> the regional input coefficients</w:t>
      </w:r>
      <w:r w:rsidR="008C4E88">
        <w:t xml:space="preserve"> as well. </w:t>
      </w:r>
      <w:r>
        <w:t xml:space="preserve"> </w:t>
      </w:r>
      <w:r w:rsidR="00B41559">
        <w:t>In line with</w:t>
      </w:r>
      <w:r w:rsidR="00B41559">
        <w:rPr>
          <w:lang w:val="en-US"/>
        </w:rPr>
        <w:t xml:space="preserve"> previous research (</w:t>
      </w:r>
      <w:r w:rsidR="00B41559">
        <w:rPr>
          <w:color w:val="000000"/>
        </w:rPr>
        <w:t>Flegg and Tohmo, 2013a,</w:t>
      </w:r>
      <w:r w:rsidR="00402D3B">
        <w:rPr>
          <w:color w:val="000000"/>
        </w:rPr>
        <w:t xml:space="preserve"> 2014</w:t>
      </w:r>
      <w:r w:rsidR="00B41559">
        <w:rPr>
          <w:lang w:val="en-US"/>
        </w:rPr>
        <w:t xml:space="preserve">), the following statistics will be employed </w:t>
      </w:r>
      <w:r w:rsidR="008C4E88">
        <w:rPr>
          <w:lang w:val="en-US"/>
        </w:rPr>
        <w:t>in this</w:t>
      </w:r>
      <w:r w:rsidR="00B41559">
        <w:rPr>
          <w:lang w:val="en-US"/>
        </w:rPr>
        <w:t xml:space="preserve"> assess</w:t>
      </w:r>
      <w:r w:rsidR="008C4E88">
        <w:rPr>
          <w:lang w:val="en-US"/>
        </w:rPr>
        <w:t>ment</w:t>
      </w:r>
      <w:r>
        <w:t>:</w:t>
      </w:r>
    </w:p>
    <w:p w:rsidR="00C31E7C" w:rsidRPr="00D12F8F" w:rsidRDefault="00C31E7C" w:rsidP="000D7940">
      <w:pPr>
        <w:pStyle w:val="Normaali1"/>
        <w:tabs>
          <w:tab w:val="left" w:pos="567"/>
          <w:tab w:val="center" w:pos="4536"/>
          <w:tab w:val="right" w:pos="8931"/>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t>STPE</w:t>
      </w:r>
      <w:r w:rsidRPr="0009111F">
        <w:rPr>
          <w:rFonts w:ascii="Times New Roman" w:hAnsi="Times New Roman"/>
          <w:lang w:val="en-GB"/>
        </w:rPr>
        <w:t xml:space="preserve"> = 1</w:t>
      </w:r>
      <w:r>
        <w:rPr>
          <w:rFonts w:ascii="Times New Roman" w:hAnsi="Times New Roman"/>
          <w:lang w:val="en-GB"/>
        </w:rPr>
        <w:t>00</w:t>
      </w:r>
      <w:r w:rsidRPr="0009111F">
        <w:rPr>
          <w:rFonts w:ascii="Times New Roman" w:hAnsi="Times New Roman"/>
          <w:vertAlign w:val="subscript"/>
          <w:lang w:val="en-GB"/>
        </w:rPr>
        <w:t xml:space="preserve"> </w:t>
      </w:r>
      <w:proofErr w:type="spellStart"/>
      <w:r w:rsidRPr="0009111F">
        <w:rPr>
          <w:rFonts w:ascii="Times New Roman" w:hAnsi="Times New Roman"/>
          <w:lang w:val="en-GB"/>
        </w:rPr>
        <w:t>Σ</w:t>
      </w:r>
      <w:r w:rsidRPr="003F0ED9">
        <w:rPr>
          <w:rFonts w:ascii="Times New Roman" w:hAnsi="Times New Roman"/>
          <w:i/>
          <w:vertAlign w:val="subscript"/>
          <w:lang w:val="en-GB"/>
        </w:rPr>
        <w:t>i</w:t>
      </w:r>
      <w:r w:rsidRPr="00B335EC">
        <w:rPr>
          <w:rFonts w:ascii="Times New Roman" w:hAnsi="Times New Roman"/>
          <w:i/>
          <w:vertAlign w:val="subscript"/>
          <w:lang w:val="en-GB"/>
        </w:rPr>
        <w:t>j</w:t>
      </w:r>
      <w:proofErr w:type="spellEnd"/>
      <w:r w:rsidRPr="0009111F">
        <w:rPr>
          <w:rFonts w:ascii="Times New Roman" w:hAnsi="Times New Roman"/>
          <w:vertAlign w:val="subscript"/>
          <w:lang w:val="en-GB"/>
        </w:rPr>
        <w:t xml:space="preserve"> </w:t>
      </w:r>
      <w:r w:rsidRPr="0009111F">
        <w:rPr>
          <w:rFonts w:ascii="Times New Roman" w:hAnsi="Times New Roman"/>
          <w:spacing w:val="-2"/>
          <w:szCs w:val="22"/>
        </w:rPr>
        <w:t>|</w:t>
      </w:r>
      <w:r w:rsidR="001748BD" w:rsidRPr="00BF1DA4">
        <w:rPr>
          <w:rFonts w:ascii="Times New Roman" w:hAnsi="Times New Roman"/>
          <w:position w:val="-14"/>
        </w:rPr>
        <w:object w:dxaOrig="700" w:dyaOrig="380">
          <v:shape id="_x0000_i1033" type="#_x0000_t75" style="width:34.5pt;height:19.75pt" o:ole="">
            <v:imagedata r:id="rId27" o:title=""/>
          </v:shape>
          <o:OLEObject Type="Embed" ProgID="Equation.3" ShapeID="_x0000_i1033" DrawAspect="Content" ObjectID="_1494569086" r:id="rId28"/>
        </w:object>
      </w:r>
      <w:r w:rsidRPr="0009111F">
        <w:rPr>
          <w:rFonts w:ascii="Times New Roman" w:hAnsi="Times New Roman"/>
          <w:spacing w:val="-2"/>
          <w:szCs w:val="22"/>
        </w:rPr>
        <w:t>|</w:t>
      </w:r>
      <w:r w:rsidRPr="0009111F">
        <w:rPr>
          <w:rFonts w:ascii="Times New Roman" w:hAnsi="Times New Roman"/>
          <w:spacing w:val="-2"/>
          <w:szCs w:val="22"/>
          <w:vertAlign w:val="subscript"/>
        </w:rPr>
        <w:t xml:space="preserve"> </w:t>
      </w:r>
      <w:r w:rsidRPr="0009111F">
        <w:rPr>
          <w:rFonts w:ascii="Times New Roman" w:hAnsi="Times New Roman"/>
        </w:rPr>
        <w:t>/</w:t>
      </w:r>
      <w:r w:rsidRPr="0009111F">
        <w:rPr>
          <w:rFonts w:ascii="Times New Roman" w:hAnsi="Times New Roman"/>
          <w:vertAlign w:val="subscript"/>
        </w:rPr>
        <w:t xml:space="preserve"> </w:t>
      </w:r>
      <w:proofErr w:type="spellStart"/>
      <w:r w:rsidRPr="00D06ADA">
        <w:rPr>
          <w:rFonts w:ascii="Times New Roman" w:hAnsi="Times New Roman"/>
          <w:lang w:val="en-GB"/>
        </w:rPr>
        <w:t>Σ</w:t>
      </w:r>
      <w:r>
        <w:rPr>
          <w:rFonts w:ascii="Times New Roman" w:hAnsi="Times New Roman"/>
          <w:i/>
          <w:vertAlign w:val="subscript"/>
          <w:lang w:val="en-GB"/>
        </w:rPr>
        <w:t>i</w:t>
      </w:r>
      <w:r w:rsidRPr="003F0ED9">
        <w:rPr>
          <w:rFonts w:ascii="Times New Roman" w:hAnsi="Times New Roman"/>
          <w:i/>
          <w:vertAlign w:val="subscript"/>
          <w:lang w:val="en-GB"/>
        </w:rPr>
        <w:t>j</w:t>
      </w:r>
      <w:proofErr w:type="spellEnd"/>
      <w:r w:rsidRPr="0009111F">
        <w:rPr>
          <w:rFonts w:ascii="Times New Roman" w:hAnsi="Times New Roman"/>
          <w:vertAlign w:val="subscript"/>
          <w:lang w:val="en-GB"/>
        </w:rPr>
        <w:t xml:space="preserve"> </w:t>
      </w:r>
      <w:r w:rsidRPr="003F0ED9">
        <w:rPr>
          <w:rFonts w:ascii="Times New Roman" w:hAnsi="Times New Roman"/>
          <w:i/>
          <w:lang w:val="en-GB"/>
        </w:rPr>
        <w:t>r</w:t>
      </w:r>
      <w:r>
        <w:rPr>
          <w:rFonts w:ascii="Times New Roman" w:hAnsi="Times New Roman"/>
          <w:i/>
          <w:vertAlign w:val="subscript"/>
        </w:rPr>
        <w:t>i</w:t>
      </w:r>
      <w:r w:rsidRPr="003F0ED9">
        <w:rPr>
          <w:rFonts w:ascii="Times New Roman" w:hAnsi="Times New Roman"/>
          <w:i/>
          <w:vertAlign w:val="subscript"/>
        </w:rPr>
        <w:t>j</w:t>
      </w:r>
      <w:r>
        <w:rPr>
          <w:rFonts w:ascii="Times New Roman" w:hAnsi="Times New Roman"/>
        </w:rPr>
        <w:tab/>
        <w:t>(</w:t>
      </w:r>
      <w:r w:rsidR="00076C4B">
        <w:rPr>
          <w:rFonts w:ascii="Times New Roman" w:hAnsi="Times New Roman"/>
        </w:rPr>
        <w:t>9</w:t>
      </w:r>
      <w:r>
        <w:rPr>
          <w:rFonts w:ascii="Times New Roman" w:hAnsi="Times New Roman"/>
        </w:rPr>
        <w:t>)</w:t>
      </w:r>
    </w:p>
    <w:p w:rsidR="00C31E7C" w:rsidRDefault="00C31E7C" w:rsidP="004D5049">
      <w:pPr>
        <w:widowControl w:val="0"/>
        <w:tabs>
          <w:tab w:val="center" w:pos="4536"/>
          <w:tab w:val="right" w:pos="8931"/>
        </w:tabs>
        <w:spacing w:after="0" w:line="480" w:lineRule="auto"/>
        <w:ind w:right="-23"/>
      </w:pPr>
      <w:r>
        <w:tab/>
        <w:t>WMAE</w:t>
      </w:r>
      <w:r w:rsidRPr="0009111F">
        <w:t xml:space="preserve"> = </w:t>
      </w:r>
      <w:r w:rsidR="005B5536">
        <w:t>(1/</w:t>
      </w:r>
      <w:r w:rsidR="005B5536">
        <w:rPr>
          <w:i/>
        </w:rPr>
        <w:t>n</w:t>
      </w:r>
      <w:r>
        <w:t>)</w:t>
      </w:r>
      <w:proofErr w:type="spellStart"/>
      <w:r w:rsidRPr="0009111F">
        <w:t>Σ</w:t>
      </w:r>
      <w:r w:rsidRPr="00B335EC">
        <w:rPr>
          <w:i/>
          <w:vertAlign w:val="subscript"/>
        </w:rPr>
        <w:t>j</w:t>
      </w:r>
      <w:proofErr w:type="spellEnd"/>
      <w:r w:rsidRPr="0009111F">
        <w:rPr>
          <w:vertAlign w:val="subscript"/>
        </w:rPr>
        <w:t xml:space="preserve"> </w:t>
      </w:r>
      <w:proofErr w:type="spellStart"/>
      <w:r w:rsidRPr="0024027F">
        <w:rPr>
          <w:i/>
        </w:rPr>
        <w:t>w</w:t>
      </w:r>
      <w:r w:rsidRPr="0024027F">
        <w:rPr>
          <w:i/>
          <w:vertAlign w:val="subscript"/>
        </w:rPr>
        <w:t>j</w:t>
      </w:r>
      <w:proofErr w:type="spellEnd"/>
      <w:r w:rsidRPr="0009111F">
        <w:rPr>
          <w:vertAlign w:val="subscript"/>
        </w:rPr>
        <w:t xml:space="preserve"> </w:t>
      </w:r>
      <w:proofErr w:type="spellStart"/>
      <w:r w:rsidRPr="0009111F">
        <w:t>Σ</w:t>
      </w:r>
      <w:r>
        <w:rPr>
          <w:i/>
          <w:vertAlign w:val="subscript"/>
        </w:rPr>
        <w:t>i</w:t>
      </w:r>
      <w:proofErr w:type="spellEnd"/>
      <w:r w:rsidRPr="0009111F">
        <w:rPr>
          <w:spacing w:val="-2"/>
          <w:szCs w:val="22"/>
        </w:rPr>
        <w:t xml:space="preserve"> |</w:t>
      </w:r>
      <w:r w:rsidR="001748BD" w:rsidRPr="00BF1DA4">
        <w:rPr>
          <w:position w:val="-14"/>
        </w:rPr>
        <w:object w:dxaOrig="700" w:dyaOrig="380">
          <v:shape id="_x0000_i1034" type="#_x0000_t75" style="width:34.5pt;height:19.75pt" o:ole="">
            <v:imagedata r:id="rId29" o:title=""/>
          </v:shape>
          <o:OLEObject Type="Embed" ProgID="Equation.3" ShapeID="_x0000_i1034" DrawAspect="Content" ObjectID="_1494569087" r:id="rId30"/>
        </w:object>
      </w:r>
      <w:r w:rsidRPr="0009111F">
        <w:rPr>
          <w:spacing w:val="-2"/>
          <w:szCs w:val="22"/>
        </w:rPr>
        <w:t>|</w:t>
      </w:r>
      <w:r>
        <w:tab/>
        <w:t>(</w:t>
      </w:r>
      <w:r w:rsidR="00076C4B">
        <w:t>10</w:t>
      </w:r>
      <w:r>
        <w:t>)</w:t>
      </w:r>
    </w:p>
    <w:p w:rsidR="00C31E7C" w:rsidRPr="00D12F8F" w:rsidRDefault="00C31E7C" w:rsidP="000D7940">
      <w:pPr>
        <w:pStyle w:val="Normaali1"/>
        <w:tabs>
          <w:tab w:val="left" w:pos="567"/>
          <w:tab w:val="center" w:pos="4536"/>
          <w:tab w:val="right" w:pos="8931"/>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r>
      <w:r w:rsidRPr="00257882">
        <w:rPr>
          <w:rFonts w:ascii="Times New Roman" w:hAnsi="Times New Roman"/>
          <w:szCs w:val="24"/>
        </w:rPr>
        <w:t>Ũ</w:t>
      </w:r>
      <w:r w:rsidRPr="00257882">
        <w:rPr>
          <w:rFonts w:ascii="Times New Roman" w:hAnsi="Times New Roman"/>
          <w:szCs w:val="24"/>
          <w:vertAlign w:val="superscript"/>
        </w:rPr>
        <w:t>S</w:t>
      </w:r>
      <w:r w:rsidRPr="00257882">
        <w:rPr>
          <w:rFonts w:ascii="Times New Roman" w:hAnsi="Times New Roman"/>
          <w:szCs w:val="24"/>
        </w:rPr>
        <w:t xml:space="preserve"> </w:t>
      </w:r>
      <w:r w:rsidRPr="0009111F">
        <w:rPr>
          <w:rFonts w:ascii="Times New Roman" w:hAnsi="Times New Roman"/>
          <w:lang w:val="en-GB"/>
        </w:rPr>
        <w:t xml:space="preserve">= </w:t>
      </w:r>
      <w:r w:rsidR="00FA50BB" w:rsidRPr="00BF1DA4">
        <w:rPr>
          <w:rFonts w:ascii="Times New Roman" w:hAnsi="Times New Roman"/>
          <w:position w:val="-14"/>
        </w:rPr>
        <w:object w:dxaOrig="1719" w:dyaOrig="420">
          <v:shape id="_x0000_i1035" type="#_x0000_t75" style="width:86.2pt;height:20.8pt" o:ole="">
            <v:imagedata r:id="rId31" o:title=""/>
          </v:shape>
          <o:OLEObject Type="Embed" ProgID="Equation.3" ShapeID="_x0000_i1035" DrawAspect="Content" ObjectID="_1494569088" r:id="rId32"/>
        </w:object>
      </w:r>
      <w:r>
        <w:rPr>
          <w:rFonts w:ascii="Times New Roman" w:hAnsi="Times New Roman"/>
        </w:rPr>
        <w:tab/>
        <w:t>(1</w:t>
      </w:r>
      <w:r w:rsidR="00076C4B">
        <w:rPr>
          <w:rFonts w:ascii="Times New Roman" w:hAnsi="Times New Roman"/>
        </w:rPr>
        <w:t>1</w:t>
      </w:r>
      <w:r>
        <w:rPr>
          <w:rFonts w:ascii="Times New Roman" w:hAnsi="Times New Roman"/>
        </w:rPr>
        <w:t>)</w:t>
      </w:r>
    </w:p>
    <w:p w:rsidR="00C31E7C" w:rsidRDefault="00C31E7C" w:rsidP="000D7940">
      <w:pPr>
        <w:pStyle w:val="Normaali1"/>
        <w:tabs>
          <w:tab w:val="left" w:pos="567"/>
          <w:tab w:val="center" w:pos="4536"/>
          <w:tab w:val="right" w:pos="8931"/>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r>
      <w:r w:rsidRPr="00257882">
        <w:rPr>
          <w:rFonts w:ascii="Times New Roman" w:hAnsi="Times New Roman"/>
          <w:szCs w:val="24"/>
        </w:rPr>
        <w:t>Ũ</w:t>
      </w:r>
      <w:r>
        <w:rPr>
          <w:rFonts w:ascii="Times New Roman" w:hAnsi="Times New Roman"/>
          <w:szCs w:val="24"/>
          <w:vertAlign w:val="superscript"/>
        </w:rPr>
        <w:t>M</w:t>
      </w:r>
      <w:r w:rsidRPr="0009111F">
        <w:rPr>
          <w:rFonts w:ascii="Times New Roman" w:hAnsi="Times New Roman"/>
          <w:lang w:val="en-GB"/>
        </w:rPr>
        <w:t xml:space="preserve"> = </w:t>
      </w:r>
      <w:r w:rsidR="00FA50BB" w:rsidRPr="00BF1DA4">
        <w:rPr>
          <w:rFonts w:ascii="Times New Roman" w:hAnsi="Times New Roman"/>
          <w:position w:val="-14"/>
        </w:rPr>
        <w:object w:dxaOrig="1660" w:dyaOrig="420">
          <v:shape id="_x0000_i1036" type="#_x0000_t75" style="width:82.65pt;height:20.8pt" o:ole="">
            <v:imagedata r:id="rId33" o:title=""/>
          </v:shape>
          <o:OLEObject Type="Embed" ProgID="Equation.3" ShapeID="_x0000_i1036" DrawAspect="Content" ObjectID="_1494569089" r:id="rId34"/>
        </w:object>
      </w:r>
      <w:r>
        <w:rPr>
          <w:rFonts w:ascii="Times New Roman" w:hAnsi="Times New Roman"/>
        </w:rPr>
        <w:tab/>
        <w:t>(1</w:t>
      </w:r>
      <w:r w:rsidR="00076C4B">
        <w:rPr>
          <w:rFonts w:ascii="Times New Roman" w:hAnsi="Times New Roman"/>
        </w:rPr>
        <w:t>2</w:t>
      </w:r>
      <w:r>
        <w:rPr>
          <w:rFonts w:ascii="Times New Roman" w:hAnsi="Times New Roman"/>
        </w:rPr>
        <w:t>)</w:t>
      </w:r>
    </w:p>
    <w:p w:rsidR="00C31E7C" w:rsidRPr="00D12F8F" w:rsidRDefault="00C31E7C" w:rsidP="000D7940">
      <w:pPr>
        <w:pStyle w:val="Normaali1"/>
        <w:tabs>
          <w:tab w:val="left" w:pos="567"/>
          <w:tab w:val="center" w:pos="4536"/>
          <w:tab w:val="right" w:pos="8931"/>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t>U</w:t>
      </w:r>
      <w:r w:rsidRPr="0009111F">
        <w:rPr>
          <w:rFonts w:ascii="Times New Roman" w:hAnsi="Times New Roman"/>
          <w:lang w:val="en-GB"/>
        </w:rPr>
        <w:t xml:space="preserve"> = 100</w:t>
      </w:r>
      <w:r w:rsidRPr="00EE1F50">
        <w:rPr>
          <w:rFonts w:ascii="Times New Roman" w:hAnsi="Times New Roman"/>
          <w:position w:val="-36"/>
        </w:rPr>
        <w:object w:dxaOrig="1420" w:dyaOrig="859">
          <v:shape id="_x0000_i1037" type="#_x0000_t75" style="width:70.5pt;height:42.6pt" o:ole="">
            <v:imagedata r:id="rId35" o:title=""/>
          </v:shape>
          <o:OLEObject Type="Embed" ProgID="Equation.3" ShapeID="_x0000_i1037" DrawAspect="Content" ObjectID="_1494569090" r:id="rId36"/>
        </w:object>
      </w:r>
      <w:r>
        <w:rPr>
          <w:rFonts w:ascii="Times New Roman" w:hAnsi="Times New Roman"/>
        </w:rPr>
        <w:tab/>
        <w:t>(1</w:t>
      </w:r>
      <w:r w:rsidR="00076C4B">
        <w:rPr>
          <w:rFonts w:ascii="Times New Roman" w:hAnsi="Times New Roman"/>
        </w:rPr>
        <w:t>3</w:t>
      </w:r>
      <w:r>
        <w:rPr>
          <w:rFonts w:ascii="Times New Roman" w:hAnsi="Times New Roman"/>
        </w:rPr>
        <w:t>)</w:t>
      </w:r>
    </w:p>
    <w:p w:rsidR="001B16AE" w:rsidRDefault="001835F8" w:rsidP="001B16AE">
      <w:pPr>
        <w:widowControl w:val="0"/>
        <w:spacing w:after="0" w:line="480" w:lineRule="auto"/>
        <w:ind w:firstLine="0"/>
      </w:pPr>
      <w:r>
        <w:t xml:space="preserve">where </w:t>
      </w:r>
      <w:r w:rsidR="008C4E88" w:rsidRPr="0009111F">
        <w:rPr>
          <w:position w:val="-14"/>
        </w:rPr>
        <w:object w:dxaOrig="240" w:dyaOrig="380">
          <v:shape id="_x0000_i1038" type="#_x0000_t75" style="width:12.7pt;height:18.75pt" o:ole="">
            <v:imagedata r:id="rId37" o:title=""/>
          </v:shape>
          <o:OLEObject Type="Embed" ProgID="Equation.3" ShapeID="_x0000_i1038" DrawAspect="Content" ObjectID="_1494569091" r:id="rId38"/>
        </w:object>
      </w:r>
      <w:proofErr w:type="gramStart"/>
      <w:r w:rsidRPr="00D22064">
        <w:t xml:space="preserve"> </w:t>
      </w:r>
      <w:r w:rsidRPr="0009111F">
        <w:t xml:space="preserve">is the estimated </w:t>
      </w:r>
      <w:r w:rsidR="00B64154">
        <w:t xml:space="preserve">regional </w:t>
      </w:r>
      <w:r w:rsidR="00CE0C89">
        <w:t>input coefficient</w:t>
      </w:r>
      <w:r w:rsidR="005B5536">
        <w:t>,</w:t>
      </w:r>
      <w:r w:rsidR="00CE0C89" w:rsidRPr="00CE0C89">
        <w:rPr>
          <w:i/>
          <w:color w:val="000000"/>
        </w:rPr>
        <w:t xml:space="preserve"> </w:t>
      </w:r>
      <w:r w:rsidR="00CE0C89" w:rsidRPr="005C5CDD">
        <w:rPr>
          <w:i/>
          <w:color w:val="000000"/>
        </w:rPr>
        <w:t>r</w:t>
      </w:r>
      <w:r w:rsidR="00CE0C89" w:rsidRPr="005C5CDD">
        <w:rPr>
          <w:i/>
          <w:color w:val="000000"/>
          <w:vertAlign w:val="subscript"/>
        </w:rPr>
        <w:t>ij</w:t>
      </w:r>
      <w:proofErr w:type="gramEnd"/>
      <w:r w:rsidR="00CE0C89">
        <w:t xml:space="preserve"> </w:t>
      </w:r>
      <w:r w:rsidRPr="0009111F">
        <w:t xml:space="preserve">is the corresponding </w:t>
      </w:r>
      <w:r>
        <w:t xml:space="preserve">benchmark value (derived from the survey-based coefficient matrix for </w:t>
      </w:r>
      <w:r>
        <w:rPr>
          <w:lang w:val="en-US"/>
        </w:rPr>
        <w:t>C</w:t>
      </w:r>
      <w:r w:rsidRPr="0010320B">
        <w:rPr>
          <w:lang w:val="en-US"/>
        </w:rPr>
        <w:t>ó</w:t>
      </w:r>
      <w:r>
        <w:rPr>
          <w:lang w:val="en-US"/>
        </w:rPr>
        <w:t>rdoba</w:t>
      </w:r>
      <w:r w:rsidR="00604D7A">
        <w:rPr>
          <w:lang w:val="en-US"/>
        </w:rPr>
        <w:t xml:space="preserve"> in 2003</w:t>
      </w:r>
      <w:r>
        <w:t>)</w:t>
      </w:r>
      <w:r w:rsidR="005B5536">
        <w:t xml:space="preserve"> and </w:t>
      </w:r>
      <w:r w:rsidR="005B5536">
        <w:rPr>
          <w:i/>
        </w:rPr>
        <w:t>n</w:t>
      </w:r>
      <w:r w:rsidR="005B5536">
        <w:t xml:space="preserve"> </w:t>
      </w:r>
      <w:r w:rsidR="00096E48">
        <w:t xml:space="preserve">= 28 </w:t>
      </w:r>
      <w:r w:rsidR="005B5536">
        <w:t>is the number of sectors</w:t>
      </w:r>
      <w:r>
        <w:t xml:space="preserve">. </w:t>
      </w:r>
      <w:r w:rsidRPr="0009111F">
        <w:t xml:space="preserve"> </w:t>
      </w:r>
      <w:r>
        <w:t xml:space="preserve">STPE and WMAE denote the standardized total percentage error and the weighted mean absolute error, respectively.  </w:t>
      </w:r>
      <w:proofErr w:type="spellStart"/>
      <w:r w:rsidRPr="0024027F">
        <w:rPr>
          <w:i/>
        </w:rPr>
        <w:t>w</w:t>
      </w:r>
      <w:r w:rsidRPr="0024027F">
        <w:rPr>
          <w:i/>
          <w:vertAlign w:val="subscript"/>
        </w:rPr>
        <w:t>j</w:t>
      </w:r>
      <w:proofErr w:type="spellEnd"/>
      <w:r>
        <w:t xml:space="preserve"> is the proportion of total regional output </w:t>
      </w:r>
      <w:r>
        <w:lastRenderedPageBreak/>
        <w:t xml:space="preserve">produced in sector </w:t>
      </w:r>
      <w:r>
        <w:rPr>
          <w:i/>
        </w:rPr>
        <w:t>j</w:t>
      </w:r>
      <w:r>
        <w:t xml:space="preserve">.  </w:t>
      </w:r>
      <w:r w:rsidRPr="00257882">
        <w:t>Ũ</w:t>
      </w:r>
      <w:r>
        <w:rPr>
          <w:vertAlign w:val="superscript"/>
        </w:rPr>
        <w:t>M</w:t>
      </w:r>
      <w:r>
        <w:t xml:space="preserve"> and </w:t>
      </w:r>
      <w:r w:rsidRPr="00257882">
        <w:t>Ũ</w:t>
      </w:r>
      <w:r w:rsidRPr="00257882">
        <w:rPr>
          <w:vertAlign w:val="superscript"/>
        </w:rPr>
        <w:t>S</w:t>
      </w:r>
      <w:r>
        <w:t>, where m</w:t>
      </w:r>
      <w:r w:rsidRPr="0009111F">
        <w:t>(</w:t>
      </w:r>
      <w:r w:rsidR="001748BD">
        <w:t xml:space="preserve"> </w:t>
      </w:r>
      <w:r w:rsidRPr="0009111F">
        <w:t xml:space="preserve">) </w:t>
      </w:r>
      <w:r>
        <w:t xml:space="preserve">is </w:t>
      </w:r>
      <w:r w:rsidRPr="0009111F">
        <w:t>the</w:t>
      </w:r>
      <w:r>
        <w:t xml:space="preserve"> mean</w:t>
      </w:r>
      <w:r w:rsidRPr="005C5CDD">
        <w:t xml:space="preserve"> </w:t>
      </w:r>
      <w:r>
        <w:t xml:space="preserve">and </w:t>
      </w:r>
      <w:r w:rsidRPr="005C5CDD">
        <w:t>sd</w:t>
      </w:r>
      <w:r w:rsidRPr="0009111F">
        <w:t>(</w:t>
      </w:r>
      <w:r>
        <w:t xml:space="preserve"> </w:t>
      </w:r>
      <w:r w:rsidRPr="0009111F">
        <w:t xml:space="preserve">) </w:t>
      </w:r>
      <w:r>
        <w:t>is the</w:t>
      </w:r>
      <w:r w:rsidRPr="0009111F">
        <w:t xml:space="preserve"> standard deviation</w:t>
      </w:r>
      <w:r>
        <w:t xml:space="preserve">, are components of the mean squared error (MSE); they are included to assess how far each method is able to (i) avoid bias and (ii) replicate the dispersion of the benchmark distribution of </w:t>
      </w:r>
      <w:r w:rsidR="00B64154">
        <w:t>coefficien</w:t>
      </w:r>
      <w:r>
        <w:t>ts.</w:t>
      </w:r>
      <w:r w:rsidR="004B0D1A">
        <w:rPr>
          <w:b/>
          <w:vertAlign w:val="superscript"/>
        </w:rPr>
        <w:t>1</w:t>
      </w:r>
      <w:r w:rsidR="00AD53FA">
        <w:rPr>
          <w:b/>
          <w:vertAlign w:val="superscript"/>
        </w:rPr>
        <w:t>2</w:t>
      </w:r>
      <w:r>
        <w:t xml:space="preserve">  Finally, U is Theil’s well-known </w:t>
      </w:r>
      <w:r w:rsidR="001406E0">
        <w:t>index of inequality</w:t>
      </w:r>
      <w:r>
        <w:t>, which has the merit that it encompasses both bias and variance (T</w:t>
      </w:r>
      <w:r w:rsidRPr="00BF3F05">
        <w:t>heil</w:t>
      </w:r>
      <w:r>
        <w:rPr>
          <w:sz w:val="20"/>
        </w:rPr>
        <w:t xml:space="preserve"> </w:t>
      </w:r>
      <w:r w:rsidRPr="009F5FB9">
        <w:t>et al.</w:t>
      </w:r>
      <w:r w:rsidRPr="00410A8C">
        <w:t>, 1966</w:t>
      </w:r>
      <w:r w:rsidR="00F6456B">
        <w:t xml:space="preserve">, pp. </w:t>
      </w:r>
      <w:r w:rsidR="00F6456B" w:rsidRPr="00F6456B">
        <w:t>15</w:t>
      </w:r>
      <w:r w:rsidR="00F6456B" w:rsidRPr="00F6456B">
        <w:sym w:font="Symbol" w:char="F02D"/>
      </w:r>
      <w:r w:rsidR="00F6456B" w:rsidRPr="00F6456B">
        <w:t>43</w:t>
      </w:r>
      <w:r w:rsidRPr="00410A8C">
        <w:t>)</w:t>
      </w:r>
      <w:r>
        <w:t>.</w:t>
      </w:r>
    </w:p>
    <w:p w:rsidR="001B16AE" w:rsidRDefault="001B16AE" w:rsidP="001B16AE">
      <w:pPr>
        <w:widowControl w:val="0"/>
        <w:spacing w:after="0" w:line="480" w:lineRule="auto"/>
        <w:ind w:firstLine="0"/>
        <w:jc w:val="center"/>
        <w:rPr>
          <w:b/>
          <w:lang w:val="en-US"/>
        </w:rPr>
      </w:pPr>
      <w:r>
        <w:rPr>
          <w:b/>
          <w:lang w:val="en-US"/>
        </w:rPr>
        <w:t>Table 2 near here</w:t>
      </w:r>
    </w:p>
    <w:p w:rsidR="00A352AF" w:rsidRPr="00D15AC8" w:rsidRDefault="00EC7545" w:rsidP="00D64206">
      <w:pPr>
        <w:widowControl w:val="0"/>
        <w:tabs>
          <w:tab w:val="left" w:pos="426"/>
        </w:tabs>
        <w:spacing w:after="0" w:line="480" w:lineRule="auto"/>
        <w:ind w:firstLine="0"/>
        <w:rPr>
          <w:lang w:val="en-US"/>
        </w:rPr>
      </w:pPr>
      <w:r>
        <w:tab/>
      </w:r>
      <w:r w:rsidR="001835F8">
        <w:t>A selection of results is presented in Table 2</w:t>
      </w:r>
      <w:r>
        <w:t>, where t</w:t>
      </w:r>
      <w:r w:rsidR="003D21F5">
        <w:t xml:space="preserve">he outcomes from the </w:t>
      </w:r>
      <w:r w:rsidR="00644008">
        <w:t>S</w:t>
      </w:r>
      <w:r w:rsidR="003D21F5">
        <w:t xml:space="preserve">LQ, </w:t>
      </w:r>
      <w:r w:rsidR="00644008">
        <w:t>CI</w:t>
      </w:r>
      <w:r w:rsidR="003D21F5">
        <w:t xml:space="preserve">LQ and </w:t>
      </w:r>
      <w:r w:rsidR="00644008">
        <w:t>F</w:t>
      </w:r>
      <w:r w:rsidR="003D21F5">
        <w:t xml:space="preserve">LQ will be examined first.  </w:t>
      </w:r>
      <w:r w:rsidR="00217E96">
        <w:rPr>
          <w:lang w:val="en-US"/>
        </w:rPr>
        <w:t>T</w:t>
      </w:r>
      <w:r w:rsidR="00680FB4">
        <w:rPr>
          <w:lang w:val="en-US"/>
        </w:rPr>
        <w:t>h</w:t>
      </w:r>
      <w:r w:rsidR="00217E96">
        <w:rPr>
          <w:lang w:val="en-US"/>
        </w:rPr>
        <w:t xml:space="preserve">e </w:t>
      </w:r>
      <w:r w:rsidR="00680FB4">
        <w:rPr>
          <w:lang w:val="en-US"/>
        </w:rPr>
        <w:t>table</w:t>
      </w:r>
      <w:r w:rsidR="00217E96">
        <w:rPr>
          <w:lang w:val="en-US"/>
        </w:rPr>
        <w:t xml:space="preserve"> </w:t>
      </w:r>
      <w:r w:rsidR="0080461C">
        <w:rPr>
          <w:lang w:val="en-US"/>
        </w:rPr>
        <w:t>reveals</w:t>
      </w:r>
      <w:r w:rsidR="00173773">
        <w:rPr>
          <w:lang w:val="en-US"/>
        </w:rPr>
        <w:t xml:space="preserve"> that the FLQ outperforms the SLQ in terms of all criteria</w:t>
      </w:r>
      <w:r w:rsidR="00323BEE">
        <w:rPr>
          <w:lang w:val="en-US"/>
        </w:rPr>
        <w:t>, which</w:t>
      </w:r>
      <w:r w:rsidR="00173773">
        <w:rPr>
          <w:lang w:val="en-US"/>
        </w:rPr>
        <w:t xml:space="preserve"> is</w:t>
      </w:r>
      <w:r w:rsidR="00F0676F">
        <w:rPr>
          <w:lang w:val="en-US"/>
        </w:rPr>
        <w:t xml:space="preserve"> </w:t>
      </w:r>
      <w:r w:rsidR="00557D74">
        <w:rPr>
          <w:lang w:val="en-US"/>
        </w:rPr>
        <w:t xml:space="preserve">in </w:t>
      </w:r>
      <w:r w:rsidR="00A71459">
        <w:rPr>
          <w:lang w:val="en-US"/>
        </w:rPr>
        <w:t>accord</w:t>
      </w:r>
      <w:r w:rsidR="00557D74">
        <w:rPr>
          <w:lang w:val="en-US"/>
        </w:rPr>
        <w:t xml:space="preserve"> with </w:t>
      </w:r>
      <w:r w:rsidR="00B13098">
        <w:rPr>
          <w:lang w:val="en-US"/>
        </w:rPr>
        <w:t xml:space="preserve">the findings of </w:t>
      </w:r>
      <w:r w:rsidR="00B32762">
        <w:rPr>
          <w:color w:val="000000"/>
        </w:rPr>
        <w:t>Flegg and Tohmo</w:t>
      </w:r>
      <w:r w:rsidR="00B13098">
        <w:rPr>
          <w:color w:val="000000"/>
        </w:rPr>
        <w:t xml:space="preserve"> (</w:t>
      </w:r>
      <w:r w:rsidR="00B32762">
        <w:rPr>
          <w:color w:val="000000"/>
        </w:rPr>
        <w:t>2013a,</w:t>
      </w:r>
      <w:r w:rsidR="00104B56">
        <w:rPr>
          <w:color w:val="000000"/>
        </w:rPr>
        <w:t xml:space="preserve"> 2014</w:t>
      </w:r>
      <w:r w:rsidR="00B13098">
        <w:rPr>
          <w:color w:val="000000"/>
        </w:rPr>
        <w:t>) and</w:t>
      </w:r>
      <w:r w:rsidR="00B32762">
        <w:rPr>
          <w:color w:val="000000"/>
        </w:rPr>
        <w:t xml:space="preserve"> </w:t>
      </w:r>
      <w:r w:rsidR="00B32762" w:rsidRPr="004B5D17">
        <w:rPr>
          <w:color w:val="000000"/>
        </w:rPr>
        <w:t>Kowalewski</w:t>
      </w:r>
      <w:r w:rsidR="00B13098">
        <w:rPr>
          <w:color w:val="000000"/>
        </w:rPr>
        <w:t xml:space="preserve"> (</w:t>
      </w:r>
      <w:r w:rsidR="00B32762" w:rsidRPr="004B5D17">
        <w:rPr>
          <w:color w:val="000000"/>
        </w:rPr>
        <w:t>201</w:t>
      </w:r>
      <w:r w:rsidR="00CD1EE8">
        <w:rPr>
          <w:color w:val="000000"/>
        </w:rPr>
        <w:t>5</w:t>
      </w:r>
      <w:r w:rsidR="00B32762" w:rsidRPr="004B5D17">
        <w:rPr>
          <w:color w:val="000000"/>
        </w:rPr>
        <w:t>)</w:t>
      </w:r>
      <w:r w:rsidR="00CB0C0A">
        <w:rPr>
          <w:color w:val="000000"/>
        </w:rPr>
        <w:t>.</w:t>
      </w:r>
      <w:r w:rsidR="00CB0C0A">
        <w:rPr>
          <w:b/>
          <w:vertAlign w:val="superscript"/>
          <w:lang w:val="en-US"/>
        </w:rPr>
        <w:t>13</w:t>
      </w:r>
      <w:r w:rsidR="00CB0C0A" w:rsidRPr="00CB0C0A">
        <w:rPr>
          <w:lang w:val="en-US"/>
        </w:rPr>
        <w:t xml:space="preserve">  </w:t>
      </w:r>
      <w:r w:rsidR="00D64206">
        <w:rPr>
          <w:lang w:val="en-US"/>
        </w:rPr>
        <w:t>T</w:t>
      </w:r>
      <w:r w:rsidR="00323BEE">
        <w:rPr>
          <w:lang w:val="en-US"/>
        </w:rPr>
        <w:t xml:space="preserve">he </w:t>
      </w:r>
      <w:r w:rsidR="00CA7F57">
        <w:rPr>
          <w:lang w:val="en-US"/>
        </w:rPr>
        <w:t>CILQ</w:t>
      </w:r>
      <w:r w:rsidR="00D64206">
        <w:rPr>
          <w:lang w:val="en-US"/>
        </w:rPr>
        <w:t xml:space="preserve"> is the </w:t>
      </w:r>
      <w:r w:rsidR="00104B56">
        <w:rPr>
          <w:lang w:val="en-US"/>
        </w:rPr>
        <w:t>least accurate</w:t>
      </w:r>
      <w:r w:rsidR="00D64206">
        <w:rPr>
          <w:lang w:val="en-US"/>
        </w:rPr>
        <w:t xml:space="preserve"> of the three methods</w:t>
      </w:r>
      <w:r w:rsidR="00CF6AF8">
        <w:rPr>
          <w:lang w:val="en-US"/>
        </w:rPr>
        <w:t>,</w:t>
      </w:r>
      <w:r w:rsidR="00281C79">
        <w:rPr>
          <w:lang w:val="en-US"/>
        </w:rPr>
        <w:t xml:space="preserve"> </w:t>
      </w:r>
      <w:r w:rsidR="0080461C">
        <w:rPr>
          <w:lang w:val="en-US"/>
        </w:rPr>
        <w:t>al</w:t>
      </w:r>
      <w:r w:rsidR="00281C79">
        <w:rPr>
          <w:lang w:val="en-US"/>
        </w:rPr>
        <w:t xml:space="preserve">though it does perform </w:t>
      </w:r>
      <w:r w:rsidR="00AE4C8C">
        <w:rPr>
          <w:lang w:val="en-US"/>
        </w:rPr>
        <w:t>relative</w:t>
      </w:r>
      <w:r w:rsidR="00281C79">
        <w:rPr>
          <w:lang w:val="en-US"/>
        </w:rPr>
        <w:t>ly well in terms of the WMAE</w:t>
      </w:r>
      <w:r w:rsidR="00D64206">
        <w:rPr>
          <w:lang w:val="en-US"/>
        </w:rPr>
        <w:t>.</w:t>
      </w:r>
      <w:r w:rsidR="0007354E">
        <w:rPr>
          <w:lang w:val="en-US"/>
        </w:rPr>
        <w:t xml:space="preserve">  </w:t>
      </w:r>
      <w:r w:rsidR="006F2E10">
        <w:rPr>
          <w:color w:val="000000"/>
        </w:rPr>
        <w:t>Flegg and Tohmo (201</w:t>
      </w:r>
      <w:r w:rsidR="00104B56">
        <w:rPr>
          <w:color w:val="000000"/>
        </w:rPr>
        <w:t>4</w:t>
      </w:r>
      <w:r w:rsidR="006F2E10">
        <w:rPr>
          <w:lang w:val="en-US"/>
        </w:rPr>
        <w:t>) also found the CILQ to be the worst</w:t>
      </w:r>
      <w:r w:rsidR="006F45FD">
        <w:rPr>
          <w:lang w:val="en-US"/>
        </w:rPr>
        <w:t xml:space="preserve"> of the four methods they examined using Finnish data</w:t>
      </w:r>
      <w:r w:rsidR="0007354E">
        <w:rPr>
          <w:lang w:val="en-US"/>
        </w:rPr>
        <w:t>.</w:t>
      </w:r>
    </w:p>
    <w:p w:rsidR="00673685" w:rsidRDefault="00673685" w:rsidP="00D64206">
      <w:pPr>
        <w:widowControl w:val="0"/>
        <w:tabs>
          <w:tab w:val="left" w:pos="426"/>
        </w:tabs>
        <w:spacing w:after="0" w:line="480" w:lineRule="auto"/>
        <w:ind w:firstLine="0"/>
        <w:rPr>
          <w:color w:val="000000"/>
        </w:rPr>
      </w:pPr>
      <w:r>
        <w:rPr>
          <w:lang w:val="en-US"/>
        </w:rPr>
        <w:tab/>
      </w:r>
      <w:r w:rsidR="00F41683">
        <w:rPr>
          <w:lang w:val="en-US"/>
        </w:rPr>
        <w:t xml:space="preserve">Table </w:t>
      </w:r>
      <w:r w:rsidR="00217E96">
        <w:rPr>
          <w:lang w:val="en-US"/>
        </w:rPr>
        <w:t>2</w:t>
      </w:r>
      <w:r w:rsidR="00F41683">
        <w:rPr>
          <w:lang w:val="en-US"/>
        </w:rPr>
        <w:t xml:space="preserve"> </w:t>
      </w:r>
      <w:r w:rsidR="00F272A3">
        <w:rPr>
          <w:lang w:val="en-US"/>
        </w:rPr>
        <w:t xml:space="preserve">records a </w:t>
      </w:r>
      <w:r w:rsidR="00F272A3">
        <w:rPr>
          <w:color w:val="000000"/>
        </w:rPr>
        <w:t xml:space="preserve">somewhat higher optimal </w:t>
      </w:r>
      <w:r w:rsidR="00F272A3" w:rsidRPr="00B335EC">
        <w:rPr>
          <w:i/>
          <w:color w:val="000000"/>
        </w:rPr>
        <w:t>δ</w:t>
      </w:r>
      <w:r w:rsidR="00F272A3">
        <w:rPr>
          <w:color w:val="000000"/>
        </w:rPr>
        <w:t xml:space="preserve"> for</w:t>
      </w:r>
      <w:r w:rsidR="00F41683">
        <w:rPr>
          <w:lang w:val="en-US"/>
        </w:rPr>
        <w:t xml:space="preserve"> </w:t>
      </w:r>
      <w:r w:rsidR="007E6DA0">
        <w:rPr>
          <w:color w:val="000000"/>
        </w:rPr>
        <w:t>U</w:t>
      </w:r>
      <w:r w:rsidR="007E6DA0">
        <w:rPr>
          <w:lang w:val="en-US"/>
        </w:rPr>
        <w:t xml:space="preserve"> </w:t>
      </w:r>
      <w:r w:rsidR="00F41683">
        <w:rPr>
          <w:color w:val="000000"/>
        </w:rPr>
        <w:t>than</w:t>
      </w:r>
      <w:r w:rsidR="00F41683" w:rsidRPr="00F41683">
        <w:rPr>
          <w:color w:val="000000"/>
        </w:rPr>
        <w:t xml:space="preserve"> </w:t>
      </w:r>
      <w:r w:rsidR="00F272A3">
        <w:rPr>
          <w:color w:val="000000"/>
        </w:rPr>
        <w:t>for</w:t>
      </w:r>
      <w:r w:rsidR="003C332D">
        <w:rPr>
          <w:color w:val="000000"/>
        </w:rPr>
        <w:t xml:space="preserve"> </w:t>
      </w:r>
      <w:r w:rsidR="00F41683">
        <w:rPr>
          <w:color w:val="000000"/>
        </w:rPr>
        <w:t xml:space="preserve">the STPE.  This divergence can be explained by the different properties built into </w:t>
      </w:r>
      <w:r w:rsidR="003F1336">
        <w:rPr>
          <w:color w:val="000000"/>
        </w:rPr>
        <w:t>each formula</w:t>
      </w:r>
      <w:r w:rsidR="00F41683">
        <w:rPr>
          <w:color w:val="000000"/>
        </w:rPr>
        <w:t xml:space="preserve">: by squaring the term </w:t>
      </w:r>
      <w:r w:rsidR="00F41683" w:rsidRPr="0009111F">
        <w:rPr>
          <w:position w:val="-14"/>
        </w:rPr>
        <w:object w:dxaOrig="840" w:dyaOrig="380">
          <v:shape id="_x0000_i1039" type="#_x0000_t75" style="width:44.6pt;height:18.75pt" o:ole="">
            <v:imagedata r:id="rId39" o:title=""/>
          </v:shape>
          <o:OLEObject Type="Embed" ProgID="Equation.3" ShapeID="_x0000_i1039" DrawAspect="Content" ObjectID="_1494569092" r:id="rId40"/>
        </w:object>
      </w:r>
      <w:r w:rsidR="00F41683">
        <w:t xml:space="preserve">rather than taking </w:t>
      </w:r>
      <w:r w:rsidR="00D57D5A">
        <w:t>an</w:t>
      </w:r>
      <w:r w:rsidR="00F41683">
        <w:t xml:space="preserve"> absolute value</w:t>
      </w:r>
      <w:r w:rsidR="00F41683">
        <w:rPr>
          <w:color w:val="000000"/>
        </w:rPr>
        <w:t>, U p</w:t>
      </w:r>
      <w:r w:rsidR="007B1272">
        <w:rPr>
          <w:color w:val="000000"/>
        </w:rPr>
        <w:t>uts more</w:t>
      </w:r>
      <w:r w:rsidR="00F41683">
        <w:rPr>
          <w:color w:val="000000"/>
        </w:rPr>
        <w:t xml:space="preserve"> emphasis on avoid</w:t>
      </w:r>
      <w:r w:rsidR="007B1272">
        <w:rPr>
          <w:color w:val="000000"/>
        </w:rPr>
        <w:t>ing</w:t>
      </w:r>
      <w:r w:rsidR="00F41683">
        <w:rPr>
          <w:color w:val="000000"/>
        </w:rPr>
        <w:t xml:space="preserve"> large errors.  To achieve this, a larger </w:t>
      </w:r>
      <w:r w:rsidR="00F41683" w:rsidRPr="00B335EC">
        <w:rPr>
          <w:i/>
          <w:color w:val="000000"/>
        </w:rPr>
        <w:t>δ</w:t>
      </w:r>
      <w:r w:rsidR="00F41683">
        <w:rPr>
          <w:color w:val="000000"/>
        </w:rPr>
        <w:t xml:space="preserve"> is </w:t>
      </w:r>
      <w:r w:rsidR="00DD5517">
        <w:rPr>
          <w:color w:val="000000"/>
        </w:rPr>
        <w:t>n</w:t>
      </w:r>
      <w:r w:rsidR="00F41683">
        <w:rPr>
          <w:color w:val="000000"/>
        </w:rPr>
        <w:t>e</w:t>
      </w:r>
      <w:r w:rsidR="00DD5517">
        <w:rPr>
          <w:color w:val="000000"/>
        </w:rPr>
        <w:t>ed</w:t>
      </w:r>
      <w:r w:rsidR="00F41683">
        <w:rPr>
          <w:color w:val="000000"/>
        </w:rPr>
        <w:t>ed, namely 0.1</w:t>
      </w:r>
      <w:r w:rsidR="00351E79">
        <w:rPr>
          <w:color w:val="000000"/>
        </w:rPr>
        <w:t>39</w:t>
      </w:r>
      <w:r w:rsidR="00F41683">
        <w:rPr>
          <w:color w:val="000000"/>
        </w:rPr>
        <w:t xml:space="preserve"> rather than 0.1</w:t>
      </w:r>
      <w:r w:rsidR="00351E79">
        <w:rPr>
          <w:color w:val="000000"/>
        </w:rPr>
        <w:t>18</w:t>
      </w:r>
      <w:r w:rsidR="00F41683">
        <w:rPr>
          <w:color w:val="000000"/>
        </w:rPr>
        <w:t xml:space="preserve">.  </w:t>
      </w:r>
      <w:r w:rsidR="008601E9">
        <w:rPr>
          <w:lang w:val="en-US"/>
        </w:rPr>
        <w:t>An</w:t>
      </w:r>
      <w:r w:rsidR="00F41683">
        <w:rPr>
          <w:lang w:val="en-US"/>
        </w:rPr>
        <w:t>other</w:t>
      </w:r>
      <w:r w:rsidR="008601E9">
        <w:rPr>
          <w:lang w:val="en-US"/>
        </w:rPr>
        <w:t xml:space="preserve"> </w:t>
      </w:r>
      <w:r w:rsidR="00BA2D33">
        <w:rPr>
          <w:lang w:val="en-US"/>
        </w:rPr>
        <w:t>noteworthy</w:t>
      </w:r>
      <w:r w:rsidR="008601E9">
        <w:rPr>
          <w:lang w:val="en-US"/>
        </w:rPr>
        <w:t xml:space="preserve"> </w:t>
      </w:r>
      <w:r w:rsidR="007B1272">
        <w:rPr>
          <w:lang w:val="en-US"/>
        </w:rPr>
        <w:t>finding</w:t>
      </w:r>
      <w:r w:rsidR="008601E9">
        <w:rPr>
          <w:lang w:val="en-US"/>
        </w:rPr>
        <w:t xml:space="preserve"> is that </w:t>
      </w:r>
      <w:r w:rsidR="00F41683" w:rsidRPr="00257882">
        <w:t>Ũ</w:t>
      </w:r>
      <w:r w:rsidR="00F41683">
        <w:rPr>
          <w:vertAlign w:val="superscript"/>
        </w:rPr>
        <w:t>M</w:t>
      </w:r>
      <w:r w:rsidR="00F41683">
        <w:t xml:space="preserve"> is minimized when </w:t>
      </w:r>
      <w:r w:rsidR="00F41683" w:rsidRPr="00B335EC">
        <w:rPr>
          <w:i/>
          <w:color w:val="000000"/>
        </w:rPr>
        <w:t>δ</w:t>
      </w:r>
      <w:r w:rsidR="00F41683">
        <w:rPr>
          <w:color w:val="000000"/>
        </w:rPr>
        <w:t xml:space="preserve"> = 0.0</w:t>
      </w:r>
      <w:r w:rsidR="009C6E1F">
        <w:rPr>
          <w:color w:val="000000"/>
        </w:rPr>
        <w:t>8</w:t>
      </w:r>
      <w:r w:rsidR="00F41683">
        <w:rPr>
          <w:color w:val="000000"/>
        </w:rPr>
        <w:t xml:space="preserve">7, whereas U (which takes both bias and dispersion into account) </w:t>
      </w:r>
      <w:r w:rsidR="00BA2D33">
        <w:rPr>
          <w:color w:val="000000"/>
        </w:rPr>
        <w:t>requires</w:t>
      </w:r>
      <w:r w:rsidR="00F41683">
        <w:rPr>
          <w:color w:val="000000"/>
        </w:rPr>
        <w:t xml:space="preserve"> </w:t>
      </w:r>
      <w:r w:rsidR="00F41683" w:rsidRPr="00B335EC">
        <w:rPr>
          <w:i/>
          <w:color w:val="000000"/>
        </w:rPr>
        <w:t>δ</w:t>
      </w:r>
      <w:r w:rsidR="00F41683">
        <w:rPr>
          <w:color w:val="000000"/>
        </w:rPr>
        <w:t xml:space="preserve"> = 0.1</w:t>
      </w:r>
      <w:r w:rsidR="009C6E1F">
        <w:rPr>
          <w:color w:val="000000"/>
        </w:rPr>
        <w:t>39</w:t>
      </w:r>
      <w:r w:rsidR="00F41683">
        <w:rPr>
          <w:color w:val="000000"/>
        </w:rPr>
        <w:t xml:space="preserve">.  Thus </w:t>
      </w:r>
      <w:r w:rsidR="008601E9">
        <w:rPr>
          <w:lang w:val="en-US"/>
        </w:rPr>
        <w:t xml:space="preserve">a strategy of minimizing bias would necessitate using a relatively low value of </w:t>
      </w:r>
      <w:r w:rsidR="008601E9" w:rsidRPr="00B335EC">
        <w:rPr>
          <w:i/>
          <w:color w:val="000000"/>
        </w:rPr>
        <w:t>δ</w:t>
      </w:r>
      <w:r w:rsidR="00F41683">
        <w:rPr>
          <w:color w:val="000000"/>
        </w:rPr>
        <w:t>.</w:t>
      </w:r>
    </w:p>
    <w:p w:rsidR="0004683F" w:rsidRDefault="004D3007" w:rsidP="00C07499">
      <w:pPr>
        <w:widowControl w:val="0"/>
        <w:tabs>
          <w:tab w:val="left" w:pos="426"/>
        </w:tabs>
        <w:spacing w:after="0" w:line="480" w:lineRule="auto"/>
        <w:ind w:firstLine="0"/>
        <w:rPr>
          <w:color w:val="000000"/>
        </w:rPr>
      </w:pPr>
      <w:r>
        <w:rPr>
          <w:color w:val="000000"/>
        </w:rPr>
        <w:tab/>
      </w:r>
      <w:r w:rsidR="008C48AF">
        <w:rPr>
          <w:color w:val="000000"/>
        </w:rPr>
        <w:t>T</w:t>
      </w:r>
      <w:r>
        <w:rPr>
          <w:color w:val="000000"/>
        </w:rPr>
        <w:t xml:space="preserve">he optimal </w:t>
      </w:r>
      <w:r w:rsidRPr="00B335EC">
        <w:rPr>
          <w:i/>
          <w:color w:val="000000"/>
        </w:rPr>
        <w:t>δ</w:t>
      </w:r>
      <w:r>
        <w:rPr>
          <w:color w:val="000000"/>
        </w:rPr>
        <w:t xml:space="preserve"> for the WMAE is close to zero</w:t>
      </w:r>
      <w:r w:rsidR="008C48AF">
        <w:rPr>
          <w:color w:val="000000"/>
        </w:rPr>
        <w:t xml:space="preserve"> but</w:t>
      </w:r>
      <w:r>
        <w:rPr>
          <w:color w:val="000000"/>
        </w:rPr>
        <w:t xml:space="preserve"> this outcome </w:t>
      </w:r>
      <w:r w:rsidR="006D5700">
        <w:rPr>
          <w:color w:val="000000"/>
        </w:rPr>
        <w:t>is</w:t>
      </w:r>
      <w:r w:rsidR="009F0719">
        <w:rPr>
          <w:color w:val="000000"/>
        </w:rPr>
        <w:t xml:space="preserve"> </w:t>
      </w:r>
      <w:r>
        <w:rPr>
          <w:color w:val="000000"/>
        </w:rPr>
        <w:t xml:space="preserve">largely due to the </w:t>
      </w:r>
      <w:r w:rsidR="00C07499">
        <w:rPr>
          <w:color w:val="000000"/>
        </w:rPr>
        <w:t>impact on the WMAE</w:t>
      </w:r>
      <w:r w:rsidR="00631361">
        <w:rPr>
          <w:color w:val="000000"/>
        </w:rPr>
        <w:t xml:space="preserve"> of sector 4</w:t>
      </w:r>
      <w:r w:rsidR="00C07499">
        <w:rPr>
          <w:color w:val="000000"/>
        </w:rPr>
        <w:t xml:space="preserve">.  This sector accounts for 18.4% of </w:t>
      </w:r>
      <w:r w:rsidR="00C07499">
        <w:rPr>
          <w:lang w:val="en-US"/>
        </w:rPr>
        <w:t>C</w:t>
      </w:r>
      <w:r w:rsidR="00C07499" w:rsidRPr="0010320B">
        <w:rPr>
          <w:lang w:val="en-US"/>
        </w:rPr>
        <w:t>ó</w:t>
      </w:r>
      <w:r w:rsidR="00C07499">
        <w:rPr>
          <w:lang w:val="en-US"/>
        </w:rPr>
        <w:t>rdoba</w:t>
      </w:r>
      <w:r w:rsidR="008C48AF">
        <w:rPr>
          <w:lang w:val="en-US"/>
        </w:rPr>
        <w:t>’s</w:t>
      </w:r>
      <w:r w:rsidR="000120DB">
        <w:rPr>
          <w:lang w:val="en-US"/>
        </w:rPr>
        <w:t xml:space="preserve"> </w:t>
      </w:r>
      <w:r w:rsidR="008C48AF">
        <w:rPr>
          <w:color w:val="000000"/>
        </w:rPr>
        <w:t>output, which</w:t>
      </w:r>
      <w:r w:rsidR="000120DB">
        <w:rPr>
          <w:lang w:val="en-US"/>
        </w:rPr>
        <w:t xml:space="preserve"> has a </w:t>
      </w:r>
      <w:r w:rsidR="00F618AC">
        <w:rPr>
          <w:lang w:val="en-US"/>
        </w:rPr>
        <w:t>large</w:t>
      </w:r>
      <w:r w:rsidR="000120DB">
        <w:rPr>
          <w:lang w:val="en-US"/>
        </w:rPr>
        <w:t xml:space="preserve"> effect on the </w:t>
      </w:r>
      <w:r w:rsidR="00055B0C">
        <w:rPr>
          <w:lang w:val="en-US"/>
        </w:rPr>
        <w:t>W</w:t>
      </w:r>
      <w:r w:rsidR="000120DB">
        <w:rPr>
          <w:lang w:val="en-US"/>
        </w:rPr>
        <w:t>MAE.</w:t>
      </w:r>
    </w:p>
    <w:p w:rsidR="00217E96" w:rsidRPr="000417DD" w:rsidRDefault="00217E96" w:rsidP="00C07499">
      <w:pPr>
        <w:widowControl w:val="0"/>
        <w:tabs>
          <w:tab w:val="left" w:pos="426"/>
        </w:tabs>
        <w:spacing w:after="0" w:line="480" w:lineRule="auto"/>
        <w:ind w:firstLine="0"/>
        <w:rPr>
          <w:color w:val="000000"/>
        </w:rPr>
      </w:pPr>
      <w:r>
        <w:rPr>
          <w:color w:val="000000"/>
        </w:rPr>
        <w:tab/>
      </w:r>
      <w:r w:rsidR="00022571">
        <w:rPr>
          <w:color w:val="000000"/>
        </w:rPr>
        <w:t>Comparing</w:t>
      </w:r>
      <w:r w:rsidR="000417DD">
        <w:rPr>
          <w:color w:val="000000"/>
        </w:rPr>
        <w:t xml:space="preserve"> the performance of the FLQ and </w:t>
      </w:r>
      <w:r w:rsidRPr="000417DD">
        <w:rPr>
          <w:color w:val="000000"/>
        </w:rPr>
        <w:t>AFLQ</w:t>
      </w:r>
      <w:r w:rsidR="00221050">
        <w:rPr>
          <w:color w:val="000000"/>
        </w:rPr>
        <w:t xml:space="preserve"> is complicated by the fact that </w:t>
      </w:r>
      <w:r w:rsidR="00C214CB">
        <w:rPr>
          <w:color w:val="000000"/>
        </w:rPr>
        <w:t>the</w:t>
      </w:r>
      <w:r w:rsidR="00B61A9C">
        <w:rPr>
          <w:color w:val="000000"/>
        </w:rPr>
        <w:t xml:space="preserve"> </w:t>
      </w:r>
      <w:r w:rsidR="00A82E85">
        <w:rPr>
          <w:color w:val="000000"/>
        </w:rPr>
        <w:t xml:space="preserve">AFLQ exhibits a higher </w:t>
      </w:r>
      <w:r w:rsidR="00B61A9C">
        <w:rPr>
          <w:color w:val="000000"/>
        </w:rPr>
        <w:t xml:space="preserve">optimal </w:t>
      </w:r>
      <w:r w:rsidR="00B61A9C" w:rsidRPr="00B335EC">
        <w:rPr>
          <w:i/>
          <w:color w:val="000000"/>
        </w:rPr>
        <w:t>δ</w:t>
      </w:r>
      <w:r w:rsidR="00B61A9C">
        <w:rPr>
          <w:color w:val="000000"/>
        </w:rPr>
        <w:t xml:space="preserve"> across all criteria.  This is no coincidence, as it reflects the different properties of the two formulae.</w:t>
      </w:r>
      <w:r w:rsidR="00C92067">
        <w:rPr>
          <w:b/>
          <w:color w:val="000000"/>
          <w:vertAlign w:val="superscript"/>
        </w:rPr>
        <w:t>14</w:t>
      </w:r>
      <w:r w:rsidR="00C214CB">
        <w:rPr>
          <w:color w:val="000000"/>
        </w:rPr>
        <w:t xml:space="preserve"> </w:t>
      </w:r>
      <w:r w:rsidR="00C92067">
        <w:rPr>
          <w:color w:val="000000"/>
        </w:rPr>
        <w:t xml:space="preserve"> </w:t>
      </w:r>
      <w:r w:rsidR="00E91003">
        <w:rPr>
          <w:color w:val="000000"/>
        </w:rPr>
        <w:t>Looking at the results as a whole</w:t>
      </w:r>
      <w:r w:rsidR="00022571">
        <w:rPr>
          <w:color w:val="000000"/>
        </w:rPr>
        <w:t xml:space="preserve">, it seems </w:t>
      </w:r>
      <w:r w:rsidR="00022571">
        <w:rPr>
          <w:color w:val="000000"/>
        </w:rPr>
        <w:lastRenderedPageBreak/>
        <w:t xml:space="preserve">reasonable to </w:t>
      </w:r>
      <w:r w:rsidR="00A82E85">
        <w:rPr>
          <w:color w:val="000000"/>
        </w:rPr>
        <w:t>select</w:t>
      </w:r>
      <w:r w:rsidR="00022571">
        <w:rPr>
          <w:color w:val="000000"/>
        </w:rPr>
        <w:t xml:space="preserve"> </w:t>
      </w:r>
      <w:r w:rsidR="00022571" w:rsidRPr="00B335EC">
        <w:rPr>
          <w:i/>
          <w:color w:val="000000"/>
        </w:rPr>
        <w:t>δ</w:t>
      </w:r>
      <w:r w:rsidR="00022571">
        <w:rPr>
          <w:color w:val="000000"/>
        </w:rPr>
        <w:t xml:space="preserve"> = 0.1 </w:t>
      </w:r>
      <w:r w:rsidR="008C48AF">
        <w:rPr>
          <w:color w:val="000000"/>
        </w:rPr>
        <w:t xml:space="preserve">as a typical value </w:t>
      </w:r>
      <w:r w:rsidR="00022571">
        <w:rPr>
          <w:color w:val="000000"/>
        </w:rPr>
        <w:t xml:space="preserve">for the FLQ and </w:t>
      </w:r>
      <w:r w:rsidR="00022571" w:rsidRPr="00B335EC">
        <w:rPr>
          <w:i/>
          <w:color w:val="000000"/>
        </w:rPr>
        <w:t>δ</w:t>
      </w:r>
      <w:r w:rsidR="00022571">
        <w:rPr>
          <w:color w:val="000000"/>
        </w:rPr>
        <w:t xml:space="preserve"> = 0.15 for the AFLQ.</w:t>
      </w:r>
      <w:r w:rsidR="00680FB4">
        <w:rPr>
          <w:color w:val="000000"/>
        </w:rPr>
        <w:t xml:space="preserve">  On</w:t>
      </w:r>
      <w:r w:rsidR="00A82E85">
        <w:rPr>
          <w:color w:val="000000"/>
        </w:rPr>
        <w:t xml:space="preserve"> this basis, on</w:t>
      </w:r>
      <w:r w:rsidR="00680FB4">
        <w:rPr>
          <w:color w:val="000000"/>
        </w:rPr>
        <w:t>e can see that the STPE</w:t>
      </w:r>
      <w:r w:rsidR="00E91003">
        <w:rPr>
          <w:color w:val="000000"/>
        </w:rPr>
        <w:t>, WMAE</w:t>
      </w:r>
      <w:r w:rsidR="00680FB4">
        <w:rPr>
          <w:color w:val="000000"/>
        </w:rPr>
        <w:t xml:space="preserve"> and U </w:t>
      </w:r>
      <w:r w:rsidR="00F22F21">
        <w:rPr>
          <w:color w:val="000000"/>
        </w:rPr>
        <w:t>judge</w:t>
      </w:r>
      <w:r w:rsidR="00680FB4">
        <w:rPr>
          <w:color w:val="000000"/>
        </w:rPr>
        <w:t xml:space="preserve"> the AFLQ </w:t>
      </w:r>
      <w:r w:rsidR="00A82E85">
        <w:rPr>
          <w:color w:val="000000"/>
        </w:rPr>
        <w:t>to be</w:t>
      </w:r>
      <w:r w:rsidR="00680FB4">
        <w:rPr>
          <w:color w:val="000000"/>
        </w:rPr>
        <w:t xml:space="preserve"> slightly more accurate than the FLQ</w:t>
      </w:r>
      <w:r w:rsidR="0067753B">
        <w:rPr>
          <w:color w:val="000000"/>
        </w:rPr>
        <w:t xml:space="preserve"> and that</w:t>
      </w:r>
      <w:r w:rsidR="00680FB4">
        <w:rPr>
          <w:color w:val="000000"/>
        </w:rPr>
        <w:t xml:space="preserve"> </w:t>
      </w:r>
      <w:r w:rsidR="00A82E85" w:rsidRPr="00257882">
        <w:t>Ũ</w:t>
      </w:r>
      <w:r w:rsidR="00A82E85">
        <w:rPr>
          <w:vertAlign w:val="superscript"/>
        </w:rPr>
        <w:t>M</w:t>
      </w:r>
      <w:r w:rsidR="00A82E85">
        <w:t xml:space="preserve"> and </w:t>
      </w:r>
      <w:proofErr w:type="gramStart"/>
      <w:r w:rsidR="00A82E85" w:rsidRPr="00257882">
        <w:t>Ũ</w:t>
      </w:r>
      <w:r w:rsidR="00A82E85" w:rsidRPr="00257882">
        <w:rPr>
          <w:vertAlign w:val="superscript"/>
        </w:rPr>
        <w:t>S</w:t>
      </w:r>
      <w:proofErr w:type="gramEnd"/>
      <w:r w:rsidR="00A82E85">
        <w:rPr>
          <w:color w:val="000000"/>
        </w:rPr>
        <w:t xml:space="preserve"> give conflicting </w:t>
      </w:r>
      <w:r w:rsidR="00F22F21">
        <w:rPr>
          <w:color w:val="000000"/>
        </w:rPr>
        <w:t>outcome</w:t>
      </w:r>
      <w:r w:rsidR="00A82E85">
        <w:rPr>
          <w:color w:val="000000"/>
        </w:rPr>
        <w:t>s.</w:t>
      </w:r>
    </w:p>
    <w:p w:rsidR="00C07499" w:rsidRDefault="00C07499" w:rsidP="00BA6B98">
      <w:pPr>
        <w:widowControl w:val="0"/>
        <w:tabs>
          <w:tab w:val="left" w:pos="426"/>
        </w:tabs>
        <w:spacing w:after="0"/>
        <w:ind w:firstLine="0"/>
        <w:rPr>
          <w:b/>
          <w:lang w:val="en-US"/>
        </w:rPr>
      </w:pPr>
    </w:p>
    <w:p w:rsidR="0004683F" w:rsidRDefault="00AE2829" w:rsidP="0004683F">
      <w:pPr>
        <w:spacing w:after="0" w:line="480" w:lineRule="auto"/>
        <w:ind w:firstLine="0"/>
        <w:jc w:val="left"/>
        <w:rPr>
          <w:b/>
          <w:lang w:val="en-US"/>
        </w:rPr>
      </w:pPr>
      <w:r>
        <w:rPr>
          <w:b/>
          <w:lang w:val="en-US"/>
        </w:rPr>
        <w:t>6</w:t>
      </w:r>
      <w:r w:rsidR="0004683F">
        <w:rPr>
          <w:b/>
          <w:lang w:val="en-US"/>
        </w:rPr>
        <w:t xml:space="preserve">   OUTPUT MULTIPLIERS</w:t>
      </w:r>
    </w:p>
    <w:p w:rsidR="0004683F" w:rsidRDefault="0004683F" w:rsidP="0004683F">
      <w:pPr>
        <w:spacing w:after="0" w:line="480" w:lineRule="auto"/>
        <w:ind w:firstLine="0"/>
        <w:rPr>
          <w:lang w:val="en-US"/>
        </w:rPr>
      </w:pPr>
      <w:r w:rsidRPr="00043CA1">
        <w:rPr>
          <w:lang w:val="en-US"/>
        </w:rPr>
        <w:t>Fo</w:t>
      </w:r>
      <w:r>
        <w:rPr>
          <w:lang w:val="en-US"/>
        </w:rPr>
        <w:t>llowing previous research (</w:t>
      </w:r>
      <w:r>
        <w:rPr>
          <w:color w:val="000000"/>
        </w:rPr>
        <w:t>Flegg and Tohmo, 2013</w:t>
      </w:r>
      <w:r w:rsidR="00EC18F8">
        <w:rPr>
          <w:color w:val="000000"/>
        </w:rPr>
        <w:t>a</w:t>
      </w:r>
      <w:r w:rsidR="00E27A21">
        <w:rPr>
          <w:color w:val="000000"/>
        </w:rPr>
        <w:t>,</w:t>
      </w:r>
      <w:r w:rsidR="00402D3B">
        <w:rPr>
          <w:color w:val="000000"/>
        </w:rPr>
        <w:t xml:space="preserve"> 2014</w:t>
      </w:r>
      <w:r>
        <w:rPr>
          <w:lang w:val="en-US"/>
        </w:rPr>
        <w:t>), the following statistics will be employed to assess the accuracy of the estimated multipliers:</w:t>
      </w:r>
    </w:p>
    <w:p w:rsidR="003319B6" w:rsidRDefault="0004683F" w:rsidP="0004683F">
      <w:pPr>
        <w:pStyle w:val="Normaali1"/>
        <w:tabs>
          <w:tab w:val="left" w:pos="567"/>
          <w:tab w:val="center" w:pos="4536"/>
          <w:tab w:val="right" w:pos="8931"/>
        </w:tabs>
        <w:spacing w:line="480" w:lineRule="auto"/>
        <w:rPr>
          <w:rFonts w:ascii="Times New Roman" w:hAnsi="Times New Roman"/>
          <w:lang w:val="en-GB"/>
        </w:rPr>
      </w:pPr>
      <w:r>
        <w:rPr>
          <w:rFonts w:ascii="Times New Roman" w:hAnsi="Times New Roman"/>
          <w:lang w:val="en-GB"/>
        </w:rPr>
        <w:tab/>
      </w:r>
      <w:r w:rsidR="003319B6">
        <w:rPr>
          <w:rFonts w:ascii="Times New Roman" w:hAnsi="Times New Roman"/>
          <w:lang w:val="en-GB"/>
        </w:rPr>
        <w:tab/>
        <w:t>MPE</w:t>
      </w:r>
      <w:r w:rsidR="003319B6" w:rsidRPr="0009111F">
        <w:rPr>
          <w:rFonts w:ascii="Times New Roman" w:hAnsi="Times New Roman"/>
          <w:lang w:val="en-GB"/>
        </w:rPr>
        <w:t xml:space="preserve"> = (100/</w:t>
      </w:r>
      <w:r w:rsidR="005C5CCD">
        <w:rPr>
          <w:rFonts w:ascii="Times New Roman" w:hAnsi="Times New Roman"/>
          <w:lang w:val="en-GB"/>
        </w:rPr>
        <w:t>28</w:t>
      </w:r>
      <w:r w:rsidR="003319B6" w:rsidRPr="0009111F">
        <w:rPr>
          <w:rFonts w:ascii="Times New Roman" w:hAnsi="Times New Roman"/>
          <w:lang w:val="en-GB"/>
        </w:rPr>
        <w:t>)</w:t>
      </w:r>
      <w:r w:rsidR="003319B6" w:rsidRPr="0009111F">
        <w:rPr>
          <w:rFonts w:ascii="Times New Roman" w:hAnsi="Times New Roman"/>
          <w:vertAlign w:val="subscript"/>
          <w:lang w:val="en-GB"/>
        </w:rPr>
        <w:t xml:space="preserve"> </w:t>
      </w:r>
      <w:proofErr w:type="spellStart"/>
      <w:r w:rsidR="003319B6" w:rsidRPr="0009111F">
        <w:rPr>
          <w:rFonts w:ascii="Times New Roman" w:hAnsi="Times New Roman"/>
          <w:lang w:val="en-GB"/>
        </w:rPr>
        <w:t>Σ</w:t>
      </w:r>
      <w:r w:rsidR="003319B6" w:rsidRPr="00B335EC">
        <w:rPr>
          <w:rFonts w:ascii="Times New Roman" w:hAnsi="Times New Roman"/>
          <w:i/>
          <w:vertAlign w:val="subscript"/>
          <w:lang w:val="en-GB"/>
        </w:rPr>
        <w:t>j</w:t>
      </w:r>
      <w:proofErr w:type="spellEnd"/>
      <w:r w:rsidR="003319B6" w:rsidRPr="0009111F">
        <w:rPr>
          <w:rFonts w:ascii="Times New Roman" w:hAnsi="Times New Roman"/>
          <w:vertAlign w:val="subscript"/>
          <w:lang w:val="en-GB"/>
        </w:rPr>
        <w:t xml:space="preserve"> </w:t>
      </w:r>
      <w:r w:rsidR="002849D5" w:rsidRPr="00270256">
        <w:rPr>
          <w:rFonts w:ascii="Times New Roman" w:hAnsi="Times New Roman"/>
          <w:position w:val="-14"/>
        </w:rPr>
        <w:object w:dxaOrig="960" w:dyaOrig="420">
          <v:shape id="_x0000_i1040" type="#_x0000_t75" style="width:46.65pt;height:21.3pt" o:ole="">
            <v:imagedata r:id="rId41" o:title=""/>
          </v:shape>
          <o:OLEObject Type="Embed" ProgID="Equation.3" ShapeID="_x0000_i1040" DrawAspect="Content" ObjectID="_1494569093" r:id="rId42"/>
        </w:object>
      </w:r>
      <w:r w:rsidR="003319B6" w:rsidRPr="0009111F">
        <w:rPr>
          <w:rFonts w:ascii="Times New Roman" w:hAnsi="Times New Roman"/>
        </w:rPr>
        <w:t>/</w:t>
      </w:r>
      <w:r w:rsidR="003319B6" w:rsidRPr="0009111F">
        <w:rPr>
          <w:rFonts w:ascii="Times New Roman" w:hAnsi="Times New Roman"/>
          <w:vertAlign w:val="subscript"/>
        </w:rPr>
        <w:t xml:space="preserve"> </w:t>
      </w:r>
      <w:r w:rsidR="00270256">
        <w:rPr>
          <w:rFonts w:ascii="Times New Roman" w:hAnsi="Times New Roman"/>
          <w:i/>
        </w:rPr>
        <w:t>k</w:t>
      </w:r>
      <w:r w:rsidR="003319B6" w:rsidRPr="00B335EC">
        <w:rPr>
          <w:rFonts w:ascii="Times New Roman" w:hAnsi="Times New Roman"/>
          <w:i/>
          <w:vertAlign w:val="subscript"/>
        </w:rPr>
        <w:t>j</w:t>
      </w:r>
      <w:r w:rsidR="003319B6">
        <w:rPr>
          <w:rFonts w:ascii="Times New Roman" w:hAnsi="Times New Roman"/>
        </w:rPr>
        <w:tab/>
        <w:t>(</w:t>
      </w:r>
      <w:r w:rsidR="002A6C3D">
        <w:rPr>
          <w:rFonts w:ascii="Times New Roman" w:hAnsi="Times New Roman"/>
        </w:rPr>
        <w:t>1</w:t>
      </w:r>
      <w:r w:rsidR="00CF6AF8">
        <w:rPr>
          <w:rFonts w:ascii="Times New Roman" w:hAnsi="Times New Roman"/>
        </w:rPr>
        <w:t>4</w:t>
      </w:r>
      <w:r w:rsidR="003319B6">
        <w:rPr>
          <w:rFonts w:ascii="Times New Roman" w:hAnsi="Times New Roman"/>
        </w:rPr>
        <w:t>)</w:t>
      </w:r>
    </w:p>
    <w:p w:rsidR="0004683F" w:rsidRPr="00D12F8F" w:rsidRDefault="0004683F" w:rsidP="0004683F">
      <w:pPr>
        <w:pStyle w:val="Normaali1"/>
        <w:tabs>
          <w:tab w:val="left" w:pos="567"/>
          <w:tab w:val="center" w:pos="4536"/>
          <w:tab w:val="right" w:pos="8931"/>
        </w:tabs>
        <w:spacing w:line="480" w:lineRule="auto"/>
        <w:rPr>
          <w:rFonts w:ascii="Times New Roman" w:hAnsi="Times New Roman"/>
        </w:rPr>
      </w:pPr>
      <w:r>
        <w:rPr>
          <w:rFonts w:ascii="Times New Roman" w:hAnsi="Times New Roman"/>
          <w:lang w:val="en-GB"/>
        </w:rPr>
        <w:tab/>
      </w:r>
      <w:r w:rsidR="003319B6">
        <w:rPr>
          <w:rFonts w:ascii="Times New Roman" w:hAnsi="Times New Roman"/>
          <w:lang w:val="en-GB"/>
        </w:rPr>
        <w:tab/>
      </w:r>
      <w:r>
        <w:rPr>
          <w:rFonts w:ascii="Times New Roman" w:hAnsi="Times New Roman"/>
          <w:lang w:val="en-GB"/>
        </w:rPr>
        <w:t>STPE</w:t>
      </w:r>
      <w:r w:rsidRPr="0009111F">
        <w:rPr>
          <w:rFonts w:ascii="Times New Roman" w:hAnsi="Times New Roman"/>
          <w:lang w:val="en-GB"/>
        </w:rPr>
        <w:t xml:space="preserve"> = 1</w:t>
      </w:r>
      <w:r>
        <w:rPr>
          <w:rFonts w:ascii="Times New Roman" w:hAnsi="Times New Roman"/>
          <w:lang w:val="en-GB"/>
        </w:rPr>
        <w:t>00</w:t>
      </w:r>
      <w:r w:rsidRPr="0009111F">
        <w:rPr>
          <w:rFonts w:ascii="Times New Roman" w:hAnsi="Times New Roman"/>
          <w:vertAlign w:val="subscript"/>
          <w:lang w:val="en-GB"/>
        </w:rPr>
        <w:t xml:space="preserve"> </w:t>
      </w:r>
      <w:proofErr w:type="spellStart"/>
      <w:r w:rsidRPr="0009111F">
        <w:rPr>
          <w:rFonts w:ascii="Times New Roman" w:hAnsi="Times New Roman"/>
          <w:lang w:val="en-GB"/>
        </w:rPr>
        <w:t>Σ</w:t>
      </w:r>
      <w:r w:rsidRPr="00B335EC">
        <w:rPr>
          <w:rFonts w:ascii="Times New Roman" w:hAnsi="Times New Roman"/>
          <w:i/>
          <w:vertAlign w:val="subscript"/>
          <w:lang w:val="en-GB"/>
        </w:rPr>
        <w:t>j</w:t>
      </w:r>
      <w:proofErr w:type="spellEnd"/>
      <w:r w:rsidRPr="0009111F">
        <w:rPr>
          <w:rFonts w:ascii="Times New Roman" w:hAnsi="Times New Roman"/>
          <w:vertAlign w:val="subscript"/>
          <w:lang w:val="en-GB"/>
        </w:rPr>
        <w:t xml:space="preserve"> </w:t>
      </w:r>
      <w:r w:rsidRPr="0009111F">
        <w:rPr>
          <w:rFonts w:ascii="Times New Roman" w:hAnsi="Times New Roman"/>
          <w:spacing w:val="-2"/>
          <w:szCs w:val="22"/>
        </w:rPr>
        <w:t>|</w:t>
      </w:r>
      <w:r w:rsidR="004F1CF4" w:rsidRPr="00BF1DA4">
        <w:rPr>
          <w:rFonts w:ascii="Times New Roman" w:hAnsi="Times New Roman"/>
          <w:position w:val="-14"/>
        </w:rPr>
        <w:object w:dxaOrig="760" w:dyaOrig="420">
          <v:shape id="_x0000_i1041" type="#_x0000_t75" style="width:36.5pt;height:21.8pt" o:ole="">
            <v:imagedata r:id="rId43" o:title=""/>
          </v:shape>
          <o:OLEObject Type="Embed" ProgID="Equation.3" ShapeID="_x0000_i1041" DrawAspect="Content" ObjectID="_1494569094" r:id="rId44"/>
        </w:object>
      </w:r>
      <w:r w:rsidRPr="0009111F">
        <w:rPr>
          <w:rFonts w:ascii="Times New Roman" w:hAnsi="Times New Roman"/>
          <w:spacing w:val="-2"/>
          <w:szCs w:val="22"/>
        </w:rPr>
        <w:t>|</w:t>
      </w:r>
      <w:r w:rsidRPr="0009111F">
        <w:rPr>
          <w:rFonts w:ascii="Times New Roman" w:hAnsi="Times New Roman"/>
          <w:spacing w:val="-2"/>
          <w:szCs w:val="22"/>
          <w:vertAlign w:val="subscript"/>
        </w:rPr>
        <w:t xml:space="preserve"> </w:t>
      </w:r>
      <w:r w:rsidRPr="0009111F">
        <w:rPr>
          <w:rFonts w:ascii="Times New Roman" w:hAnsi="Times New Roman"/>
        </w:rPr>
        <w:t>/</w:t>
      </w:r>
      <w:r w:rsidRPr="0009111F">
        <w:rPr>
          <w:rFonts w:ascii="Times New Roman" w:hAnsi="Times New Roman"/>
          <w:vertAlign w:val="subscript"/>
        </w:rPr>
        <w:t xml:space="preserve"> </w:t>
      </w:r>
      <w:proofErr w:type="spellStart"/>
      <w:r w:rsidRPr="0009111F">
        <w:rPr>
          <w:rFonts w:ascii="Times New Roman" w:hAnsi="Times New Roman"/>
          <w:lang w:val="en-GB"/>
        </w:rPr>
        <w:t>Σ</w:t>
      </w:r>
      <w:r w:rsidRPr="00B335EC">
        <w:rPr>
          <w:rFonts w:ascii="Times New Roman" w:hAnsi="Times New Roman"/>
          <w:i/>
          <w:vertAlign w:val="subscript"/>
          <w:lang w:val="en-GB"/>
        </w:rPr>
        <w:t>j</w:t>
      </w:r>
      <w:proofErr w:type="spellEnd"/>
      <w:r w:rsidRPr="0009111F">
        <w:rPr>
          <w:rFonts w:ascii="Times New Roman" w:hAnsi="Times New Roman"/>
          <w:vertAlign w:val="subscript"/>
          <w:lang w:val="en-GB"/>
        </w:rPr>
        <w:t xml:space="preserve"> </w:t>
      </w:r>
      <w:r w:rsidR="0011144D">
        <w:rPr>
          <w:rFonts w:ascii="Times New Roman" w:hAnsi="Times New Roman"/>
          <w:i/>
        </w:rPr>
        <w:t>k</w:t>
      </w:r>
      <w:r w:rsidRPr="0024027F">
        <w:rPr>
          <w:rFonts w:ascii="Times New Roman" w:hAnsi="Times New Roman"/>
          <w:i/>
          <w:vertAlign w:val="subscript"/>
        </w:rPr>
        <w:t>j</w:t>
      </w:r>
      <w:r>
        <w:rPr>
          <w:rFonts w:ascii="Times New Roman" w:hAnsi="Times New Roman"/>
        </w:rPr>
        <w:tab/>
        <w:t>(</w:t>
      </w:r>
      <w:r w:rsidR="002A6C3D">
        <w:rPr>
          <w:rFonts w:ascii="Times New Roman" w:hAnsi="Times New Roman"/>
        </w:rPr>
        <w:t>1</w:t>
      </w:r>
      <w:r w:rsidR="00CF6AF8">
        <w:rPr>
          <w:rFonts w:ascii="Times New Roman" w:hAnsi="Times New Roman"/>
        </w:rPr>
        <w:t>5</w:t>
      </w:r>
      <w:r>
        <w:rPr>
          <w:rFonts w:ascii="Times New Roman" w:hAnsi="Times New Roman"/>
        </w:rPr>
        <w:t>)</w:t>
      </w:r>
    </w:p>
    <w:p w:rsidR="0004683F" w:rsidRDefault="0004683F" w:rsidP="0004683F">
      <w:pPr>
        <w:pStyle w:val="Normaali1"/>
        <w:tabs>
          <w:tab w:val="left" w:pos="567"/>
          <w:tab w:val="center" w:pos="4536"/>
          <w:tab w:val="right" w:pos="8931"/>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t>WMAE</w:t>
      </w:r>
      <w:r w:rsidRPr="0009111F">
        <w:rPr>
          <w:rFonts w:ascii="Times New Roman" w:hAnsi="Times New Roman"/>
          <w:lang w:val="en-GB"/>
        </w:rPr>
        <w:t xml:space="preserve"> = </w:t>
      </w:r>
      <w:proofErr w:type="spellStart"/>
      <w:r w:rsidRPr="0009111F">
        <w:rPr>
          <w:rFonts w:ascii="Times New Roman" w:hAnsi="Times New Roman"/>
          <w:lang w:val="en-GB"/>
        </w:rPr>
        <w:t>Σ</w:t>
      </w:r>
      <w:r w:rsidRPr="00B335EC">
        <w:rPr>
          <w:rFonts w:ascii="Times New Roman" w:hAnsi="Times New Roman"/>
          <w:i/>
          <w:vertAlign w:val="subscript"/>
          <w:lang w:val="en-GB"/>
        </w:rPr>
        <w:t>j</w:t>
      </w:r>
      <w:proofErr w:type="spellEnd"/>
      <w:r w:rsidRPr="0009111F">
        <w:rPr>
          <w:rFonts w:ascii="Times New Roman" w:hAnsi="Times New Roman"/>
          <w:vertAlign w:val="subscript"/>
          <w:lang w:val="en-GB"/>
        </w:rPr>
        <w:t xml:space="preserve"> </w:t>
      </w:r>
      <w:proofErr w:type="spellStart"/>
      <w:r w:rsidRPr="0024027F">
        <w:rPr>
          <w:rFonts w:ascii="Times New Roman" w:hAnsi="Times New Roman"/>
          <w:i/>
          <w:lang w:val="en-GB"/>
        </w:rPr>
        <w:t>w</w:t>
      </w:r>
      <w:r w:rsidRPr="0024027F">
        <w:rPr>
          <w:rFonts w:ascii="Times New Roman" w:hAnsi="Times New Roman"/>
          <w:i/>
          <w:vertAlign w:val="subscript"/>
          <w:lang w:val="en-GB"/>
        </w:rPr>
        <w:t>j</w:t>
      </w:r>
      <w:proofErr w:type="spellEnd"/>
      <w:r w:rsidRPr="0009111F">
        <w:rPr>
          <w:rFonts w:ascii="Times New Roman" w:hAnsi="Times New Roman"/>
          <w:vertAlign w:val="subscript"/>
          <w:lang w:val="en-GB"/>
        </w:rPr>
        <w:t xml:space="preserve"> </w:t>
      </w:r>
      <w:r w:rsidRPr="0009111F">
        <w:rPr>
          <w:rFonts w:ascii="Times New Roman" w:hAnsi="Times New Roman"/>
          <w:spacing w:val="-2"/>
          <w:szCs w:val="22"/>
        </w:rPr>
        <w:t>|</w:t>
      </w:r>
      <w:r w:rsidR="004F1CF4" w:rsidRPr="00BF1DA4">
        <w:rPr>
          <w:rFonts w:ascii="Times New Roman" w:hAnsi="Times New Roman"/>
          <w:position w:val="-14"/>
        </w:rPr>
        <w:object w:dxaOrig="760" w:dyaOrig="420">
          <v:shape id="_x0000_i1042" type="#_x0000_t75" style="width:36.5pt;height:21.8pt" o:ole="">
            <v:imagedata r:id="rId45" o:title=""/>
          </v:shape>
          <o:OLEObject Type="Embed" ProgID="Equation.3" ShapeID="_x0000_i1042" DrawAspect="Content" ObjectID="_1494569095" r:id="rId46"/>
        </w:object>
      </w:r>
      <w:r w:rsidRPr="0009111F">
        <w:rPr>
          <w:rFonts w:ascii="Times New Roman" w:hAnsi="Times New Roman"/>
          <w:spacing w:val="-2"/>
          <w:szCs w:val="22"/>
        </w:rPr>
        <w:t>|</w:t>
      </w:r>
      <w:r>
        <w:rPr>
          <w:rFonts w:ascii="Times New Roman" w:hAnsi="Times New Roman"/>
        </w:rPr>
        <w:tab/>
        <w:t>(1</w:t>
      </w:r>
      <w:r w:rsidR="00CF6AF8">
        <w:rPr>
          <w:rFonts w:ascii="Times New Roman" w:hAnsi="Times New Roman"/>
        </w:rPr>
        <w:t>6</w:t>
      </w:r>
      <w:r>
        <w:rPr>
          <w:rFonts w:ascii="Times New Roman" w:hAnsi="Times New Roman"/>
        </w:rPr>
        <w:t>)</w:t>
      </w:r>
    </w:p>
    <w:p w:rsidR="0004683F" w:rsidRPr="00D12F8F" w:rsidRDefault="0004683F" w:rsidP="0004683F">
      <w:pPr>
        <w:pStyle w:val="Normaali1"/>
        <w:tabs>
          <w:tab w:val="left" w:pos="567"/>
          <w:tab w:val="center" w:pos="4536"/>
          <w:tab w:val="right" w:pos="8931"/>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r>
      <w:r w:rsidRPr="00257882">
        <w:rPr>
          <w:rFonts w:ascii="Times New Roman" w:hAnsi="Times New Roman"/>
          <w:szCs w:val="24"/>
        </w:rPr>
        <w:t>Ũ</w:t>
      </w:r>
      <w:r>
        <w:rPr>
          <w:rFonts w:ascii="Times New Roman" w:hAnsi="Times New Roman"/>
          <w:szCs w:val="24"/>
          <w:vertAlign w:val="superscript"/>
        </w:rPr>
        <w:t>M</w:t>
      </w:r>
      <w:r w:rsidRPr="0009111F">
        <w:rPr>
          <w:rFonts w:ascii="Times New Roman" w:hAnsi="Times New Roman"/>
          <w:lang w:val="en-GB"/>
        </w:rPr>
        <w:t xml:space="preserve"> = </w:t>
      </w:r>
      <w:r w:rsidR="004F1CF4" w:rsidRPr="00BF1DA4">
        <w:rPr>
          <w:rFonts w:ascii="Times New Roman" w:hAnsi="Times New Roman"/>
          <w:position w:val="-14"/>
        </w:rPr>
        <w:object w:dxaOrig="1719" w:dyaOrig="420">
          <v:shape id="_x0000_i1043" type="#_x0000_t75" style="width:85.2pt;height:20.8pt" o:ole="">
            <v:imagedata r:id="rId47" o:title=""/>
          </v:shape>
          <o:OLEObject Type="Embed" ProgID="Equation.3" ShapeID="_x0000_i1043" DrawAspect="Content" ObjectID="_1494569096" r:id="rId48"/>
        </w:object>
      </w:r>
      <w:r>
        <w:rPr>
          <w:rFonts w:ascii="Times New Roman" w:hAnsi="Times New Roman"/>
        </w:rPr>
        <w:tab/>
        <w:t>(1</w:t>
      </w:r>
      <w:r w:rsidR="00CF6AF8">
        <w:rPr>
          <w:rFonts w:ascii="Times New Roman" w:hAnsi="Times New Roman"/>
        </w:rPr>
        <w:t>7</w:t>
      </w:r>
      <w:r>
        <w:rPr>
          <w:rFonts w:ascii="Times New Roman" w:hAnsi="Times New Roman"/>
        </w:rPr>
        <w:t>)</w:t>
      </w:r>
    </w:p>
    <w:p w:rsidR="0004683F" w:rsidRPr="00D12F8F" w:rsidRDefault="0004683F" w:rsidP="0004683F">
      <w:pPr>
        <w:pStyle w:val="Normaali1"/>
        <w:tabs>
          <w:tab w:val="left" w:pos="426"/>
          <w:tab w:val="center" w:pos="4536"/>
          <w:tab w:val="right" w:pos="8931"/>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r>
      <w:r w:rsidRPr="00257882">
        <w:rPr>
          <w:rFonts w:ascii="Times New Roman" w:hAnsi="Times New Roman"/>
          <w:szCs w:val="24"/>
        </w:rPr>
        <w:t>Ũ</w:t>
      </w:r>
      <w:r w:rsidRPr="00257882">
        <w:rPr>
          <w:rFonts w:ascii="Times New Roman" w:hAnsi="Times New Roman"/>
          <w:szCs w:val="24"/>
          <w:vertAlign w:val="superscript"/>
        </w:rPr>
        <w:t>S</w:t>
      </w:r>
      <w:r w:rsidRPr="00257882">
        <w:rPr>
          <w:rFonts w:ascii="Times New Roman" w:hAnsi="Times New Roman"/>
          <w:szCs w:val="24"/>
        </w:rPr>
        <w:t xml:space="preserve"> </w:t>
      </w:r>
      <w:r w:rsidRPr="0009111F">
        <w:rPr>
          <w:rFonts w:ascii="Times New Roman" w:hAnsi="Times New Roman"/>
          <w:lang w:val="en-GB"/>
        </w:rPr>
        <w:t xml:space="preserve">= </w:t>
      </w:r>
      <w:r w:rsidR="002849D5" w:rsidRPr="00BF1DA4">
        <w:rPr>
          <w:rFonts w:ascii="Times New Roman" w:hAnsi="Times New Roman"/>
          <w:position w:val="-14"/>
        </w:rPr>
        <w:object w:dxaOrig="1780" w:dyaOrig="420">
          <v:shape id="_x0000_i1044" type="#_x0000_t75" style="width:89.75pt;height:20.8pt" o:ole="">
            <v:imagedata r:id="rId49" o:title=""/>
          </v:shape>
          <o:OLEObject Type="Embed" ProgID="Equation.3" ShapeID="_x0000_i1044" DrawAspect="Content" ObjectID="_1494569097" r:id="rId50"/>
        </w:object>
      </w:r>
      <w:r>
        <w:rPr>
          <w:rFonts w:ascii="Times New Roman" w:hAnsi="Times New Roman"/>
        </w:rPr>
        <w:tab/>
        <w:t>(1</w:t>
      </w:r>
      <w:r w:rsidR="00CF6AF8">
        <w:rPr>
          <w:rFonts w:ascii="Times New Roman" w:hAnsi="Times New Roman"/>
        </w:rPr>
        <w:t>8</w:t>
      </w:r>
      <w:r>
        <w:rPr>
          <w:rFonts w:ascii="Times New Roman" w:hAnsi="Times New Roman"/>
        </w:rPr>
        <w:t>)</w:t>
      </w:r>
    </w:p>
    <w:p w:rsidR="0004683F" w:rsidRDefault="0004683F" w:rsidP="0004683F">
      <w:pPr>
        <w:pStyle w:val="Normaali1"/>
        <w:tabs>
          <w:tab w:val="left" w:pos="567"/>
          <w:tab w:val="center" w:pos="4536"/>
          <w:tab w:val="right" w:pos="8931"/>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t>U</w:t>
      </w:r>
      <w:r w:rsidRPr="0009111F">
        <w:rPr>
          <w:rFonts w:ascii="Times New Roman" w:hAnsi="Times New Roman"/>
          <w:lang w:val="en-GB"/>
        </w:rPr>
        <w:t xml:space="preserve"> = 100</w:t>
      </w:r>
      <w:r w:rsidR="004573F7" w:rsidRPr="00847E45">
        <w:rPr>
          <w:rFonts w:ascii="Times New Roman" w:hAnsi="Times New Roman"/>
          <w:position w:val="-38"/>
        </w:rPr>
        <w:object w:dxaOrig="1520" w:dyaOrig="900">
          <v:shape id="_x0000_i1045" type="#_x0000_t75" style="width:75.05pt;height:44.6pt" o:ole="">
            <v:imagedata r:id="rId51" o:title=""/>
          </v:shape>
          <o:OLEObject Type="Embed" ProgID="Equation.3" ShapeID="_x0000_i1045" DrawAspect="Content" ObjectID="_1494569098" r:id="rId52"/>
        </w:object>
      </w:r>
      <w:r>
        <w:rPr>
          <w:rFonts w:ascii="Times New Roman" w:hAnsi="Times New Roman"/>
        </w:rPr>
        <w:tab/>
        <w:t>(1</w:t>
      </w:r>
      <w:r w:rsidR="00CF6AF8">
        <w:rPr>
          <w:rFonts w:ascii="Times New Roman" w:hAnsi="Times New Roman"/>
        </w:rPr>
        <w:t>9</w:t>
      </w:r>
      <w:r>
        <w:rPr>
          <w:rFonts w:ascii="Times New Roman" w:hAnsi="Times New Roman"/>
        </w:rPr>
        <w:t>)</w:t>
      </w:r>
    </w:p>
    <w:p w:rsidR="0004683F" w:rsidRDefault="0004683F" w:rsidP="0004683F">
      <w:pPr>
        <w:pStyle w:val="Normaali1"/>
        <w:tabs>
          <w:tab w:val="left" w:pos="567"/>
          <w:tab w:val="center" w:pos="4536"/>
          <w:tab w:val="right" w:pos="9214"/>
        </w:tabs>
        <w:spacing w:line="480" w:lineRule="auto"/>
        <w:rPr>
          <w:rFonts w:ascii="Times New Roman" w:hAnsi="Times New Roman"/>
          <w:szCs w:val="24"/>
        </w:rPr>
      </w:pPr>
      <w:r>
        <w:rPr>
          <w:rFonts w:ascii="Times New Roman" w:hAnsi="Times New Roman"/>
        </w:rPr>
        <w:t xml:space="preserve">where </w:t>
      </w:r>
      <w:r w:rsidR="0011144D" w:rsidRPr="0009111F">
        <w:rPr>
          <w:rFonts w:ascii="Times New Roman" w:hAnsi="Times New Roman"/>
          <w:position w:val="-14"/>
        </w:rPr>
        <w:object w:dxaOrig="279" w:dyaOrig="420">
          <v:shape id="_x0000_i1046" type="#_x0000_t75" style="width:15.2pt;height:21.3pt" o:ole="">
            <v:imagedata r:id="rId53" o:title=""/>
          </v:shape>
          <o:OLEObject Type="Embed" ProgID="Equation.3" ShapeID="_x0000_i1046" DrawAspect="Content" ObjectID="_1494569099" r:id="rId54"/>
        </w:object>
      </w:r>
      <w:r w:rsidRPr="0009111F">
        <w:rPr>
          <w:rFonts w:ascii="Times New Roman" w:hAnsi="Times New Roman"/>
          <w:vertAlign w:val="subscript"/>
        </w:rPr>
        <w:t xml:space="preserve"> </w:t>
      </w:r>
      <w:r w:rsidRPr="0009111F">
        <w:rPr>
          <w:rFonts w:ascii="Times New Roman" w:hAnsi="Times New Roman"/>
        </w:rPr>
        <w:t xml:space="preserve">is the estimated type I output multiplier for </w:t>
      </w:r>
      <w:r>
        <w:rPr>
          <w:rFonts w:ascii="Times New Roman" w:hAnsi="Times New Roman"/>
        </w:rPr>
        <w:t xml:space="preserve">regional </w:t>
      </w:r>
      <w:r w:rsidRPr="0009111F">
        <w:rPr>
          <w:rFonts w:ascii="Times New Roman" w:hAnsi="Times New Roman"/>
        </w:rPr>
        <w:t xml:space="preserve">sector </w:t>
      </w:r>
      <w:r w:rsidRPr="00D1533C">
        <w:rPr>
          <w:rFonts w:ascii="Times New Roman" w:hAnsi="Times New Roman"/>
          <w:i/>
        </w:rPr>
        <w:t>j</w:t>
      </w:r>
      <w:r w:rsidRPr="0009111F">
        <w:rPr>
          <w:rFonts w:ascii="Times New Roman" w:hAnsi="Times New Roman"/>
        </w:rPr>
        <w:t xml:space="preserve"> (column sum of the LQ-based Leontief inverse matrix),</w:t>
      </w:r>
      <w:r>
        <w:rPr>
          <w:rFonts w:ascii="Times New Roman" w:hAnsi="Times New Roman"/>
        </w:rPr>
        <w:t xml:space="preserve"> whereas </w:t>
      </w:r>
      <w:r w:rsidR="0011144D">
        <w:rPr>
          <w:rFonts w:ascii="Times New Roman" w:hAnsi="Times New Roman"/>
          <w:i/>
        </w:rPr>
        <w:t>k</w:t>
      </w:r>
      <w:r w:rsidRPr="005C5CDD">
        <w:rPr>
          <w:rFonts w:ascii="Times New Roman" w:hAnsi="Times New Roman"/>
          <w:i/>
          <w:vertAlign w:val="subscript"/>
        </w:rPr>
        <w:t>j</w:t>
      </w:r>
      <w:r w:rsidRPr="0009111F">
        <w:rPr>
          <w:rFonts w:ascii="Times New Roman" w:hAnsi="Times New Roman"/>
        </w:rPr>
        <w:t xml:space="preserve"> is the corresponding </w:t>
      </w:r>
      <w:r>
        <w:rPr>
          <w:rFonts w:ascii="Times New Roman" w:hAnsi="Times New Roman"/>
        </w:rPr>
        <w:t>benchmark value (</w:t>
      </w:r>
      <w:r w:rsidR="001C3CA3">
        <w:rPr>
          <w:rFonts w:ascii="Times New Roman" w:hAnsi="Times New Roman"/>
        </w:rPr>
        <w:t>derived</w:t>
      </w:r>
      <w:r>
        <w:rPr>
          <w:rFonts w:ascii="Times New Roman" w:hAnsi="Times New Roman"/>
        </w:rPr>
        <w:t xml:space="preserve"> from the </w:t>
      </w:r>
      <w:r w:rsidR="001C3CA3">
        <w:rPr>
          <w:rFonts w:ascii="Times New Roman" w:hAnsi="Times New Roman"/>
        </w:rPr>
        <w:t xml:space="preserve">survey-based coefficient matrix for </w:t>
      </w:r>
      <w:r w:rsidR="001C3CA3">
        <w:rPr>
          <w:lang w:val="en-US"/>
        </w:rPr>
        <w:t>C</w:t>
      </w:r>
      <w:r w:rsidR="001C3CA3" w:rsidRPr="0010320B">
        <w:rPr>
          <w:lang w:val="en-US"/>
        </w:rPr>
        <w:t>ó</w:t>
      </w:r>
      <w:r w:rsidR="001C3CA3">
        <w:rPr>
          <w:lang w:val="en-US"/>
        </w:rPr>
        <w:t>rdoba</w:t>
      </w:r>
      <w:r w:rsidR="005C5CCD">
        <w:rPr>
          <w:lang w:val="en-US"/>
        </w:rPr>
        <w:t xml:space="preserve"> in 2003</w:t>
      </w:r>
      <w:r>
        <w:rPr>
          <w:rFonts w:ascii="Times New Roman" w:hAnsi="Times New Roman"/>
        </w:rPr>
        <w:t xml:space="preserve">). </w:t>
      </w:r>
      <w:r w:rsidRPr="0009111F">
        <w:rPr>
          <w:rFonts w:ascii="Times New Roman" w:hAnsi="Times New Roman"/>
        </w:rPr>
        <w:t xml:space="preserve"> </w:t>
      </w:r>
      <w:r w:rsidR="003319B6">
        <w:rPr>
          <w:rFonts w:ascii="Times New Roman" w:hAnsi="Times New Roman"/>
        </w:rPr>
        <w:t>M</w:t>
      </w:r>
      <w:r>
        <w:rPr>
          <w:rFonts w:ascii="Times New Roman" w:hAnsi="Times New Roman"/>
        </w:rPr>
        <w:t>PE denote</w:t>
      </w:r>
      <w:r w:rsidR="00BA2716">
        <w:rPr>
          <w:rFonts w:ascii="Times New Roman" w:hAnsi="Times New Roman"/>
        </w:rPr>
        <w:t>s</w:t>
      </w:r>
      <w:r>
        <w:rPr>
          <w:rFonts w:ascii="Times New Roman" w:hAnsi="Times New Roman"/>
        </w:rPr>
        <w:t xml:space="preserve"> the </w:t>
      </w:r>
      <w:r w:rsidR="00BA2716">
        <w:rPr>
          <w:rFonts w:ascii="Times New Roman" w:hAnsi="Times New Roman"/>
        </w:rPr>
        <w:t>mean percentage error.</w:t>
      </w:r>
      <w:r>
        <w:rPr>
          <w:rFonts w:ascii="Times New Roman" w:hAnsi="Times New Roman"/>
          <w:szCs w:val="24"/>
        </w:rPr>
        <w:t xml:space="preserve">  </w:t>
      </w:r>
      <w:r w:rsidR="00BC05C2">
        <w:rPr>
          <w:rFonts w:ascii="Times New Roman" w:hAnsi="Times New Roman"/>
          <w:szCs w:val="24"/>
        </w:rPr>
        <w:t xml:space="preserve">This statistic has been added </w:t>
      </w:r>
      <w:r w:rsidR="00D05726">
        <w:rPr>
          <w:rFonts w:ascii="Times New Roman" w:hAnsi="Times New Roman"/>
          <w:szCs w:val="24"/>
        </w:rPr>
        <w:t>to the set of criteria because it offers a covenient way of measuring the amount of bias</w:t>
      </w:r>
      <w:r w:rsidR="003A59C9">
        <w:rPr>
          <w:rFonts w:ascii="Times New Roman" w:hAnsi="Times New Roman"/>
          <w:szCs w:val="24"/>
        </w:rPr>
        <w:t xml:space="preserve"> in a relative sense</w:t>
      </w:r>
      <w:r w:rsidR="00D05726">
        <w:rPr>
          <w:rFonts w:ascii="Times New Roman" w:hAnsi="Times New Roman"/>
          <w:szCs w:val="24"/>
        </w:rPr>
        <w:t>.</w:t>
      </w:r>
      <w:r w:rsidR="004C1DE9">
        <w:rPr>
          <w:rFonts w:ascii="Times New Roman" w:hAnsi="Times New Roman"/>
          <w:b/>
          <w:szCs w:val="24"/>
          <w:vertAlign w:val="superscript"/>
        </w:rPr>
        <w:t>1</w:t>
      </w:r>
      <w:r w:rsidR="004C526B">
        <w:rPr>
          <w:rFonts w:ascii="Times New Roman" w:hAnsi="Times New Roman"/>
          <w:b/>
          <w:szCs w:val="24"/>
          <w:vertAlign w:val="superscript"/>
        </w:rPr>
        <w:t>5</w:t>
      </w:r>
      <w:r w:rsidR="00D05726">
        <w:rPr>
          <w:rFonts w:ascii="Times New Roman" w:hAnsi="Times New Roman"/>
          <w:szCs w:val="24"/>
        </w:rPr>
        <w:t xml:space="preserve">  It</w:t>
      </w:r>
      <w:r w:rsidR="00D05726" w:rsidRPr="00D05726">
        <w:t xml:space="preserve"> </w:t>
      </w:r>
      <w:r w:rsidR="00D05726">
        <w:t xml:space="preserve">has also been used in many previous studies.  </w:t>
      </w:r>
      <w:r>
        <w:rPr>
          <w:rFonts w:ascii="Times New Roman" w:hAnsi="Times New Roman"/>
          <w:szCs w:val="24"/>
        </w:rPr>
        <w:t xml:space="preserve">A selection of results is presented in Table </w:t>
      </w:r>
      <w:r w:rsidR="00AE2829">
        <w:rPr>
          <w:rFonts w:ascii="Times New Roman" w:hAnsi="Times New Roman"/>
          <w:szCs w:val="24"/>
        </w:rPr>
        <w:t>3</w:t>
      </w:r>
      <w:r>
        <w:rPr>
          <w:rFonts w:ascii="Times New Roman" w:hAnsi="Times New Roman"/>
          <w:szCs w:val="24"/>
        </w:rPr>
        <w:t>.</w:t>
      </w:r>
      <w:r w:rsidR="003B7E94" w:rsidRPr="003B7E94">
        <w:t xml:space="preserve"> </w:t>
      </w:r>
      <w:r w:rsidR="003B7E94">
        <w:t xml:space="preserve"> As before, the outcomes f</w:t>
      </w:r>
      <w:r w:rsidR="0065291E">
        <w:t>o</w:t>
      </w:r>
      <w:r w:rsidR="003B7E94">
        <w:t>r the SLQ, CILQ and FLQ will be examined first.</w:t>
      </w:r>
    </w:p>
    <w:p w:rsidR="0004683F" w:rsidRDefault="0004683F" w:rsidP="0004683F">
      <w:pPr>
        <w:widowControl w:val="0"/>
        <w:spacing w:after="0" w:line="480" w:lineRule="auto"/>
        <w:ind w:firstLine="0"/>
        <w:jc w:val="center"/>
        <w:rPr>
          <w:lang w:val="en-US"/>
        </w:rPr>
      </w:pPr>
      <w:r>
        <w:rPr>
          <w:b/>
          <w:lang w:val="en-US"/>
        </w:rPr>
        <w:t xml:space="preserve">Table </w:t>
      </w:r>
      <w:r w:rsidR="00AE2829">
        <w:rPr>
          <w:b/>
          <w:lang w:val="en-US"/>
        </w:rPr>
        <w:t>3</w:t>
      </w:r>
      <w:r>
        <w:rPr>
          <w:b/>
          <w:lang w:val="en-US"/>
        </w:rPr>
        <w:t xml:space="preserve"> near here</w:t>
      </w:r>
    </w:p>
    <w:p w:rsidR="008336CA" w:rsidRDefault="008336CA" w:rsidP="008B4A5F">
      <w:pPr>
        <w:widowControl w:val="0"/>
        <w:tabs>
          <w:tab w:val="left" w:pos="426"/>
        </w:tabs>
        <w:spacing w:after="0" w:line="480" w:lineRule="auto"/>
        <w:ind w:firstLine="0"/>
      </w:pPr>
      <w:r>
        <w:tab/>
      </w:r>
      <w:r w:rsidR="00393186">
        <w:t>We should note at the outset</w:t>
      </w:r>
      <w:r>
        <w:t xml:space="preserve"> that</w:t>
      </w:r>
      <w:r w:rsidRPr="008336CA">
        <w:rPr>
          <w:color w:val="000000"/>
        </w:rPr>
        <w:t xml:space="preserve"> </w:t>
      </w:r>
      <w:r>
        <w:rPr>
          <w:color w:val="000000"/>
        </w:rPr>
        <w:t xml:space="preserve">the errors </w:t>
      </w:r>
      <w:r w:rsidR="00690385">
        <w:rPr>
          <w:color w:val="000000"/>
        </w:rPr>
        <w:t xml:space="preserve">in </w:t>
      </w:r>
      <w:r w:rsidR="00162B19">
        <w:rPr>
          <w:color w:val="000000"/>
        </w:rPr>
        <w:t>the</w:t>
      </w:r>
      <w:r w:rsidR="00690385">
        <w:rPr>
          <w:color w:val="000000"/>
        </w:rPr>
        <w:t xml:space="preserve"> multipliers </w:t>
      </w:r>
      <w:r>
        <w:rPr>
          <w:color w:val="000000"/>
        </w:rPr>
        <w:t xml:space="preserve">are </w:t>
      </w:r>
      <w:r w:rsidR="00814D17">
        <w:rPr>
          <w:color w:val="000000"/>
        </w:rPr>
        <w:t>much</w:t>
      </w:r>
      <w:r w:rsidR="00690385">
        <w:rPr>
          <w:color w:val="000000"/>
        </w:rPr>
        <w:t xml:space="preserve"> smaller than th</w:t>
      </w:r>
      <w:r w:rsidR="00393186">
        <w:rPr>
          <w:color w:val="000000"/>
        </w:rPr>
        <w:t>os</w:t>
      </w:r>
      <w:r w:rsidR="00690385">
        <w:rPr>
          <w:color w:val="000000"/>
        </w:rPr>
        <w:t xml:space="preserve">e </w:t>
      </w:r>
      <w:r w:rsidR="00202271">
        <w:rPr>
          <w:color w:val="000000"/>
        </w:rPr>
        <w:t>in</w:t>
      </w:r>
      <w:r>
        <w:rPr>
          <w:color w:val="000000"/>
        </w:rPr>
        <w:t xml:space="preserve"> </w:t>
      </w:r>
      <w:r w:rsidR="005E0722">
        <w:rPr>
          <w:color w:val="000000"/>
        </w:rPr>
        <w:t xml:space="preserve">the </w:t>
      </w:r>
      <w:r>
        <w:rPr>
          <w:color w:val="000000"/>
        </w:rPr>
        <w:t>coefficients</w:t>
      </w:r>
      <w:r w:rsidR="00690385">
        <w:rPr>
          <w:color w:val="000000"/>
        </w:rPr>
        <w:t xml:space="preserve">.  This </w:t>
      </w:r>
      <w:r w:rsidR="002C757B">
        <w:rPr>
          <w:color w:val="000000"/>
        </w:rPr>
        <w:t xml:space="preserve">is an unsurprising </w:t>
      </w:r>
      <w:r w:rsidR="00690385">
        <w:rPr>
          <w:color w:val="000000"/>
        </w:rPr>
        <w:t>outcome</w:t>
      </w:r>
      <w:r>
        <w:rPr>
          <w:color w:val="000000"/>
        </w:rPr>
        <w:t xml:space="preserve">: </w:t>
      </w:r>
      <w:r w:rsidR="0052611B">
        <w:rPr>
          <w:color w:val="000000"/>
        </w:rPr>
        <w:t>m</w:t>
      </w:r>
      <w:r w:rsidR="0052611B">
        <w:t xml:space="preserve">uch offsetting of errors occurs when </w:t>
      </w:r>
      <w:r w:rsidR="0052611B">
        <w:lastRenderedPageBreak/>
        <w:t>computing multipliers from</w:t>
      </w:r>
      <w:r>
        <w:rPr>
          <w:color w:val="000000"/>
        </w:rPr>
        <w:t xml:space="preserve"> the </w:t>
      </w:r>
      <w:r w:rsidRPr="0045458D">
        <w:rPr>
          <w:color w:val="000000"/>
        </w:rPr>
        <w:t>Leontief inverse matri</w:t>
      </w:r>
      <w:r w:rsidR="00690385">
        <w:rPr>
          <w:color w:val="000000"/>
        </w:rPr>
        <w:t>x</w:t>
      </w:r>
      <w:r>
        <w:t>.</w:t>
      </w:r>
      <w:r w:rsidR="004C1DE9">
        <w:rPr>
          <w:b/>
          <w:vertAlign w:val="superscript"/>
        </w:rPr>
        <w:t>1</w:t>
      </w:r>
      <w:r w:rsidR="004C526B">
        <w:rPr>
          <w:b/>
          <w:vertAlign w:val="superscript"/>
        </w:rPr>
        <w:t>6</w:t>
      </w:r>
      <w:r>
        <w:t xml:space="preserve">  </w:t>
      </w:r>
      <w:r w:rsidR="002C757B">
        <w:t>I</w:t>
      </w:r>
      <w:r w:rsidR="00F123B3">
        <w:t>t</w:t>
      </w:r>
      <w:r>
        <w:t xml:space="preserve"> </w:t>
      </w:r>
      <w:r w:rsidR="00F123B3">
        <w:t xml:space="preserve">may still </w:t>
      </w:r>
      <w:proofErr w:type="gramStart"/>
      <w:r w:rsidR="00F123B3">
        <w:t>be</w:t>
      </w:r>
      <w:proofErr w:type="gramEnd"/>
      <w:r w:rsidR="00F123B3">
        <w:t xml:space="preserve"> possible</w:t>
      </w:r>
      <w:r w:rsidR="002C757B">
        <w:t>, therefore,</w:t>
      </w:r>
      <w:r w:rsidR="00F123B3">
        <w:t xml:space="preserve"> </w:t>
      </w:r>
      <w:r>
        <w:t xml:space="preserve">to obtain good estimates of multipliers even </w:t>
      </w:r>
      <w:r w:rsidR="002C757B">
        <w:t>if</w:t>
      </w:r>
      <w:r>
        <w:t xml:space="preserve"> the coefficients are subject to considerable error.</w:t>
      </w:r>
      <w:r w:rsidR="002C757B">
        <w:t xml:space="preserve">  Here the choice of an appropriate method of estimation is crucial.</w:t>
      </w:r>
    </w:p>
    <w:p w:rsidR="00D24A29" w:rsidRDefault="00E81B33" w:rsidP="003670E5">
      <w:pPr>
        <w:widowControl w:val="0"/>
        <w:tabs>
          <w:tab w:val="left" w:pos="426"/>
        </w:tabs>
        <w:spacing w:after="0" w:line="480" w:lineRule="auto"/>
        <w:ind w:firstLine="0"/>
        <w:rPr>
          <w:color w:val="000000"/>
        </w:rPr>
      </w:pPr>
      <w:r>
        <w:tab/>
      </w:r>
      <w:r w:rsidR="002C757B">
        <w:t>T</w:t>
      </w:r>
      <w:r w:rsidR="00D24A29">
        <w:t xml:space="preserve">he MPE shows that, on average across the 28 sectors, the FLQ with </w:t>
      </w:r>
      <w:r w:rsidR="00D24A29" w:rsidRPr="00B335EC">
        <w:rPr>
          <w:i/>
          <w:color w:val="000000"/>
        </w:rPr>
        <w:t>δ</w:t>
      </w:r>
      <w:r w:rsidR="00D24A29">
        <w:rPr>
          <w:color w:val="000000"/>
        </w:rPr>
        <w:t xml:space="preserve"> = 0.0</w:t>
      </w:r>
      <w:r w:rsidR="00B30CED">
        <w:rPr>
          <w:color w:val="000000"/>
        </w:rPr>
        <w:t>81</w:t>
      </w:r>
      <w:r w:rsidR="00D24A29">
        <w:rPr>
          <w:color w:val="000000"/>
        </w:rPr>
        <w:t xml:space="preserve"> would eliminate any bias in the estimated multipliers</w:t>
      </w:r>
      <w:r w:rsidR="00333361">
        <w:rPr>
          <w:color w:val="000000"/>
        </w:rPr>
        <w:t>, whereas</w:t>
      </w:r>
      <w:r w:rsidR="00D24A29">
        <w:rPr>
          <w:color w:val="000000"/>
        </w:rPr>
        <w:t xml:space="preserve"> the SLQ and CILQ would overstate the average multiplier by </w:t>
      </w:r>
      <w:r w:rsidR="00B30CED">
        <w:rPr>
          <w:color w:val="000000"/>
        </w:rPr>
        <w:t>4</w:t>
      </w:r>
      <w:r w:rsidR="00D24A29">
        <w:rPr>
          <w:color w:val="000000"/>
        </w:rPr>
        <w:t>.</w:t>
      </w:r>
      <w:r w:rsidR="00B30CED">
        <w:rPr>
          <w:color w:val="000000"/>
        </w:rPr>
        <w:t>0</w:t>
      </w:r>
      <w:r w:rsidR="00D24A29">
        <w:rPr>
          <w:color w:val="000000"/>
        </w:rPr>
        <w:t xml:space="preserve">% and </w:t>
      </w:r>
      <w:r w:rsidR="00B30CED">
        <w:rPr>
          <w:color w:val="000000"/>
        </w:rPr>
        <w:t>9</w:t>
      </w:r>
      <w:r w:rsidR="00D24A29">
        <w:rPr>
          <w:color w:val="000000"/>
        </w:rPr>
        <w:t>.</w:t>
      </w:r>
      <w:r w:rsidR="00B30CED">
        <w:rPr>
          <w:color w:val="000000"/>
        </w:rPr>
        <w:t>2</w:t>
      </w:r>
      <w:r w:rsidR="00D24A29">
        <w:rPr>
          <w:color w:val="000000"/>
        </w:rPr>
        <w:t>%, respectively.</w:t>
      </w:r>
      <w:r w:rsidR="0044581B">
        <w:rPr>
          <w:color w:val="000000"/>
        </w:rPr>
        <w:t xml:space="preserve"> </w:t>
      </w:r>
      <w:r w:rsidR="0044581B" w:rsidRPr="0044581B">
        <w:rPr>
          <w:color w:val="000000"/>
        </w:rPr>
        <w:t xml:space="preserve"> </w:t>
      </w:r>
      <w:r w:rsidR="0044581B">
        <w:rPr>
          <w:color w:val="000000"/>
        </w:rPr>
        <w:t xml:space="preserve">A potential demerit of the MPE is that large positive and negative errors could offset each other, thereby giving a spurious impression of accuracy.  The STPE, WMAE and U cannot be distorted in this way and, in fact, confirm the finding from the MPE that the FLQ is the most accurate method.  </w:t>
      </w:r>
      <w:r w:rsidR="00CB2809">
        <w:rPr>
          <w:color w:val="000000"/>
        </w:rPr>
        <w:t>Indeed</w:t>
      </w:r>
      <w:r w:rsidR="0044581B">
        <w:rPr>
          <w:color w:val="000000"/>
        </w:rPr>
        <w:t xml:space="preserve">, </w:t>
      </w:r>
      <w:r w:rsidR="00CB2809">
        <w:rPr>
          <w:color w:val="000000"/>
        </w:rPr>
        <w:t xml:space="preserve">the results </w:t>
      </w:r>
      <w:r w:rsidR="00CB2809">
        <w:rPr>
          <w:lang w:val="en-US"/>
        </w:rPr>
        <w:t xml:space="preserve">for </w:t>
      </w:r>
      <w:r w:rsidR="00CB2809" w:rsidRPr="00257882">
        <w:t>Ũ</w:t>
      </w:r>
      <w:r w:rsidR="00CB2809">
        <w:rPr>
          <w:vertAlign w:val="superscript"/>
        </w:rPr>
        <w:t>M</w:t>
      </w:r>
      <w:r w:rsidR="00CB2809">
        <w:t xml:space="preserve"> and </w:t>
      </w:r>
      <w:r w:rsidR="00CB2809" w:rsidRPr="00257882">
        <w:t>Ũ</w:t>
      </w:r>
      <w:r w:rsidR="00CB2809" w:rsidRPr="00257882">
        <w:rPr>
          <w:vertAlign w:val="superscript"/>
        </w:rPr>
        <w:t>S</w:t>
      </w:r>
      <w:r w:rsidR="00CB2809">
        <w:rPr>
          <w:color w:val="000000"/>
        </w:rPr>
        <w:t xml:space="preserve"> </w:t>
      </w:r>
      <w:r w:rsidR="0044581B">
        <w:rPr>
          <w:color w:val="000000"/>
        </w:rPr>
        <w:t xml:space="preserve">show that the FLQ is </w:t>
      </w:r>
      <w:r w:rsidR="002D1CBA">
        <w:rPr>
          <w:color w:val="000000"/>
        </w:rPr>
        <w:t>far</w:t>
      </w:r>
      <w:r w:rsidR="0044581B">
        <w:rPr>
          <w:color w:val="000000"/>
        </w:rPr>
        <w:t xml:space="preserve"> </w:t>
      </w:r>
      <w:r w:rsidR="000C4EBA">
        <w:rPr>
          <w:color w:val="000000"/>
        </w:rPr>
        <w:t xml:space="preserve">more </w:t>
      </w:r>
      <w:r w:rsidR="00D57D5A">
        <w:rPr>
          <w:color w:val="000000"/>
        </w:rPr>
        <w:t>successful</w:t>
      </w:r>
      <w:r w:rsidR="000C4EBA">
        <w:rPr>
          <w:color w:val="000000"/>
        </w:rPr>
        <w:t xml:space="preserve"> than</w:t>
      </w:r>
      <w:r w:rsidR="0044581B">
        <w:rPr>
          <w:color w:val="000000"/>
        </w:rPr>
        <w:t xml:space="preserve"> the CILQ</w:t>
      </w:r>
      <w:r w:rsidR="00CB2809">
        <w:rPr>
          <w:color w:val="000000"/>
        </w:rPr>
        <w:t xml:space="preserve"> </w:t>
      </w:r>
      <w:r w:rsidR="00D57D5A">
        <w:rPr>
          <w:color w:val="000000"/>
        </w:rPr>
        <w:t>in</w:t>
      </w:r>
      <w:r w:rsidR="00CB2809">
        <w:rPr>
          <w:color w:val="000000"/>
        </w:rPr>
        <w:t xml:space="preserve"> minimiz</w:t>
      </w:r>
      <w:r w:rsidR="00D57D5A">
        <w:rPr>
          <w:color w:val="000000"/>
        </w:rPr>
        <w:t>ing</w:t>
      </w:r>
      <w:r w:rsidR="00CB2809">
        <w:rPr>
          <w:color w:val="000000"/>
        </w:rPr>
        <w:t xml:space="preserve"> both bias and </w:t>
      </w:r>
      <w:r w:rsidR="000132CB">
        <w:rPr>
          <w:color w:val="000000"/>
        </w:rPr>
        <w:t>dispersion</w:t>
      </w:r>
      <w:r w:rsidR="003670E5">
        <w:t>.</w:t>
      </w:r>
      <w:r w:rsidR="00C525A0">
        <w:t xml:space="preserve">  </w:t>
      </w:r>
      <w:r w:rsidR="00BB3B7B">
        <w:t>Relative to</w:t>
      </w:r>
      <w:r w:rsidR="00C525A0">
        <w:t xml:space="preserve"> the SLQ, the FLQ’s superiority is </w:t>
      </w:r>
      <w:r w:rsidR="00DB6FE4">
        <w:t xml:space="preserve">overwhelming as regards dispersion but </w:t>
      </w:r>
      <w:r w:rsidR="00BB3B7B">
        <w:t xml:space="preserve">is </w:t>
      </w:r>
      <w:r w:rsidR="00DB6FE4">
        <w:t>less</w:t>
      </w:r>
      <w:r w:rsidR="00D57D5A">
        <w:t xml:space="preserve"> </w:t>
      </w:r>
      <w:r w:rsidR="00DB6FE4">
        <w:t>pronounced</w:t>
      </w:r>
      <w:r w:rsidR="00D57D5A">
        <w:t xml:space="preserve"> in terms of bias</w:t>
      </w:r>
      <w:r w:rsidR="00C525A0">
        <w:t>.</w:t>
      </w:r>
    </w:p>
    <w:p w:rsidR="00B40872" w:rsidRDefault="007B4BC1" w:rsidP="0074332E">
      <w:pPr>
        <w:tabs>
          <w:tab w:val="left" w:pos="426"/>
        </w:tabs>
        <w:spacing w:after="0" w:line="480" w:lineRule="auto"/>
        <w:ind w:firstLine="0"/>
        <w:rPr>
          <w:color w:val="000000"/>
        </w:rPr>
      </w:pPr>
      <w:r>
        <w:rPr>
          <w:color w:val="000000"/>
        </w:rPr>
        <w:tab/>
      </w:r>
      <w:r>
        <w:rPr>
          <w:lang w:val="en-US"/>
        </w:rPr>
        <w:t xml:space="preserve">The </w:t>
      </w:r>
      <w:r w:rsidR="0012428D">
        <w:rPr>
          <w:lang w:val="en-US"/>
        </w:rPr>
        <w:t>result</w:t>
      </w:r>
      <w:r>
        <w:rPr>
          <w:lang w:val="en-US"/>
        </w:rPr>
        <w:t xml:space="preserve">s for </w:t>
      </w:r>
      <w:r w:rsidRPr="00257882">
        <w:t>Ũ</w:t>
      </w:r>
      <w:r>
        <w:rPr>
          <w:vertAlign w:val="superscript"/>
        </w:rPr>
        <w:t>M</w:t>
      </w:r>
      <w:r>
        <w:t xml:space="preserve"> and </w:t>
      </w:r>
      <w:r w:rsidRPr="00257882">
        <w:t>Ũ</w:t>
      </w:r>
      <w:r w:rsidRPr="00257882">
        <w:rPr>
          <w:vertAlign w:val="superscript"/>
        </w:rPr>
        <w:t>S</w:t>
      </w:r>
      <w:r>
        <w:t xml:space="preserve"> </w:t>
      </w:r>
      <w:r w:rsidR="00146257">
        <w:t xml:space="preserve">in Table 3 </w:t>
      </w:r>
      <w:r>
        <w:t xml:space="preserve">display an interesting pattern: as </w:t>
      </w:r>
      <w:r w:rsidR="00D14DB6">
        <w:t xml:space="preserve">the value of </w:t>
      </w:r>
      <w:r w:rsidRPr="00B335EC">
        <w:rPr>
          <w:i/>
          <w:color w:val="000000"/>
        </w:rPr>
        <w:t>δ</w:t>
      </w:r>
      <w:r>
        <w:rPr>
          <w:color w:val="000000"/>
        </w:rPr>
        <w:t xml:space="preserve"> rises above 0.0</w:t>
      </w:r>
      <w:r w:rsidR="00D14DB6">
        <w:rPr>
          <w:color w:val="000000"/>
        </w:rPr>
        <w:t>5</w:t>
      </w:r>
      <w:r>
        <w:rPr>
          <w:color w:val="000000"/>
        </w:rPr>
        <w:t>, the FLQ exhibits more bias</w:t>
      </w:r>
      <w:r w:rsidR="0012428D">
        <w:rPr>
          <w:color w:val="000000"/>
        </w:rPr>
        <w:t xml:space="preserve"> but</w:t>
      </w:r>
      <w:r>
        <w:rPr>
          <w:color w:val="000000"/>
        </w:rPr>
        <w:t xml:space="preserve"> a closer correspondence between the standard deviations of </w:t>
      </w:r>
      <w:r w:rsidR="00A86368" w:rsidRPr="003964F6">
        <w:rPr>
          <w:position w:val="-14"/>
        </w:rPr>
        <w:object w:dxaOrig="279" w:dyaOrig="420">
          <v:shape id="_x0000_i1047" type="#_x0000_t75" style="width:14.2pt;height:20.8pt" o:ole="">
            <v:imagedata r:id="rId55" o:title=""/>
          </v:shape>
          <o:OLEObject Type="Embed" ProgID="Equation.3" ShapeID="_x0000_i1047" DrawAspect="Content" ObjectID="_1494569100" r:id="rId56"/>
        </w:object>
      </w:r>
      <w:r w:rsidR="0012428D">
        <w:t xml:space="preserve"> and </w:t>
      </w:r>
      <w:r w:rsidR="00A86368" w:rsidRPr="003964F6">
        <w:rPr>
          <w:position w:val="-14"/>
        </w:rPr>
        <w:object w:dxaOrig="340" w:dyaOrig="380">
          <v:shape id="_x0000_i1048" type="#_x0000_t75" style="width:16.75pt;height:18.75pt" o:ole="">
            <v:imagedata r:id="rId57" o:title=""/>
          </v:shape>
          <o:OLEObject Type="Embed" ProgID="Equation.3" ShapeID="_x0000_i1048" DrawAspect="Content" ObjectID="_1494569101" r:id="rId58"/>
        </w:object>
      </w:r>
      <w:r>
        <w:rPr>
          <w:color w:val="000000"/>
        </w:rPr>
        <w:t xml:space="preserve">  </w:t>
      </w:r>
      <w:r w:rsidR="0012428D" w:rsidRPr="00B335EC">
        <w:rPr>
          <w:i/>
          <w:color w:val="000000"/>
        </w:rPr>
        <w:t>δ</w:t>
      </w:r>
      <w:r w:rsidR="0012428D">
        <w:rPr>
          <w:color w:val="000000"/>
        </w:rPr>
        <w:t xml:space="preserve"> = 0.07</w:t>
      </w:r>
      <w:r w:rsidR="00D14DB6">
        <w:rPr>
          <w:color w:val="000000"/>
        </w:rPr>
        <w:t>3</w:t>
      </w:r>
      <w:r w:rsidR="0012428D">
        <w:rPr>
          <w:color w:val="000000"/>
        </w:rPr>
        <w:t xml:space="preserve"> is optimal for</w:t>
      </w:r>
      <w:r>
        <w:rPr>
          <w:color w:val="000000"/>
        </w:rPr>
        <w:t xml:space="preserve"> </w:t>
      </w:r>
      <w:r w:rsidRPr="00257882">
        <w:t>Ũ</w:t>
      </w:r>
      <w:r>
        <w:rPr>
          <w:vertAlign w:val="superscript"/>
        </w:rPr>
        <w:t>M</w:t>
      </w:r>
      <w:r>
        <w:t xml:space="preserve">, </w:t>
      </w:r>
      <w:r>
        <w:rPr>
          <w:color w:val="000000"/>
        </w:rPr>
        <w:t xml:space="preserve">whereas </w:t>
      </w:r>
      <w:r w:rsidRPr="00257882">
        <w:t>Ũ</w:t>
      </w:r>
      <w:r w:rsidRPr="00257882">
        <w:rPr>
          <w:vertAlign w:val="superscript"/>
        </w:rPr>
        <w:t>S</w:t>
      </w:r>
      <w:r>
        <w:rPr>
          <w:color w:val="000000"/>
        </w:rPr>
        <w:t xml:space="preserve"> requires </w:t>
      </w:r>
      <w:r w:rsidRPr="00B335EC">
        <w:rPr>
          <w:i/>
          <w:color w:val="000000"/>
        </w:rPr>
        <w:t>δ</w:t>
      </w:r>
      <w:r>
        <w:rPr>
          <w:color w:val="000000"/>
        </w:rPr>
        <w:t xml:space="preserve"> = 0.</w:t>
      </w:r>
      <w:r w:rsidR="00D14DB6">
        <w:rPr>
          <w:color w:val="000000"/>
        </w:rPr>
        <w:t>321</w:t>
      </w:r>
      <w:r>
        <w:rPr>
          <w:color w:val="000000"/>
        </w:rPr>
        <w:t>.  U strikes a compromise between these two extremes, indicating a value of 0.1</w:t>
      </w:r>
      <w:r w:rsidR="00D14DB6">
        <w:rPr>
          <w:color w:val="000000"/>
        </w:rPr>
        <w:t>04</w:t>
      </w:r>
      <w:r>
        <w:rPr>
          <w:color w:val="000000"/>
        </w:rPr>
        <w:t>.</w:t>
      </w:r>
      <w:r w:rsidR="00C9355C">
        <w:rPr>
          <w:color w:val="000000"/>
        </w:rPr>
        <w:t xml:space="preserve">  This value is, however, noticeably higher than the </w:t>
      </w:r>
      <w:r w:rsidR="00C9355C" w:rsidRPr="00B335EC">
        <w:rPr>
          <w:i/>
          <w:color w:val="000000"/>
        </w:rPr>
        <w:t>δ</w:t>
      </w:r>
      <w:r w:rsidR="00C9355C">
        <w:rPr>
          <w:color w:val="000000"/>
        </w:rPr>
        <w:t xml:space="preserve"> = 0.042 </w:t>
      </w:r>
      <w:r w:rsidR="002D1CBA">
        <w:rPr>
          <w:color w:val="000000"/>
        </w:rPr>
        <w:t>shown</w:t>
      </w:r>
      <w:r w:rsidR="00C9355C">
        <w:rPr>
          <w:color w:val="000000"/>
        </w:rPr>
        <w:t xml:space="preserve"> by the STPE.</w:t>
      </w:r>
    </w:p>
    <w:p w:rsidR="00C42052" w:rsidRDefault="00B40872" w:rsidP="0042019B">
      <w:pPr>
        <w:widowControl w:val="0"/>
        <w:tabs>
          <w:tab w:val="left" w:pos="426"/>
        </w:tabs>
        <w:spacing w:after="0" w:line="480" w:lineRule="auto"/>
        <w:ind w:firstLine="0"/>
        <w:rPr>
          <w:color w:val="000000"/>
        </w:rPr>
      </w:pPr>
      <w:r>
        <w:rPr>
          <w:color w:val="000000"/>
        </w:rPr>
        <w:tab/>
      </w:r>
      <w:r w:rsidR="00CB48EE">
        <w:rPr>
          <w:color w:val="000000"/>
        </w:rPr>
        <w:t>In the case of</w:t>
      </w:r>
      <w:r w:rsidR="00F77DD3">
        <w:rPr>
          <w:color w:val="000000"/>
        </w:rPr>
        <w:t xml:space="preserve"> </w:t>
      </w:r>
      <w:r w:rsidR="00F77DD3" w:rsidRPr="00257882">
        <w:t>Ũ</w:t>
      </w:r>
      <w:r w:rsidR="00F77DD3">
        <w:rPr>
          <w:vertAlign w:val="superscript"/>
        </w:rPr>
        <w:t>M</w:t>
      </w:r>
      <w:r w:rsidR="00F77DD3">
        <w:t xml:space="preserve">, </w:t>
      </w:r>
      <w:r w:rsidR="0074332E">
        <w:rPr>
          <w:color w:val="000000"/>
        </w:rPr>
        <w:t xml:space="preserve">the </w:t>
      </w:r>
      <w:r w:rsidR="002330EC">
        <w:rPr>
          <w:color w:val="000000"/>
        </w:rPr>
        <w:t>finding</w:t>
      </w:r>
      <w:r w:rsidR="0074332E">
        <w:rPr>
          <w:color w:val="000000"/>
        </w:rPr>
        <w:t xml:space="preserve">s for coefficients and multipliers </w:t>
      </w:r>
      <w:r w:rsidR="009D4ACF">
        <w:rPr>
          <w:color w:val="000000"/>
        </w:rPr>
        <w:t xml:space="preserve">are fairly similar </w:t>
      </w:r>
      <w:r w:rsidR="00F77DD3">
        <w:rPr>
          <w:color w:val="000000"/>
        </w:rPr>
        <w:t xml:space="preserve">in terms of the optimal </w:t>
      </w:r>
      <w:r w:rsidR="00F77DD3" w:rsidRPr="00B335EC">
        <w:rPr>
          <w:i/>
          <w:color w:val="000000"/>
        </w:rPr>
        <w:t>δ</w:t>
      </w:r>
      <w:r w:rsidR="00F77DD3">
        <w:rPr>
          <w:color w:val="000000"/>
        </w:rPr>
        <w:t xml:space="preserve">.  </w:t>
      </w:r>
      <w:r w:rsidR="00146257">
        <w:rPr>
          <w:color w:val="000000"/>
        </w:rPr>
        <w:t>T</w:t>
      </w:r>
      <w:r w:rsidR="00E22FD9">
        <w:rPr>
          <w:color w:val="000000"/>
        </w:rPr>
        <w:t>here is</w:t>
      </w:r>
      <w:r w:rsidR="00146257">
        <w:rPr>
          <w:color w:val="000000"/>
        </w:rPr>
        <w:t>, however,</w:t>
      </w:r>
      <w:r w:rsidR="00E22FD9">
        <w:rPr>
          <w:color w:val="000000"/>
        </w:rPr>
        <w:t xml:space="preserve"> </w:t>
      </w:r>
      <w:r>
        <w:rPr>
          <w:color w:val="000000"/>
        </w:rPr>
        <w:t>a</w:t>
      </w:r>
      <w:r w:rsidR="00D24BE3">
        <w:rPr>
          <w:color w:val="000000"/>
        </w:rPr>
        <w:t xml:space="preserve"> </w:t>
      </w:r>
      <w:r w:rsidR="00B36445">
        <w:rPr>
          <w:color w:val="000000"/>
        </w:rPr>
        <w:t>sharp</w:t>
      </w:r>
      <w:r w:rsidR="0074332E">
        <w:rPr>
          <w:color w:val="000000"/>
        </w:rPr>
        <w:t xml:space="preserve"> </w:t>
      </w:r>
      <w:r w:rsidR="00B36445">
        <w:rPr>
          <w:color w:val="000000"/>
        </w:rPr>
        <w:t>contrast</w:t>
      </w:r>
      <w:r w:rsidR="00D24BE3">
        <w:rPr>
          <w:color w:val="000000"/>
        </w:rPr>
        <w:t xml:space="preserve"> </w:t>
      </w:r>
      <w:r w:rsidR="0074332E">
        <w:rPr>
          <w:color w:val="000000"/>
        </w:rPr>
        <w:t xml:space="preserve">between the </w:t>
      </w:r>
      <w:r w:rsidR="00B36445">
        <w:rPr>
          <w:color w:val="000000"/>
        </w:rPr>
        <w:t xml:space="preserve">outcomes </w:t>
      </w:r>
      <w:r w:rsidR="00F77DD3">
        <w:rPr>
          <w:color w:val="000000"/>
        </w:rPr>
        <w:t>for the WMAE</w:t>
      </w:r>
      <w:r w:rsidR="00C909E8">
        <w:rPr>
          <w:color w:val="000000"/>
        </w:rPr>
        <w:t xml:space="preserve"> in Tables 2 and 3</w:t>
      </w:r>
      <w:r w:rsidR="00E22FD9">
        <w:rPr>
          <w:color w:val="000000"/>
        </w:rPr>
        <w:t>:</w:t>
      </w:r>
      <w:r w:rsidR="00C62467">
        <w:rPr>
          <w:color w:val="000000"/>
        </w:rPr>
        <w:t xml:space="preserve"> </w:t>
      </w:r>
      <w:r w:rsidR="00E22FD9">
        <w:rPr>
          <w:color w:val="000000"/>
        </w:rPr>
        <w:t xml:space="preserve">whereas </w:t>
      </w:r>
      <w:r w:rsidR="00E22FD9" w:rsidRPr="00B335EC">
        <w:rPr>
          <w:i/>
          <w:color w:val="000000"/>
        </w:rPr>
        <w:t>δ</w:t>
      </w:r>
      <w:r w:rsidR="00E22FD9">
        <w:rPr>
          <w:color w:val="000000"/>
        </w:rPr>
        <w:t xml:space="preserve"> = 0.</w:t>
      </w:r>
      <w:r w:rsidR="00E22FD9" w:rsidRPr="00E22FD9">
        <w:rPr>
          <w:color w:val="000000"/>
        </w:rPr>
        <w:t>0</w:t>
      </w:r>
      <w:r w:rsidR="00DC7443">
        <w:rPr>
          <w:color w:val="000000"/>
        </w:rPr>
        <w:t>08</w:t>
      </w:r>
      <w:r w:rsidR="00D24BE3">
        <w:rPr>
          <w:color w:val="000000"/>
        </w:rPr>
        <w:t xml:space="preserve"> </w:t>
      </w:r>
      <w:r w:rsidR="00E22FD9">
        <w:t>minimizes</w:t>
      </w:r>
      <w:r w:rsidR="00E22FD9">
        <w:rPr>
          <w:color w:val="000000"/>
        </w:rPr>
        <w:t xml:space="preserve"> </w:t>
      </w:r>
      <w:r w:rsidR="00D24BE3">
        <w:rPr>
          <w:color w:val="000000"/>
        </w:rPr>
        <w:t>the WMAE</w:t>
      </w:r>
      <w:r w:rsidR="00D24BE3">
        <w:t xml:space="preserve"> </w:t>
      </w:r>
      <w:r w:rsidR="00E22FD9" w:rsidRPr="00E22FD9">
        <w:rPr>
          <w:color w:val="000000"/>
        </w:rPr>
        <w:t>for coefficients</w:t>
      </w:r>
      <w:r w:rsidR="00D24BE3">
        <w:rPr>
          <w:color w:val="000000"/>
        </w:rPr>
        <w:t xml:space="preserve">, </w:t>
      </w:r>
      <w:r w:rsidR="00D24BE3" w:rsidRPr="00B335EC">
        <w:rPr>
          <w:i/>
          <w:color w:val="000000"/>
        </w:rPr>
        <w:t>δ</w:t>
      </w:r>
      <w:r w:rsidR="00D24BE3">
        <w:rPr>
          <w:color w:val="000000"/>
        </w:rPr>
        <w:t xml:space="preserve"> = 0.</w:t>
      </w:r>
      <w:r w:rsidR="00DC7443">
        <w:rPr>
          <w:color w:val="000000"/>
        </w:rPr>
        <w:t>088</w:t>
      </w:r>
      <w:r w:rsidR="00D24BE3">
        <w:rPr>
          <w:color w:val="000000"/>
        </w:rPr>
        <w:t xml:space="preserve"> is required for multipliers</w:t>
      </w:r>
      <w:r w:rsidR="0074332E">
        <w:rPr>
          <w:color w:val="000000"/>
        </w:rPr>
        <w:t>.</w:t>
      </w:r>
      <w:r w:rsidR="00D24BE3">
        <w:rPr>
          <w:color w:val="000000"/>
        </w:rPr>
        <w:t xml:space="preserve"> </w:t>
      </w:r>
      <w:r>
        <w:rPr>
          <w:color w:val="000000"/>
        </w:rPr>
        <w:t xml:space="preserve"> </w:t>
      </w:r>
      <w:r w:rsidR="00AA48B8">
        <w:rPr>
          <w:color w:val="000000"/>
        </w:rPr>
        <w:t>As before, sector 4 can explain some of this difference in outcomes</w:t>
      </w:r>
      <w:r w:rsidR="007B31AB">
        <w:rPr>
          <w:color w:val="000000"/>
        </w:rPr>
        <w:t>.</w:t>
      </w:r>
      <w:r w:rsidR="00DC7443">
        <w:rPr>
          <w:color w:val="000000"/>
        </w:rPr>
        <w:t xml:space="preserve"> </w:t>
      </w:r>
      <w:r w:rsidR="00C9355C" w:rsidRPr="00C9355C">
        <w:rPr>
          <w:color w:val="000000"/>
        </w:rPr>
        <w:t xml:space="preserve"> </w:t>
      </w:r>
      <w:r w:rsidR="00D36091">
        <w:rPr>
          <w:color w:val="000000"/>
        </w:rPr>
        <w:t xml:space="preserve">Another noticeable contrast between the </w:t>
      </w:r>
      <w:r w:rsidR="002330EC">
        <w:rPr>
          <w:color w:val="000000"/>
        </w:rPr>
        <w:t>two tables</w:t>
      </w:r>
      <w:r w:rsidR="00D36091">
        <w:rPr>
          <w:color w:val="000000"/>
        </w:rPr>
        <w:t xml:space="preserve"> is that the optimal </w:t>
      </w:r>
      <w:r w:rsidR="00D36091" w:rsidRPr="00B335EC">
        <w:rPr>
          <w:i/>
          <w:color w:val="000000"/>
        </w:rPr>
        <w:t>δ</w:t>
      </w:r>
      <w:r w:rsidR="00D36091">
        <w:rPr>
          <w:color w:val="000000"/>
        </w:rPr>
        <w:t xml:space="preserve"> for the STPE </w:t>
      </w:r>
      <w:r w:rsidR="00C3352A">
        <w:rPr>
          <w:color w:val="000000"/>
        </w:rPr>
        <w:t xml:space="preserve">is </w:t>
      </w:r>
      <w:r w:rsidR="007B31AB">
        <w:rPr>
          <w:color w:val="000000"/>
        </w:rPr>
        <w:t>0.118 for coefficients, yet only 0.042</w:t>
      </w:r>
      <w:r w:rsidR="00C3352A">
        <w:rPr>
          <w:color w:val="000000"/>
        </w:rPr>
        <w:t xml:space="preserve"> for multipliers.</w:t>
      </w:r>
    </w:p>
    <w:p w:rsidR="00D24BE3" w:rsidRDefault="00C42052" w:rsidP="0042019B">
      <w:pPr>
        <w:widowControl w:val="0"/>
        <w:tabs>
          <w:tab w:val="left" w:pos="426"/>
        </w:tabs>
        <w:spacing w:after="0" w:line="480" w:lineRule="auto"/>
        <w:ind w:firstLine="0"/>
        <w:rPr>
          <w:color w:val="000000"/>
        </w:rPr>
      </w:pPr>
      <w:r>
        <w:rPr>
          <w:color w:val="000000"/>
        </w:rPr>
        <w:tab/>
      </w:r>
      <w:r w:rsidR="005706C4">
        <w:rPr>
          <w:color w:val="000000"/>
        </w:rPr>
        <w:t>Turning now to an assessment of</w:t>
      </w:r>
      <w:r w:rsidR="00361F6B">
        <w:rPr>
          <w:color w:val="000000"/>
        </w:rPr>
        <w:t xml:space="preserve"> the</w:t>
      </w:r>
      <w:r w:rsidR="005706C4">
        <w:rPr>
          <w:color w:val="000000"/>
        </w:rPr>
        <w:t xml:space="preserve"> relative</w:t>
      </w:r>
      <w:r w:rsidR="00361F6B">
        <w:rPr>
          <w:color w:val="000000"/>
        </w:rPr>
        <w:t xml:space="preserve"> performance of the FLQ and </w:t>
      </w:r>
      <w:r w:rsidR="00361F6B" w:rsidRPr="000417DD">
        <w:rPr>
          <w:color w:val="000000"/>
        </w:rPr>
        <w:t>AFLQ</w:t>
      </w:r>
      <w:r w:rsidR="005706C4">
        <w:rPr>
          <w:color w:val="000000"/>
        </w:rPr>
        <w:t>, it again</w:t>
      </w:r>
      <w:r w:rsidR="00361F6B">
        <w:rPr>
          <w:color w:val="000000"/>
        </w:rPr>
        <w:t xml:space="preserve"> seems </w:t>
      </w:r>
      <w:r w:rsidR="00A01E5F">
        <w:rPr>
          <w:color w:val="000000"/>
        </w:rPr>
        <w:t>app</w:t>
      </w:r>
      <w:r w:rsidR="00361F6B">
        <w:rPr>
          <w:color w:val="000000"/>
        </w:rPr>
        <w:t>ro</w:t>
      </w:r>
      <w:r w:rsidR="00A01E5F">
        <w:rPr>
          <w:color w:val="000000"/>
        </w:rPr>
        <w:t>pri</w:t>
      </w:r>
      <w:r w:rsidR="00361F6B">
        <w:rPr>
          <w:color w:val="000000"/>
        </w:rPr>
        <w:t>a</w:t>
      </w:r>
      <w:r w:rsidR="00A01E5F">
        <w:rPr>
          <w:color w:val="000000"/>
        </w:rPr>
        <w:t>t</w:t>
      </w:r>
      <w:r w:rsidR="00361F6B">
        <w:rPr>
          <w:color w:val="000000"/>
        </w:rPr>
        <w:t>e to select 0.1</w:t>
      </w:r>
      <w:r w:rsidR="005706C4">
        <w:rPr>
          <w:color w:val="000000"/>
        </w:rPr>
        <w:t xml:space="preserve"> and 0.15</w:t>
      </w:r>
      <w:r w:rsidR="00361F6B">
        <w:rPr>
          <w:color w:val="000000"/>
        </w:rPr>
        <w:t xml:space="preserve"> as </w:t>
      </w:r>
      <w:r w:rsidR="005706C4">
        <w:rPr>
          <w:color w:val="000000"/>
        </w:rPr>
        <w:t>the respective</w:t>
      </w:r>
      <w:r w:rsidR="00361F6B">
        <w:rPr>
          <w:color w:val="000000"/>
        </w:rPr>
        <w:t xml:space="preserve"> typical value</w:t>
      </w:r>
      <w:r w:rsidR="005706C4">
        <w:rPr>
          <w:color w:val="000000"/>
        </w:rPr>
        <w:t xml:space="preserve">s of </w:t>
      </w:r>
      <w:r w:rsidR="005706C4" w:rsidRPr="00B335EC">
        <w:rPr>
          <w:i/>
          <w:color w:val="000000"/>
        </w:rPr>
        <w:t>δ</w:t>
      </w:r>
      <w:r w:rsidR="00361F6B">
        <w:rPr>
          <w:color w:val="000000"/>
        </w:rPr>
        <w:t xml:space="preserve"> for the </w:t>
      </w:r>
      <w:r w:rsidR="00361F6B">
        <w:rPr>
          <w:color w:val="000000"/>
        </w:rPr>
        <w:lastRenderedPageBreak/>
        <w:t xml:space="preserve">FLQ </w:t>
      </w:r>
      <w:r w:rsidR="005706C4">
        <w:rPr>
          <w:color w:val="000000"/>
        </w:rPr>
        <w:t>and</w:t>
      </w:r>
      <w:r w:rsidR="00361F6B">
        <w:rPr>
          <w:color w:val="000000"/>
        </w:rPr>
        <w:t xml:space="preserve"> AFLQ.  On this basis, one can see that the STPE and U judge the AFLQ to be </w:t>
      </w:r>
      <w:r w:rsidR="00A01E5F">
        <w:rPr>
          <w:color w:val="000000"/>
        </w:rPr>
        <w:t>a little</w:t>
      </w:r>
      <w:r w:rsidR="00361F6B">
        <w:rPr>
          <w:color w:val="000000"/>
        </w:rPr>
        <w:t xml:space="preserve"> more accurate than the FLQ, whereas</w:t>
      </w:r>
      <w:r w:rsidR="00A01E5F">
        <w:rPr>
          <w:color w:val="000000"/>
        </w:rPr>
        <w:t xml:space="preserve"> the WMAE suggests the opposite. </w:t>
      </w:r>
      <w:r w:rsidR="00361F6B">
        <w:rPr>
          <w:color w:val="000000"/>
        </w:rPr>
        <w:t xml:space="preserve"> </w:t>
      </w:r>
      <w:r w:rsidR="00361F6B" w:rsidRPr="00257882">
        <w:t>Ũ</w:t>
      </w:r>
      <w:r w:rsidR="00361F6B">
        <w:rPr>
          <w:vertAlign w:val="superscript"/>
        </w:rPr>
        <w:t>M</w:t>
      </w:r>
      <w:r w:rsidR="00361F6B">
        <w:t xml:space="preserve"> and </w:t>
      </w:r>
      <w:r w:rsidR="00361F6B" w:rsidRPr="00257882">
        <w:t>Ũ</w:t>
      </w:r>
      <w:r w:rsidR="00361F6B" w:rsidRPr="00257882">
        <w:rPr>
          <w:vertAlign w:val="superscript"/>
        </w:rPr>
        <w:t>S</w:t>
      </w:r>
      <w:r w:rsidR="00361F6B">
        <w:rPr>
          <w:color w:val="000000"/>
        </w:rPr>
        <w:t xml:space="preserve"> </w:t>
      </w:r>
      <w:r w:rsidR="00A01E5F">
        <w:rPr>
          <w:color w:val="000000"/>
        </w:rPr>
        <w:t xml:space="preserve">again </w:t>
      </w:r>
      <w:r w:rsidR="00361F6B">
        <w:rPr>
          <w:color w:val="000000"/>
        </w:rPr>
        <w:t>give conflicting outcomes.</w:t>
      </w:r>
    </w:p>
    <w:p w:rsidR="00E43231" w:rsidRDefault="00E43231" w:rsidP="00E43231">
      <w:pPr>
        <w:widowControl w:val="0"/>
        <w:tabs>
          <w:tab w:val="left" w:pos="426"/>
        </w:tabs>
        <w:spacing w:after="0"/>
        <w:ind w:firstLine="0"/>
        <w:rPr>
          <w:color w:val="000000"/>
        </w:rPr>
      </w:pPr>
    </w:p>
    <w:p w:rsidR="00E43231" w:rsidRDefault="00E43231" w:rsidP="00E43231">
      <w:pPr>
        <w:spacing w:after="0" w:line="480" w:lineRule="auto"/>
        <w:ind w:firstLine="0"/>
        <w:jc w:val="left"/>
        <w:rPr>
          <w:b/>
          <w:lang w:val="en-US"/>
        </w:rPr>
      </w:pPr>
      <w:r>
        <w:rPr>
          <w:color w:val="000000"/>
        </w:rPr>
        <w:t>7</w:t>
      </w:r>
      <w:r>
        <w:rPr>
          <w:b/>
          <w:lang w:val="en-US"/>
        </w:rPr>
        <w:t xml:space="preserve">   ESTIMATING IMPORTS</w:t>
      </w:r>
    </w:p>
    <w:p w:rsidR="00E43231" w:rsidRPr="001706BB" w:rsidRDefault="00A86368" w:rsidP="001706BB">
      <w:pPr>
        <w:spacing w:after="0" w:line="480" w:lineRule="auto"/>
        <w:ind w:firstLine="0"/>
        <w:rPr>
          <w:lang w:val="en-US"/>
        </w:rPr>
      </w:pPr>
      <w:r>
        <w:rPr>
          <w:lang w:val="en-US"/>
        </w:rPr>
        <w:t>A key objective of any LQ-based formula is to estimate a region’s imports from other regions and the</w:t>
      </w:r>
      <w:r w:rsidR="00E43231">
        <w:rPr>
          <w:lang w:val="en-US"/>
        </w:rPr>
        <w:t xml:space="preserve"> following statistics will be employed to assess </w:t>
      </w:r>
      <w:r>
        <w:rPr>
          <w:lang w:val="en-US"/>
        </w:rPr>
        <w:t>the</w:t>
      </w:r>
      <w:r w:rsidR="00E43231">
        <w:rPr>
          <w:lang w:val="en-US"/>
        </w:rPr>
        <w:t xml:space="preserve"> accuracy of the</w:t>
      </w:r>
      <w:r>
        <w:rPr>
          <w:lang w:val="en-US"/>
        </w:rPr>
        <w:t>se</w:t>
      </w:r>
      <w:r w:rsidR="00E43231">
        <w:rPr>
          <w:lang w:val="en-US"/>
        </w:rPr>
        <w:t xml:space="preserve"> estimate</w:t>
      </w:r>
      <w:r w:rsidR="001706BB">
        <w:rPr>
          <w:lang w:val="en-US"/>
        </w:rPr>
        <w:t>s:</w:t>
      </w:r>
    </w:p>
    <w:p w:rsidR="00E43231" w:rsidRPr="00D12F8F" w:rsidRDefault="001B3A13" w:rsidP="001B3A13">
      <w:pPr>
        <w:pStyle w:val="Normaali1"/>
        <w:tabs>
          <w:tab w:val="left" w:pos="567"/>
          <w:tab w:val="center" w:pos="4536"/>
          <w:tab w:val="right" w:pos="8931"/>
        </w:tabs>
        <w:spacing w:line="480" w:lineRule="auto"/>
        <w:jc w:val="center"/>
        <w:rPr>
          <w:rFonts w:ascii="Times New Roman" w:hAnsi="Times New Roman"/>
        </w:rPr>
      </w:pPr>
      <w:r>
        <w:rPr>
          <w:rFonts w:ascii="Times New Roman" w:hAnsi="Times New Roman"/>
          <w:lang w:val="en-GB"/>
        </w:rPr>
        <w:tab/>
      </w:r>
      <w:r>
        <w:rPr>
          <w:rFonts w:ascii="Times New Roman" w:hAnsi="Times New Roman"/>
          <w:lang w:val="en-GB"/>
        </w:rPr>
        <w:tab/>
      </w:r>
      <w:r w:rsidR="00F713A1">
        <w:rPr>
          <w:rFonts w:ascii="Times New Roman" w:hAnsi="Times New Roman"/>
          <w:lang w:val="en-GB"/>
        </w:rPr>
        <w:t>MA</w:t>
      </w:r>
      <w:r w:rsidR="0013234B">
        <w:rPr>
          <w:rFonts w:ascii="Times New Roman" w:hAnsi="Times New Roman"/>
          <w:lang w:val="en-GB"/>
        </w:rPr>
        <w:t>E</w:t>
      </w:r>
      <w:r w:rsidR="00E43231" w:rsidRPr="0009111F">
        <w:rPr>
          <w:rFonts w:ascii="Times New Roman" w:hAnsi="Times New Roman"/>
          <w:lang w:val="en-GB"/>
        </w:rPr>
        <w:t xml:space="preserve"> = </w:t>
      </w:r>
      <w:r w:rsidR="00726F16">
        <w:rPr>
          <w:rFonts w:ascii="Times New Roman" w:hAnsi="Times New Roman"/>
          <w:lang w:val="en-GB"/>
        </w:rPr>
        <w:t>(1/</w:t>
      </w:r>
      <w:r w:rsidR="0008522F">
        <w:rPr>
          <w:rFonts w:ascii="Times New Roman" w:hAnsi="Times New Roman"/>
          <w:lang w:val="en-GB"/>
        </w:rPr>
        <w:t>28</w:t>
      </w:r>
      <w:r w:rsidR="00F713A1">
        <w:rPr>
          <w:rFonts w:ascii="Times New Roman" w:hAnsi="Times New Roman"/>
          <w:lang w:val="en-GB"/>
        </w:rPr>
        <w:t>)</w:t>
      </w:r>
      <w:r w:rsidR="00E43231" w:rsidRPr="0009111F">
        <w:rPr>
          <w:rFonts w:ascii="Times New Roman" w:hAnsi="Times New Roman"/>
          <w:vertAlign w:val="subscript"/>
          <w:lang w:val="en-GB"/>
        </w:rPr>
        <w:t xml:space="preserve"> </w:t>
      </w:r>
      <w:proofErr w:type="spellStart"/>
      <w:r w:rsidR="00E43231" w:rsidRPr="0009111F">
        <w:rPr>
          <w:rFonts w:ascii="Times New Roman" w:hAnsi="Times New Roman"/>
          <w:lang w:val="en-GB"/>
        </w:rPr>
        <w:t>Σ</w:t>
      </w:r>
      <w:r w:rsidR="00E43231" w:rsidRPr="00B335EC">
        <w:rPr>
          <w:rFonts w:ascii="Times New Roman" w:hAnsi="Times New Roman"/>
          <w:i/>
          <w:vertAlign w:val="subscript"/>
          <w:lang w:val="en-GB"/>
        </w:rPr>
        <w:t>j</w:t>
      </w:r>
      <w:proofErr w:type="spellEnd"/>
      <w:r w:rsidR="00E43231" w:rsidRPr="0009111F">
        <w:rPr>
          <w:rFonts w:ascii="Times New Roman" w:hAnsi="Times New Roman"/>
          <w:vertAlign w:val="subscript"/>
          <w:lang w:val="en-GB"/>
        </w:rPr>
        <w:t xml:space="preserve"> </w:t>
      </w:r>
      <w:r w:rsidR="00E43231" w:rsidRPr="0009111F">
        <w:rPr>
          <w:rFonts w:ascii="Times New Roman" w:hAnsi="Times New Roman"/>
          <w:spacing w:val="-2"/>
          <w:szCs w:val="22"/>
        </w:rPr>
        <w:t>|</w:t>
      </w:r>
      <w:r w:rsidR="00651ECB" w:rsidRPr="00BF1DA4">
        <w:rPr>
          <w:rFonts w:ascii="Times New Roman" w:hAnsi="Times New Roman"/>
          <w:position w:val="-14"/>
        </w:rPr>
        <w:object w:dxaOrig="880" w:dyaOrig="380">
          <v:shape id="_x0000_i1049" type="#_x0000_t75" style="width:42.6pt;height:19.75pt" o:ole="">
            <v:imagedata r:id="rId59" o:title=""/>
          </v:shape>
          <o:OLEObject Type="Embed" ProgID="Equation.3" ShapeID="_x0000_i1049" DrawAspect="Content" ObjectID="_1494569102" r:id="rId60"/>
        </w:object>
      </w:r>
      <w:r w:rsidR="00E43231" w:rsidRPr="0009111F">
        <w:rPr>
          <w:rFonts w:ascii="Times New Roman" w:hAnsi="Times New Roman"/>
          <w:spacing w:val="-2"/>
          <w:szCs w:val="22"/>
        </w:rPr>
        <w:t>|</w:t>
      </w:r>
      <w:r>
        <w:rPr>
          <w:rFonts w:ascii="Times New Roman" w:hAnsi="Times New Roman"/>
        </w:rPr>
        <w:tab/>
      </w:r>
      <w:r w:rsidR="00E43231">
        <w:rPr>
          <w:rFonts w:ascii="Times New Roman" w:hAnsi="Times New Roman"/>
        </w:rPr>
        <w:t>(</w:t>
      </w:r>
      <w:r w:rsidR="004A635B">
        <w:rPr>
          <w:rFonts w:ascii="Times New Roman" w:hAnsi="Times New Roman"/>
        </w:rPr>
        <w:t>2</w:t>
      </w:r>
      <w:r w:rsidR="001706BB">
        <w:rPr>
          <w:rFonts w:ascii="Times New Roman" w:hAnsi="Times New Roman"/>
        </w:rPr>
        <w:t>0</w:t>
      </w:r>
      <w:r w:rsidR="00E43231">
        <w:rPr>
          <w:rFonts w:ascii="Times New Roman" w:hAnsi="Times New Roman"/>
        </w:rPr>
        <w:t>)</w:t>
      </w:r>
    </w:p>
    <w:p w:rsidR="00E43231" w:rsidRDefault="001B3A13" w:rsidP="001B3A13">
      <w:pPr>
        <w:pStyle w:val="Normaali1"/>
        <w:tabs>
          <w:tab w:val="left" w:pos="567"/>
          <w:tab w:val="center" w:pos="4536"/>
          <w:tab w:val="right" w:pos="8931"/>
        </w:tabs>
        <w:spacing w:line="480" w:lineRule="auto"/>
        <w:jc w:val="center"/>
        <w:rPr>
          <w:rFonts w:ascii="Times New Roman" w:hAnsi="Times New Roman"/>
        </w:rPr>
      </w:pPr>
      <w:r>
        <w:rPr>
          <w:rFonts w:ascii="Times New Roman" w:hAnsi="Times New Roman"/>
          <w:lang w:val="en-GB"/>
        </w:rPr>
        <w:tab/>
      </w:r>
      <w:r>
        <w:rPr>
          <w:rFonts w:ascii="Times New Roman" w:hAnsi="Times New Roman"/>
          <w:lang w:val="en-GB"/>
        </w:rPr>
        <w:tab/>
      </w:r>
      <w:r w:rsidR="00E43231">
        <w:rPr>
          <w:rFonts w:ascii="Times New Roman" w:hAnsi="Times New Roman"/>
          <w:lang w:val="en-GB"/>
        </w:rPr>
        <w:t>W</w:t>
      </w:r>
      <w:r w:rsidR="0086246B">
        <w:rPr>
          <w:rFonts w:ascii="Times New Roman" w:hAnsi="Times New Roman"/>
          <w:lang w:val="en-GB"/>
        </w:rPr>
        <w:t>M</w:t>
      </w:r>
      <w:r w:rsidR="00E43231">
        <w:rPr>
          <w:rFonts w:ascii="Times New Roman" w:hAnsi="Times New Roman"/>
          <w:lang w:val="en-GB"/>
        </w:rPr>
        <w:t>A</w:t>
      </w:r>
      <w:r w:rsidR="0013234B">
        <w:rPr>
          <w:rFonts w:ascii="Times New Roman" w:hAnsi="Times New Roman"/>
          <w:lang w:val="en-GB"/>
        </w:rPr>
        <w:t>E</w:t>
      </w:r>
      <w:r w:rsidR="00E43231" w:rsidRPr="0009111F">
        <w:rPr>
          <w:rFonts w:ascii="Times New Roman" w:hAnsi="Times New Roman"/>
          <w:lang w:val="en-GB"/>
        </w:rPr>
        <w:t xml:space="preserve"> = </w:t>
      </w:r>
      <w:proofErr w:type="spellStart"/>
      <w:r w:rsidR="00E43231" w:rsidRPr="0009111F">
        <w:rPr>
          <w:rFonts w:ascii="Times New Roman" w:hAnsi="Times New Roman"/>
          <w:lang w:val="en-GB"/>
        </w:rPr>
        <w:t>Σ</w:t>
      </w:r>
      <w:r w:rsidR="00E43231" w:rsidRPr="00B335EC">
        <w:rPr>
          <w:rFonts w:ascii="Times New Roman" w:hAnsi="Times New Roman"/>
          <w:i/>
          <w:vertAlign w:val="subscript"/>
          <w:lang w:val="en-GB"/>
        </w:rPr>
        <w:t>j</w:t>
      </w:r>
      <w:proofErr w:type="spellEnd"/>
      <w:r w:rsidR="00E43231" w:rsidRPr="0009111F">
        <w:rPr>
          <w:rFonts w:ascii="Times New Roman" w:hAnsi="Times New Roman"/>
          <w:vertAlign w:val="subscript"/>
          <w:lang w:val="en-GB"/>
        </w:rPr>
        <w:t xml:space="preserve"> </w:t>
      </w:r>
      <w:proofErr w:type="spellStart"/>
      <w:r w:rsidR="00E43231" w:rsidRPr="0024027F">
        <w:rPr>
          <w:rFonts w:ascii="Times New Roman" w:hAnsi="Times New Roman"/>
          <w:i/>
          <w:lang w:val="en-GB"/>
        </w:rPr>
        <w:t>w</w:t>
      </w:r>
      <w:r w:rsidR="00E43231" w:rsidRPr="0024027F">
        <w:rPr>
          <w:rFonts w:ascii="Times New Roman" w:hAnsi="Times New Roman"/>
          <w:i/>
          <w:vertAlign w:val="subscript"/>
          <w:lang w:val="en-GB"/>
        </w:rPr>
        <w:t>j</w:t>
      </w:r>
      <w:proofErr w:type="spellEnd"/>
      <w:r w:rsidR="00E43231" w:rsidRPr="0009111F">
        <w:rPr>
          <w:rFonts w:ascii="Times New Roman" w:hAnsi="Times New Roman"/>
          <w:vertAlign w:val="subscript"/>
          <w:lang w:val="en-GB"/>
        </w:rPr>
        <w:t xml:space="preserve"> </w:t>
      </w:r>
      <w:r w:rsidR="00E43231" w:rsidRPr="0009111F">
        <w:rPr>
          <w:rFonts w:ascii="Times New Roman" w:hAnsi="Times New Roman"/>
          <w:spacing w:val="-2"/>
          <w:szCs w:val="22"/>
        </w:rPr>
        <w:t>|</w:t>
      </w:r>
      <w:r w:rsidR="00651ECB" w:rsidRPr="00BF1DA4">
        <w:rPr>
          <w:rFonts w:ascii="Times New Roman" w:hAnsi="Times New Roman"/>
          <w:position w:val="-14"/>
        </w:rPr>
        <w:object w:dxaOrig="880" w:dyaOrig="380">
          <v:shape id="_x0000_i1050" type="#_x0000_t75" style="width:42.6pt;height:19.75pt" o:ole="">
            <v:imagedata r:id="rId61" o:title=""/>
          </v:shape>
          <o:OLEObject Type="Embed" ProgID="Equation.3" ShapeID="_x0000_i1050" DrawAspect="Content" ObjectID="_1494569103" r:id="rId62"/>
        </w:object>
      </w:r>
      <w:r w:rsidR="00E43231" w:rsidRPr="0009111F">
        <w:rPr>
          <w:rFonts w:ascii="Times New Roman" w:hAnsi="Times New Roman"/>
          <w:spacing w:val="-2"/>
          <w:szCs w:val="22"/>
        </w:rPr>
        <w:t>|</w:t>
      </w:r>
      <w:r w:rsidR="00E43231">
        <w:rPr>
          <w:rFonts w:ascii="Times New Roman" w:hAnsi="Times New Roman"/>
        </w:rPr>
        <w:tab/>
        <w:t>(</w:t>
      </w:r>
      <w:r w:rsidR="004A635B">
        <w:rPr>
          <w:rFonts w:ascii="Times New Roman" w:hAnsi="Times New Roman"/>
        </w:rPr>
        <w:t>2</w:t>
      </w:r>
      <w:r w:rsidR="001706BB">
        <w:rPr>
          <w:rFonts w:ascii="Times New Roman" w:hAnsi="Times New Roman"/>
        </w:rPr>
        <w:t>1</w:t>
      </w:r>
      <w:r w:rsidR="00E43231">
        <w:rPr>
          <w:rFonts w:ascii="Times New Roman" w:hAnsi="Times New Roman"/>
        </w:rPr>
        <w:t>)</w:t>
      </w:r>
    </w:p>
    <w:p w:rsidR="001706BB" w:rsidRDefault="001706BB" w:rsidP="001B3A13">
      <w:pPr>
        <w:pStyle w:val="Normaali1"/>
        <w:tabs>
          <w:tab w:val="left" w:pos="567"/>
          <w:tab w:val="center" w:pos="4536"/>
          <w:tab w:val="right" w:pos="8931"/>
        </w:tabs>
        <w:spacing w:line="480" w:lineRule="auto"/>
        <w:jc w:val="center"/>
        <w:rPr>
          <w:rFonts w:ascii="Times New Roman" w:hAnsi="Times New Roman"/>
        </w:rPr>
      </w:pPr>
      <w:r>
        <w:rPr>
          <w:rFonts w:ascii="Times New Roman" w:hAnsi="Times New Roman"/>
          <w:lang w:val="en-GB"/>
        </w:rPr>
        <w:tab/>
      </w:r>
      <w:r>
        <w:rPr>
          <w:rFonts w:ascii="Times New Roman" w:hAnsi="Times New Roman"/>
          <w:lang w:val="en-GB"/>
        </w:rPr>
        <w:tab/>
        <w:t>TPE</w:t>
      </w:r>
      <w:r w:rsidRPr="0009111F">
        <w:rPr>
          <w:rFonts w:ascii="Times New Roman" w:hAnsi="Times New Roman"/>
          <w:lang w:val="en-GB"/>
        </w:rPr>
        <w:t xml:space="preserve"> = 100</w:t>
      </w:r>
      <w:r w:rsidR="00651ECB" w:rsidRPr="009943F4">
        <w:rPr>
          <w:rFonts w:ascii="Times New Roman" w:hAnsi="Times New Roman"/>
          <w:position w:val="-10"/>
        </w:rPr>
        <w:object w:dxaOrig="1320" w:dyaOrig="380">
          <v:shape id="_x0000_i1051" type="#_x0000_t75" style="width:64.4pt;height:19.25pt" o:ole="">
            <v:imagedata r:id="rId63" o:title=""/>
          </v:shape>
          <o:OLEObject Type="Embed" ProgID="Equation.3" ShapeID="_x0000_i1051" DrawAspect="Content" ObjectID="_1494569104" r:id="rId64"/>
        </w:object>
      </w:r>
      <w:r>
        <w:rPr>
          <w:rFonts w:ascii="Times New Roman" w:hAnsi="Times New Roman"/>
        </w:rPr>
        <w:tab/>
        <w:t>(22)</w:t>
      </w:r>
    </w:p>
    <w:p w:rsidR="00E91E6F" w:rsidRDefault="00D421B0" w:rsidP="00E91E6F">
      <w:pPr>
        <w:pStyle w:val="Normaali1"/>
        <w:tabs>
          <w:tab w:val="left" w:pos="567"/>
          <w:tab w:val="center" w:pos="4536"/>
          <w:tab w:val="right" w:pos="9214"/>
        </w:tabs>
        <w:spacing w:line="480" w:lineRule="auto"/>
        <w:rPr>
          <w:rFonts w:ascii="Times New Roman" w:hAnsi="Times New Roman"/>
          <w:szCs w:val="24"/>
        </w:rPr>
      </w:pPr>
      <w:r>
        <w:rPr>
          <w:rFonts w:ascii="Times New Roman" w:hAnsi="Times New Roman"/>
        </w:rPr>
        <w:t>w</w:t>
      </w:r>
      <w:r w:rsidR="00E91E6F">
        <w:rPr>
          <w:rFonts w:ascii="Times New Roman" w:hAnsi="Times New Roman"/>
        </w:rPr>
        <w:t>here</w:t>
      </w:r>
      <w:r>
        <w:rPr>
          <w:rFonts w:ascii="Times New Roman" w:hAnsi="Times New Roman"/>
        </w:rPr>
        <w:t xml:space="preserve"> </w:t>
      </w:r>
      <w:r w:rsidR="006031DF" w:rsidRPr="0000244B">
        <w:rPr>
          <w:rFonts w:ascii="Times New Roman" w:hAnsi="Times New Roman"/>
          <w:position w:val="-14"/>
        </w:rPr>
        <w:object w:dxaOrig="320" w:dyaOrig="380">
          <v:shape id="_x0000_i1052" type="#_x0000_t75" style="width:17.25pt;height:19.25pt" o:ole="">
            <v:imagedata r:id="rId65" o:title=""/>
          </v:shape>
          <o:OLEObject Type="Embed" ProgID="Equation.3" ShapeID="_x0000_i1052" DrawAspect="Content" ObjectID="_1494569105" r:id="rId66"/>
        </w:object>
      </w:r>
      <w:r w:rsidR="00E91E6F" w:rsidRPr="0009111F">
        <w:rPr>
          <w:rFonts w:ascii="Times New Roman" w:hAnsi="Times New Roman"/>
          <w:vertAlign w:val="subscript"/>
        </w:rPr>
        <w:t xml:space="preserve"> </w:t>
      </w:r>
      <w:r w:rsidR="00E91E6F" w:rsidRPr="0009111F">
        <w:rPr>
          <w:rFonts w:ascii="Times New Roman" w:hAnsi="Times New Roman"/>
        </w:rPr>
        <w:t xml:space="preserve">is the estimated </w:t>
      </w:r>
      <w:r>
        <w:rPr>
          <w:rFonts w:ascii="Times New Roman" w:hAnsi="Times New Roman"/>
        </w:rPr>
        <w:t>propensity to import from other regions</w:t>
      </w:r>
      <w:r w:rsidR="00E91E6F" w:rsidRPr="0009111F">
        <w:rPr>
          <w:rFonts w:ascii="Times New Roman" w:hAnsi="Times New Roman"/>
        </w:rPr>
        <w:t xml:space="preserve"> for sector </w:t>
      </w:r>
      <w:r w:rsidR="00E91E6F" w:rsidRPr="00D1533C">
        <w:rPr>
          <w:rFonts w:ascii="Times New Roman" w:hAnsi="Times New Roman"/>
          <w:i/>
        </w:rPr>
        <w:t>j</w:t>
      </w:r>
      <w:r w:rsidR="00E91E6F" w:rsidRPr="0009111F">
        <w:rPr>
          <w:rFonts w:ascii="Times New Roman" w:hAnsi="Times New Roman"/>
        </w:rPr>
        <w:t xml:space="preserve"> </w:t>
      </w:r>
      <w:r>
        <w:rPr>
          <w:rFonts w:ascii="Times New Roman" w:hAnsi="Times New Roman"/>
        </w:rPr>
        <w:t xml:space="preserve">in </w:t>
      </w:r>
      <w:r>
        <w:rPr>
          <w:lang w:val="en-US"/>
        </w:rPr>
        <w:t>C</w:t>
      </w:r>
      <w:r w:rsidRPr="0010320B">
        <w:rPr>
          <w:lang w:val="en-US"/>
        </w:rPr>
        <w:t>ó</w:t>
      </w:r>
      <w:r>
        <w:rPr>
          <w:lang w:val="en-US"/>
        </w:rPr>
        <w:t>rdoba</w:t>
      </w:r>
      <w:r>
        <w:rPr>
          <w:rFonts w:ascii="Times New Roman" w:hAnsi="Times New Roman"/>
        </w:rPr>
        <w:t xml:space="preserve"> </w:t>
      </w:r>
      <w:r w:rsidR="00E91E6F" w:rsidRPr="0009111F">
        <w:rPr>
          <w:rFonts w:ascii="Times New Roman" w:hAnsi="Times New Roman"/>
        </w:rPr>
        <w:t>(</w:t>
      </w:r>
      <w:r>
        <w:rPr>
          <w:rFonts w:ascii="Times New Roman" w:hAnsi="Times New Roman"/>
        </w:rPr>
        <w:t xml:space="preserve">expressed as a proportion </w:t>
      </w:r>
      <w:r w:rsidR="00E91E6F" w:rsidRPr="0009111F">
        <w:rPr>
          <w:rFonts w:ascii="Times New Roman" w:hAnsi="Times New Roman"/>
        </w:rPr>
        <w:t xml:space="preserve">of the </w:t>
      </w:r>
      <w:r w:rsidR="00F73BEE">
        <w:rPr>
          <w:rFonts w:ascii="Times New Roman" w:hAnsi="Times New Roman"/>
        </w:rPr>
        <w:t>g</w:t>
      </w:r>
      <w:r>
        <w:rPr>
          <w:rFonts w:ascii="Times New Roman" w:hAnsi="Times New Roman"/>
        </w:rPr>
        <w:t>ro</w:t>
      </w:r>
      <w:r w:rsidR="00F73BEE">
        <w:rPr>
          <w:rFonts w:ascii="Times New Roman" w:hAnsi="Times New Roman"/>
        </w:rPr>
        <w:t>ss output o</w:t>
      </w:r>
      <w:r>
        <w:rPr>
          <w:rFonts w:ascii="Times New Roman" w:hAnsi="Times New Roman"/>
        </w:rPr>
        <w:t>f that sector</w:t>
      </w:r>
      <w:r w:rsidR="00E91E6F" w:rsidRPr="0009111F">
        <w:rPr>
          <w:rFonts w:ascii="Times New Roman" w:hAnsi="Times New Roman"/>
        </w:rPr>
        <w:t>),</w:t>
      </w:r>
      <w:r w:rsidR="00E91E6F">
        <w:rPr>
          <w:rFonts w:ascii="Times New Roman" w:hAnsi="Times New Roman"/>
        </w:rPr>
        <w:t xml:space="preserve"> whereas </w:t>
      </w:r>
      <w:r w:rsidRPr="00D421B0">
        <w:rPr>
          <w:rFonts w:ascii="Times New Roman" w:hAnsi="Times New Roman"/>
          <w:i/>
        </w:rPr>
        <w:t>m</w:t>
      </w:r>
      <w:r w:rsidR="00E91E6F" w:rsidRPr="005C5CDD">
        <w:rPr>
          <w:rFonts w:ascii="Times New Roman" w:hAnsi="Times New Roman"/>
          <w:i/>
          <w:vertAlign w:val="subscript"/>
        </w:rPr>
        <w:t>j</w:t>
      </w:r>
      <w:r w:rsidR="00E91E6F" w:rsidRPr="0009111F">
        <w:rPr>
          <w:rFonts w:ascii="Times New Roman" w:hAnsi="Times New Roman"/>
        </w:rPr>
        <w:t xml:space="preserve"> is the corresponding </w:t>
      </w:r>
      <w:r w:rsidR="00E91E6F">
        <w:rPr>
          <w:rFonts w:ascii="Times New Roman" w:hAnsi="Times New Roman"/>
        </w:rPr>
        <w:t xml:space="preserve">benchmark value. </w:t>
      </w:r>
      <w:r w:rsidR="00E91E6F" w:rsidRPr="0009111F">
        <w:rPr>
          <w:rFonts w:ascii="Times New Roman" w:hAnsi="Times New Roman"/>
        </w:rPr>
        <w:t xml:space="preserve"> </w:t>
      </w:r>
      <w:r w:rsidR="00D527EB">
        <w:rPr>
          <w:rFonts w:ascii="Times New Roman" w:hAnsi="Times New Roman"/>
          <w:lang w:val="en-GB"/>
        </w:rPr>
        <w:t xml:space="preserve">MAE </w:t>
      </w:r>
      <w:r w:rsidR="00171340">
        <w:rPr>
          <w:rFonts w:ascii="Times New Roman" w:hAnsi="Times New Roman"/>
          <w:lang w:val="en-GB"/>
        </w:rPr>
        <w:t xml:space="preserve">and WMAE </w:t>
      </w:r>
      <w:r w:rsidR="000963B2">
        <w:rPr>
          <w:rFonts w:ascii="Times New Roman" w:hAnsi="Times New Roman"/>
          <w:lang w:val="en-GB"/>
        </w:rPr>
        <w:t>are</w:t>
      </w:r>
      <w:r w:rsidR="00D527EB">
        <w:rPr>
          <w:rFonts w:ascii="Times New Roman" w:hAnsi="Times New Roman"/>
          <w:lang w:val="en-GB"/>
        </w:rPr>
        <w:t xml:space="preserve"> the</w:t>
      </w:r>
      <w:r w:rsidR="000963B2">
        <w:rPr>
          <w:rFonts w:ascii="Times New Roman" w:hAnsi="Times New Roman"/>
          <w:lang w:val="en-GB"/>
        </w:rPr>
        <w:t xml:space="preserve"> unweighted and weighted</w:t>
      </w:r>
      <w:r w:rsidR="00D527EB">
        <w:rPr>
          <w:rFonts w:ascii="Times New Roman" w:hAnsi="Times New Roman"/>
          <w:lang w:val="en-GB"/>
        </w:rPr>
        <w:t xml:space="preserve"> mean absolute error</w:t>
      </w:r>
      <w:r w:rsidR="000963B2">
        <w:rPr>
          <w:rFonts w:ascii="Times New Roman" w:hAnsi="Times New Roman"/>
          <w:lang w:val="en-GB"/>
        </w:rPr>
        <w:t>s</w:t>
      </w:r>
      <w:r w:rsidR="00D527EB">
        <w:rPr>
          <w:rFonts w:ascii="Times New Roman" w:hAnsi="Times New Roman"/>
        </w:rPr>
        <w:t>.</w:t>
      </w:r>
      <w:r w:rsidR="00D527EB">
        <w:rPr>
          <w:rFonts w:ascii="Times New Roman" w:hAnsi="Times New Roman"/>
          <w:szCs w:val="24"/>
        </w:rPr>
        <w:t xml:space="preserve">  </w:t>
      </w:r>
      <w:r w:rsidR="00D527EB">
        <w:rPr>
          <w:rFonts w:ascii="Times New Roman" w:hAnsi="Times New Roman"/>
        </w:rPr>
        <w:t>TPE</w:t>
      </w:r>
      <w:r w:rsidR="006031DF">
        <w:rPr>
          <w:rFonts w:ascii="Times New Roman" w:hAnsi="Times New Roman"/>
        </w:rPr>
        <w:t xml:space="preserve"> (total percentage error)</w:t>
      </w:r>
      <w:r w:rsidR="00D527EB">
        <w:rPr>
          <w:rFonts w:ascii="Times New Roman" w:hAnsi="Times New Roman"/>
        </w:rPr>
        <w:t xml:space="preserve"> measures the error in estimating </w:t>
      </w:r>
      <w:r w:rsidR="006031DF">
        <w:rPr>
          <w:rFonts w:ascii="Times New Roman" w:hAnsi="Times New Roman"/>
          <w:i/>
        </w:rPr>
        <w:t>M</w:t>
      </w:r>
      <w:r w:rsidR="006031DF">
        <w:rPr>
          <w:rFonts w:ascii="Times New Roman" w:hAnsi="Times New Roman"/>
        </w:rPr>
        <w:t xml:space="preserve">, </w:t>
      </w:r>
      <w:r w:rsidR="00D527EB">
        <w:rPr>
          <w:rFonts w:ascii="Times New Roman" w:hAnsi="Times New Roman"/>
        </w:rPr>
        <w:t xml:space="preserve">the </w:t>
      </w:r>
      <w:r w:rsidR="00684C49">
        <w:rPr>
          <w:rFonts w:ascii="Times New Roman" w:hAnsi="Times New Roman"/>
        </w:rPr>
        <w:t>sum</w:t>
      </w:r>
      <w:r w:rsidR="00D527EB">
        <w:rPr>
          <w:rFonts w:ascii="Times New Roman" w:hAnsi="Times New Roman"/>
        </w:rPr>
        <w:t xml:space="preserve"> of </w:t>
      </w:r>
      <w:r w:rsidR="00D527EB">
        <w:rPr>
          <w:lang w:val="en-US"/>
        </w:rPr>
        <w:t>C</w:t>
      </w:r>
      <w:r w:rsidR="00D527EB" w:rsidRPr="0010320B">
        <w:rPr>
          <w:lang w:val="en-US"/>
        </w:rPr>
        <w:t>ó</w:t>
      </w:r>
      <w:r w:rsidR="00D527EB">
        <w:rPr>
          <w:lang w:val="en-US"/>
        </w:rPr>
        <w:t>rdoba’s</w:t>
      </w:r>
      <w:r w:rsidR="00D527EB">
        <w:rPr>
          <w:rFonts w:ascii="Times New Roman" w:hAnsi="Times New Roman"/>
        </w:rPr>
        <w:t xml:space="preserve"> imports from other regions.  </w:t>
      </w:r>
      <w:r w:rsidR="00E91E6F">
        <w:rPr>
          <w:rFonts w:ascii="Times New Roman" w:hAnsi="Times New Roman"/>
          <w:szCs w:val="24"/>
        </w:rPr>
        <w:t>A selection of results is presented in Table 4</w:t>
      </w:r>
      <w:r w:rsidR="00FB54EB">
        <w:rPr>
          <w:rFonts w:ascii="Times New Roman" w:hAnsi="Times New Roman"/>
          <w:szCs w:val="24"/>
        </w:rPr>
        <w:t>.</w:t>
      </w:r>
    </w:p>
    <w:p w:rsidR="00E91E6F" w:rsidRDefault="00E91E6F" w:rsidP="00E91E6F">
      <w:pPr>
        <w:widowControl w:val="0"/>
        <w:spacing w:after="0" w:line="480" w:lineRule="auto"/>
        <w:ind w:firstLine="0"/>
        <w:jc w:val="center"/>
        <w:rPr>
          <w:lang w:val="en-US"/>
        </w:rPr>
      </w:pPr>
      <w:r>
        <w:rPr>
          <w:b/>
          <w:lang w:val="en-US"/>
        </w:rPr>
        <w:t>Table 4 near here</w:t>
      </w:r>
    </w:p>
    <w:p w:rsidR="00FB54EB" w:rsidRDefault="00FB54EB" w:rsidP="00FB54EB">
      <w:pPr>
        <w:pStyle w:val="Normaali1"/>
        <w:tabs>
          <w:tab w:val="left" w:pos="426"/>
          <w:tab w:val="center" w:pos="4536"/>
          <w:tab w:val="right" w:pos="8931"/>
        </w:tabs>
        <w:spacing w:line="480" w:lineRule="auto"/>
      </w:pPr>
      <w:r>
        <w:rPr>
          <w:rFonts w:ascii="Times New Roman" w:hAnsi="Times New Roman"/>
          <w:szCs w:val="24"/>
        </w:rPr>
        <w:tab/>
        <w:t>The results for imports are very similar to</w:t>
      </w:r>
      <w:r>
        <w:t xml:space="preserve"> those for coefficients (Table 2) and multipliers (Table 3) and confirm the previous conclusions.  As before, the FLQ and AFLQ clearly outperform the SLQ and CILQ.  Here it is striking that </w:t>
      </w:r>
      <w:r w:rsidR="005A5C11">
        <w:t xml:space="preserve">the SLQ overestimates the </w:t>
      </w:r>
      <w:r w:rsidR="005A5C11">
        <w:rPr>
          <w:rFonts w:ascii="Times New Roman" w:hAnsi="Times New Roman"/>
        </w:rPr>
        <w:t xml:space="preserve">sum of </w:t>
      </w:r>
      <w:r w:rsidR="005A5C11">
        <w:rPr>
          <w:lang w:val="en-US"/>
        </w:rPr>
        <w:t>C</w:t>
      </w:r>
      <w:r w:rsidR="005A5C11" w:rsidRPr="0010320B">
        <w:rPr>
          <w:lang w:val="en-US"/>
        </w:rPr>
        <w:t>ó</w:t>
      </w:r>
      <w:r w:rsidR="005A5C11">
        <w:rPr>
          <w:lang w:val="en-US"/>
        </w:rPr>
        <w:t>rdoba’s</w:t>
      </w:r>
      <w:r w:rsidR="005A5C11">
        <w:rPr>
          <w:rFonts w:ascii="Times New Roman" w:hAnsi="Times New Roman"/>
        </w:rPr>
        <w:t xml:space="preserve"> imports from other regions by 29</w:t>
      </w:r>
      <w:r w:rsidR="00F122B7">
        <w:rPr>
          <w:rFonts w:ascii="Times New Roman" w:hAnsi="Times New Roman"/>
        </w:rPr>
        <w:t>1.8</w:t>
      </w:r>
      <w:r w:rsidR="005A5C11">
        <w:rPr>
          <w:rFonts w:ascii="Times New Roman" w:hAnsi="Times New Roman"/>
        </w:rPr>
        <w:t xml:space="preserve">%, while the CILQ </w:t>
      </w:r>
      <w:r w:rsidR="005A5C11">
        <w:t xml:space="preserve">overestimates this </w:t>
      </w:r>
      <w:r w:rsidR="005A5C11">
        <w:rPr>
          <w:rFonts w:ascii="Times New Roman" w:hAnsi="Times New Roman"/>
        </w:rPr>
        <w:t>sum by 22</w:t>
      </w:r>
      <w:r w:rsidR="000D1E77">
        <w:rPr>
          <w:rFonts w:ascii="Times New Roman" w:hAnsi="Times New Roman"/>
        </w:rPr>
        <w:t>.3</w:t>
      </w:r>
      <w:r w:rsidR="005A5C11">
        <w:rPr>
          <w:rFonts w:ascii="Times New Roman" w:hAnsi="Times New Roman"/>
        </w:rPr>
        <w:t>%.</w:t>
      </w:r>
      <w:r w:rsidR="000D1E77">
        <w:rPr>
          <w:rFonts w:ascii="Times New Roman" w:hAnsi="Times New Roman"/>
        </w:rPr>
        <w:t xml:space="preserve">  By contrast, the FLQ (with </w:t>
      </w:r>
      <w:r w:rsidR="000D1E77" w:rsidRPr="00B335EC">
        <w:rPr>
          <w:i/>
          <w:color w:val="000000"/>
        </w:rPr>
        <w:t>δ</w:t>
      </w:r>
      <w:r w:rsidR="000D1E77">
        <w:rPr>
          <w:color w:val="000000"/>
        </w:rPr>
        <w:t xml:space="preserve"> = 0.1) understates </w:t>
      </w:r>
      <w:r w:rsidR="00927FBD">
        <w:rPr>
          <w:color w:val="000000"/>
        </w:rPr>
        <w:t xml:space="preserve">total imports </w:t>
      </w:r>
      <w:r w:rsidR="000D1E77">
        <w:rPr>
          <w:color w:val="000000"/>
        </w:rPr>
        <w:t>by 9.6%</w:t>
      </w:r>
      <w:r w:rsidR="00F122B7">
        <w:rPr>
          <w:color w:val="000000"/>
        </w:rPr>
        <w:t xml:space="preserve">, while </w:t>
      </w:r>
      <w:r w:rsidR="00F122B7">
        <w:rPr>
          <w:rFonts w:ascii="Times New Roman" w:hAnsi="Times New Roman"/>
        </w:rPr>
        <w:t xml:space="preserve">the AFLQ (with </w:t>
      </w:r>
      <w:r w:rsidR="00F122B7" w:rsidRPr="00B335EC">
        <w:rPr>
          <w:i/>
          <w:color w:val="000000"/>
        </w:rPr>
        <w:t>δ</w:t>
      </w:r>
      <w:r w:rsidR="00F122B7">
        <w:rPr>
          <w:color w:val="000000"/>
        </w:rPr>
        <w:t xml:space="preserve"> = 0.15) </w:t>
      </w:r>
      <w:r w:rsidR="00927FBD">
        <w:rPr>
          <w:color w:val="000000"/>
        </w:rPr>
        <w:t>does so</w:t>
      </w:r>
      <w:r w:rsidR="00F122B7">
        <w:rPr>
          <w:color w:val="000000"/>
        </w:rPr>
        <w:t xml:space="preserve"> by </w:t>
      </w:r>
      <w:r w:rsidR="002E4F26">
        <w:rPr>
          <w:color w:val="000000"/>
        </w:rPr>
        <w:t>4</w:t>
      </w:r>
      <w:r w:rsidR="00F122B7">
        <w:rPr>
          <w:color w:val="000000"/>
        </w:rPr>
        <w:t>.</w:t>
      </w:r>
      <w:r w:rsidR="002E4F26">
        <w:rPr>
          <w:color w:val="000000"/>
        </w:rPr>
        <w:t>75</w:t>
      </w:r>
      <w:r w:rsidR="00F122B7">
        <w:rPr>
          <w:color w:val="000000"/>
        </w:rPr>
        <w:t>%</w:t>
      </w:r>
      <w:r w:rsidR="002E4F26">
        <w:rPr>
          <w:color w:val="000000"/>
        </w:rPr>
        <w:t>.</w:t>
      </w:r>
      <w:r w:rsidR="000D1E77">
        <w:rPr>
          <w:rFonts w:ascii="Times New Roman" w:hAnsi="Times New Roman"/>
        </w:rPr>
        <w:t xml:space="preserve"> </w:t>
      </w:r>
      <w:r w:rsidR="00AB4287">
        <w:rPr>
          <w:rFonts w:ascii="Times New Roman" w:hAnsi="Times New Roman"/>
        </w:rPr>
        <w:t xml:space="preserve"> The </w:t>
      </w:r>
      <w:r w:rsidR="002B1ED2">
        <w:rPr>
          <w:rFonts w:ascii="Times New Roman" w:hAnsi="Times New Roman"/>
        </w:rPr>
        <w:t>outcom</w:t>
      </w:r>
      <w:r w:rsidR="00AB4287">
        <w:rPr>
          <w:rFonts w:ascii="Times New Roman" w:hAnsi="Times New Roman"/>
        </w:rPr>
        <w:t xml:space="preserve">es for the </w:t>
      </w:r>
      <w:r w:rsidR="00AB4287">
        <w:rPr>
          <w:rFonts w:ascii="Times New Roman" w:hAnsi="Times New Roman"/>
          <w:lang w:val="en-GB"/>
        </w:rPr>
        <w:t xml:space="preserve">MAE and WMAE are also noticeably better for the </w:t>
      </w:r>
      <w:r w:rsidR="00AB4287">
        <w:t>FLQ and AFLQ than</w:t>
      </w:r>
      <w:r w:rsidR="00AB4287">
        <w:rPr>
          <w:rFonts w:ascii="Times New Roman" w:hAnsi="Times New Roman"/>
        </w:rPr>
        <w:t xml:space="preserve"> for </w:t>
      </w:r>
      <w:r w:rsidR="00AB4287">
        <w:t>the SLQ and CILQ.  Looking at the results as a whole, it is evident that the AFLQ’s performance is a little better than that of the FLQ.</w:t>
      </w:r>
    </w:p>
    <w:p w:rsidR="002D1DDE" w:rsidRDefault="002D1DDE" w:rsidP="002D1DDE">
      <w:pPr>
        <w:widowControl w:val="0"/>
        <w:tabs>
          <w:tab w:val="left" w:pos="426"/>
        </w:tabs>
        <w:spacing w:after="0"/>
        <w:ind w:firstLine="0"/>
        <w:rPr>
          <w:color w:val="000000"/>
        </w:rPr>
      </w:pPr>
    </w:p>
    <w:p w:rsidR="002D1DDE" w:rsidRPr="002D1DDE" w:rsidRDefault="004A635B" w:rsidP="002D1DDE">
      <w:pPr>
        <w:spacing w:after="0" w:line="480" w:lineRule="auto"/>
        <w:ind w:firstLine="0"/>
        <w:jc w:val="left"/>
        <w:rPr>
          <w:lang w:val="en-US"/>
        </w:rPr>
      </w:pPr>
      <w:r>
        <w:rPr>
          <w:b/>
          <w:lang w:val="en-US"/>
        </w:rPr>
        <w:lastRenderedPageBreak/>
        <w:t>8</w:t>
      </w:r>
      <w:r w:rsidR="002D1DDE">
        <w:rPr>
          <w:b/>
          <w:lang w:val="en-US"/>
        </w:rPr>
        <w:t xml:space="preserve">   CHOOSING A VALUE FOR </w:t>
      </w:r>
      <w:r w:rsidR="002D1DDE" w:rsidRPr="00B335EC">
        <w:rPr>
          <w:i/>
          <w:color w:val="000000"/>
        </w:rPr>
        <w:t>δ</w:t>
      </w:r>
    </w:p>
    <w:p w:rsidR="002D1DDE" w:rsidRDefault="002D1DDE" w:rsidP="002D1DDE">
      <w:pPr>
        <w:widowControl w:val="0"/>
        <w:tabs>
          <w:tab w:val="left" w:pos="426"/>
        </w:tabs>
        <w:spacing w:after="0" w:line="480" w:lineRule="auto"/>
        <w:ind w:firstLine="0"/>
        <w:rPr>
          <w:color w:val="000000"/>
        </w:rPr>
      </w:pPr>
      <w:r>
        <w:rPr>
          <w:color w:val="000000"/>
        </w:rPr>
        <w:t xml:space="preserve">The earlier discussion has shown how important it is to select a suitable value for </w:t>
      </w:r>
      <w:r w:rsidRPr="00B335EC">
        <w:rPr>
          <w:i/>
          <w:color w:val="000000"/>
        </w:rPr>
        <w:t>δ</w:t>
      </w:r>
      <w:r>
        <w:rPr>
          <w:color w:val="000000"/>
        </w:rPr>
        <w:t>, so it is opportune to examine two proposed methods for obtaining such a value</w:t>
      </w:r>
      <w:r w:rsidR="00372C8C">
        <w:rPr>
          <w:color w:val="000000"/>
        </w:rPr>
        <w:t xml:space="preserve"> for the FLQ</w:t>
      </w:r>
      <w:r>
        <w:rPr>
          <w:color w:val="000000"/>
        </w:rPr>
        <w:t>.  The first method was put forward by Bonfiglio (2009), who derived the following regression equation using simulated data from a Monte Carlo study:</w:t>
      </w:r>
    </w:p>
    <w:p w:rsidR="002D1DDE" w:rsidRDefault="00F73BEE" w:rsidP="004E035B">
      <w:pPr>
        <w:widowControl w:val="0"/>
        <w:tabs>
          <w:tab w:val="center" w:pos="4536"/>
          <w:tab w:val="right" w:pos="8931"/>
        </w:tabs>
        <w:spacing w:after="0" w:line="480" w:lineRule="auto"/>
        <w:jc w:val="center"/>
      </w:pPr>
      <w:r>
        <w:tab/>
      </w:r>
      <w:r w:rsidR="002D1DDE" w:rsidRPr="003B6CD8">
        <w:rPr>
          <w:position w:val="-6"/>
        </w:rPr>
        <w:object w:dxaOrig="220" w:dyaOrig="340">
          <v:shape id="_x0000_i1053" type="#_x0000_t75" style="width:12.15pt;height:17.25pt" o:ole="">
            <v:imagedata r:id="rId67" o:title=""/>
          </v:shape>
          <o:OLEObject Type="Embed" ProgID="Equation.3" ShapeID="_x0000_i1053" DrawAspect="Content" ObjectID="_1494569106" r:id="rId68"/>
        </w:object>
      </w:r>
      <w:r w:rsidR="002D1DDE">
        <w:rPr>
          <w:color w:val="000000"/>
        </w:rPr>
        <w:t>= 0.994</w:t>
      </w:r>
      <w:r w:rsidR="002D1DDE">
        <w:rPr>
          <w:color w:val="000000"/>
          <w:vertAlign w:val="subscript"/>
        </w:rPr>
        <w:t xml:space="preserve"> </w:t>
      </w:r>
      <w:r w:rsidR="002D1DDE">
        <w:rPr>
          <w:i/>
          <w:color w:val="000000"/>
        </w:rPr>
        <w:t>PROP</w:t>
      </w:r>
      <w:r w:rsidR="002D1DDE">
        <w:rPr>
          <w:color w:val="000000"/>
        </w:rPr>
        <w:t xml:space="preserve"> </w:t>
      </w:r>
      <w:r w:rsidR="002D1DDE">
        <w:rPr>
          <w:color w:val="000000"/>
        </w:rPr>
        <w:sym w:font="Symbol" w:char="002D"/>
      </w:r>
      <w:r w:rsidR="002D1DDE">
        <w:rPr>
          <w:color w:val="000000"/>
        </w:rPr>
        <w:t xml:space="preserve"> 2.819</w:t>
      </w:r>
      <w:r w:rsidR="002D1DDE">
        <w:rPr>
          <w:color w:val="000000"/>
          <w:vertAlign w:val="subscript"/>
        </w:rPr>
        <w:t xml:space="preserve"> </w:t>
      </w:r>
      <w:r w:rsidR="002D1DDE">
        <w:rPr>
          <w:i/>
          <w:color w:val="000000"/>
        </w:rPr>
        <w:t>RSRP</w:t>
      </w:r>
      <w:r w:rsidR="002D1DDE">
        <w:tab/>
        <w:t>(</w:t>
      </w:r>
      <w:r w:rsidR="00CF6AF8">
        <w:t>2</w:t>
      </w:r>
      <w:r w:rsidR="004A635B">
        <w:t>3</w:t>
      </w:r>
      <w:r w:rsidR="002D1DDE">
        <w:t>)</w:t>
      </w:r>
    </w:p>
    <w:p w:rsidR="002D1DDE" w:rsidRPr="00B53758" w:rsidRDefault="002D1DDE" w:rsidP="002D1DDE">
      <w:pPr>
        <w:widowControl w:val="0"/>
        <w:tabs>
          <w:tab w:val="center" w:pos="4395"/>
          <w:tab w:val="right" w:pos="8931"/>
        </w:tabs>
        <w:spacing w:after="0" w:line="480" w:lineRule="auto"/>
        <w:ind w:firstLine="0"/>
      </w:pPr>
      <w:r>
        <w:t xml:space="preserve">where </w:t>
      </w:r>
      <w:r w:rsidRPr="002C3A29">
        <w:rPr>
          <w:i/>
        </w:rPr>
        <w:t>P</w:t>
      </w:r>
      <w:r>
        <w:rPr>
          <w:i/>
        </w:rPr>
        <w:t>ROP</w:t>
      </w:r>
      <w:r>
        <w:t xml:space="preserve"> is the propensity to interregional trade </w:t>
      </w:r>
      <w:r w:rsidRPr="00B53758">
        <w:t>(</w:t>
      </w:r>
      <w:r w:rsidRPr="00B53758">
        <w:rPr>
          <w:color w:val="000000"/>
        </w:rPr>
        <w:t>the proportion of a region’s total intermediate inputs that is purchased from other regions)</w:t>
      </w:r>
      <w:r w:rsidRPr="00B53758">
        <w:t xml:space="preserve"> and </w:t>
      </w:r>
      <w:r w:rsidRPr="00B53758">
        <w:rPr>
          <w:i/>
          <w:color w:val="000000"/>
        </w:rPr>
        <w:t>RSRP</w:t>
      </w:r>
      <w:r w:rsidRPr="00B53758">
        <w:t xml:space="preserve"> is the relative size of regional purchases</w:t>
      </w:r>
      <w:r w:rsidRPr="00B53758">
        <w:rPr>
          <w:color w:val="000000"/>
        </w:rPr>
        <w:t xml:space="preserve"> (the ratio of total regional to total national intermediate inputs)</w:t>
      </w:r>
      <w:r w:rsidRPr="00B53758">
        <w:t>.</w:t>
      </w:r>
      <w:r w:rsidR="00036218">
        <w:t xml:space="preserve">  The principal advantage of </w:t>
      </w:r>
      <w:r w:rsidR="00036218">
        <w:rPr>
          <w:color w:val="000000"/>
        </w:rPr>
        <w:t xml:space="preserve">a Monte Carlo approach is that the </w:t>
      </w:r>
      <w:r w:rsidR="005D5473">
        <w:rPr>
          <w:color w:val="000000"/>
        </w:rPr>
        <w:t>findings</w:t>
      </w:r>
      <w:r w:rsidR="00036218">
        <w:rPr>
          <w:color w:val="000000"/>
        </w:rPr>
        <w:t xml:space="preserve"> should be generally applicable.  By contrast, </w:t>
      </w:r>
      <w:r w:rsidR="005D5473">
        <w:rPr>
          <w:color w:val="000000"/>
        </w:rPr>
        <w:t>the results</w:t>
      </w:r>
      <w:r w:rsidR="00036218">
        <w:rPr>
          <w:color w:val="000000"/>
        </w:rPr>
        <w:t xml:space="preserve"> </w:t>
      </w:r>
      <w:r w:rsidR="00D211DC">
        <w:rPr>
          <w:color w:val="000000"/>
        </w:rPr>
        <w:t xml:space="preserve">derived </w:t>
      </w:r>
      <w:r w:rsidR="00036218">
        <w:rPr>
          <w:color w:val="000000"/>
        </w:rPr>
        <w:t xml:space="preserve">from a single region may reflect the peculiarities of that region and </w:t>
      </w:r>
      <w:r w:rsidR="005D287D">
        <w:rPr>
          <w:color w:val="000000"/>
        </w:rPr>
        <w:t xml:space="preserve">thus </w:t>
      </w:r>
      <w:r w:rsidR="00036218">
        <w:rPr>
          <w:color w:val="000000"/>
        </w:rPr>
        <w:t>not be valid in general.  On the other hand, the simplifying assumptions underlying a Monte Carlo simulation mean that it cannot replicate the detailed economic structure and sectoral interrelationships of regional economies.</w:t>
      </w:r>
      <w:r w:rsidR="00036218">
        <w:rPr>
          <w:b/>
          <w:color w:val="000000"/>
          <w:vertAlign w:val="superscript"/>
        </w:rPr>
        <w:t>1</w:t>
      </w:r>
      <w:r w:rsidR="00372C8C">
        <w:rPr>
          <w:b/>
          <w:color w:val="000000"/>
          <w:vertAlign w:val="superscript"/>
        </w:rPr>
        <w:t>7</w:t>
      </w:r>
    </w:p>
    <w:p w:rsidR="002D1DDE" w:rsidRPr="00B53758" w:rsidRDefault="002D1DDE" w:rsidP="002D1DDE">
      <w:pPr>
        <w:pStyle w:val="Normaali1"/>
        <w:tabs>
          <w:tab w:val="left" w:pos="0"/>
          <w:tab w:val="left" w:pos="426"/>
        </w:tabs>
        <w:spacing w:line="480" w:lineRule="auto"/>
        <w:rPr>
          <w:rFonts w:ascii="Times New Roman" w:hAnsi="Times New Roman"/>
          <w:color w:val="000000"/>
          <w:szCs w:val="24"/>
        </w:rPr>
      </w:pPr>
      <w:r>
        <w:tab/>
        <w:t xml:space="preserve">To evaluate Bonfiglio’s method, two tests were carried out using data for Germany and Finland.  In the first application, survey-based </w:t>
      </w:r>
      <w:r w:rsidRPr="00B53758">
        <w:rPr>
          <w:rFonts w:ascii="Times New Roman" w:hAnsi="Times New Roman"/>
          <w:color w:val="000000"/>
          <w:szCs w:val="24"/>
        </w:rPr>
        <w:t>data from Kowalewski (201</w:t>
      </w:r>
      <w:r w:rsidR="00CD1EE8">
        <w:rPr>
          <w:rFonts w:ascii="Times New Roman" w:hAnsi="Times New Roman"/>
          <w:color w:val="000000"/>
          <w:szCs w:val="24"/>
        </w:rPr>
        <w:t>5</w:t>
      </w:r>
      <w:r w:rsidRPr="00B53758">
        <w:rPr>
          <w:rFonts w:ascii="Times New Roman" w:hAnsi="Times New Roman"/>
          <w:color w:val="000000"/>
          <w:szCs w:val="24"/>
        </w:rPr>
        <w:t>, table 1)</w:t>
      </w:r>
      <w:r>
        <w:rPr>
          <w:rFonts w:ascii="Times New Roman" w:hAnsi="Times New Roman"/>
          <w:color w:val="000000"/>
          <w:szCs w:val="24"/>
        </w:rPr>
        <w:t xml:space="preserve">, were used to derive </w:t>
      </w:r>
      <w:r w:rsidRPr="00B53758">
        <w:rPr>
          <w:rFonts w:ascii="Times New Roman" w:hAnsi="Times New Roman"/>
          <w:color w:val="000000"/>
          <w:szCs w:val="24"/>
        </w:rPr>
        <w:t xml:space="preserve">the following estimate of </w:t>
      </w:r>
      <w:r w:rsidRPr="00B53758">
        <w:rPr>
          <w:rFonts w:ascii="Times New Roman" w:hAnsi="Times New Roman"/>
          <w:i/>
          <w:color w:val="000000"/>
          <w:szCs w:val="24"/>
        </w:rPr>
        <w:t>δ</w:t>
      </w:r>
      <w:r w:rsidRPr="00B53758">
        <w:rPr>
          <w:rFonts w:ascii="Times New Roman" w:hAnsi="Times New Roman"/>
          <w:color w:val="000000"/>
          <w:szCs w:val="24"/>
        </w:rPr>
        <w:t xml:space="preserve"> for </w:t>
      </w:r>
      <w:r>
        <w:rPr>
          <w:rFonts w:ascii="Times New Roman" w:hAnsi="Times New Roman"/>
          <w:color w:val="000000"/>
          <w:szCs w:val="24"/>
        </w:rPr>
        <w:t xml:space="preserve">the state of </w:t>
      </w:r>
      <w:r w:rsidRPr="00B53758">
        <w:rPr>
          <w:rFonts w:ascii="Times New Roman" w:hAnsi="Times New Roman"/>
          <w:szCs w:val="24"/>
        </w:rPr>
        <w:t>Baden-Wuerttemberg in 1993</w:t>
      </w:r>
      <w:r w:rsidRPr="00B53758">
        <w:rPr>
          <w:rFonts w:ascii="Times New Roman" w:hAnsi="Times New Roman"/>
          <w:color w:val="000000"/>
          <w:szCs w:val="24"/>
        </w:rPr>
        <w:t>:</w:t>
      </w:r>
    </w:p>
    <w:p w:rsidR="002D1DDE" w:rsidRPr="00B53758" w:rsidRDefault="002D1DDE" w:rsidP="002D1DDE">
      <w:pPr>
        <w:pStyle w:val="Normaali1"/>
        <w:tabs>
          <w:tab w:val="left" w:pos="426"/>
          <w:tab w:val="center" w:pos="4536"/>
          <w:tab w:val="right" w:pos="8931"/>
        </w:tabs>
        <w:spacing w:line="480" w:lineRule="auto"/>
        <w:jc w:val="center"/>
        <w:rPr>
          <w:rFonts w:ascii="Times New Roman" w:hAnsi="Times New Roman"/>
          <w:color w:val="000000"/>
          <w:szCs w:val="24"/>
        </w:rPr>
      </w:pPr>
      <w:r>
        <w:rPr>
          <w:rFonts w:ascii="Times New Roman" w:hAnsi="Times New Roman"/>
          <w:szCs w:val="24"/>
        </w:rPr>
        <w:tab/>
      </w:r>
      <w:r>
        <w:rPr>
          <w:rFonts w:ascii="Times New Roman" w:hAnsi="Times New Roman"/>
          <w:szCs w:val="24"/>
        </w:rPr>
        <w:tab/>
      </w:r>
      <w:r w:rsidRPr="00B53758">
        <w:rPr>
          <w:rFonts w:ascii="Times New Roman" w:hAnsi="Times New Roman"/>
          <w:position w:val="-6"/>
          <w:szCs w:val="24"/>
        </w:rPr>
        <w:object w:dxaOrig="220" w:dyaOrig="340">
          <v:shape id="_x0000_i1054" type="#_x0000_t75" style="width:12.15pt;height:17.25pt" o:ole="">
            <v:imagedata r:id="rId67" o:title=""/>
          </v:shape>
          <o:OLEObject Type="Embed" ProgID="Equation.3" ShapeID="_x0000_i1054" DrawAspect="Content" ObjectID="_1494569107" r:id="rId69"/>
        </w:object>
      </w:r>
      <w:r w:rsidRPr="00B53758">
        <w:rPr>
          <w:rFonts w:ascii="Times New Roman" w:hAnsi="Times New Roman"/>
          <w:color w:val="000000"/>
          <w:szCs w:val="24"/>
        </w:rPr>
        <w:t xml:space="preserve">= 0.994 × 0.205 </w:t>
      </w:r>
      <w:r w:rsidRPr="00B53758">
        <w:rPr>
          <w:rFonts w:ascii="Times New Roman" w:hAnsi="Times New Roman"/>
          <w:color w:val="000000"/>
          <w:szCs w:val="24"/>
        </w:rPr>
        <w:sym w:font="Symbol" w:char="002D"/>
      </w:r>
      <w:r w:rsidRPr="00B53758">
        <w:rPr>
          <w:rFonts w:ascii="Times New Roman" w:hAnsi="Times New Roman"/>
          <w:color w:val="000000"/>
          <w:szCs w:val="24"/>
        </w:rPr>
        <w:t xml:space="preserve"> 2.819 × 0.134 = </w:t>
      </w:r>
      <w:r w:rsidRPr="00B53758">
        <w:rPr>
          <w:rFonts w:ascii="Times New Roman" w:hAnsi="Times New Roman"/>
          <w:color w:val="000000"/>
          <w:szCs w:val="24"/>
        </w:rPr>
        <w:sym w:font="Symbol" w:char="002D"/>
      </w:r>
      <w:r w:rsidRPr="00B53758">
        <w:rPr>
          <w:rFonts w:ascii="Times New Roman" w:hAnsi="Times New Roman"/>
          <w:color w:val="000000"/>
          <w:szCs w:val="24"/>
        </w:rPr>
        <w:t>0.174</w:t>
      </w:r>
      <w:r>
        <w:rPr>
          <w:rFonts w:ascii="Times New Roman" w:hAnsi="Times New Roman"/>
          <w:color w:val="000000"/>
          <w:szCs w:val="24"/>
        </w:rPr>
        <w:tab/>
        <w:t>(2</w:t>
      </w:r>
      <w:r w:rsidR="004A635B">
        <w:rPr>
          <w:rFonts w:ascii="Times New Roman" w:hAnsi="Times New Roman"/>
          <w:color w:val="000000"/>
          <w:szCs w:val="24"/>
        </w:rPr>
        <w:t>4</w:t>
      </w:r>
      <w:r>
        <w:rPr>
          <w:rFonts w:ascii="Times New Roman" w:hAnsi="Times New Roman"/>
          <w:color w:val="000000"/>
          <w:szCs w:val="24"/>
        </w:rPr>
        <w:t>)</w:t>
      </w:r>
    </w:p>
    <w:p w:rsidR="002D1DDE" w:rsidRPr="00B53758" w:rsidRDefault="002D1DDE" w:rsidP="002D1DDE">
      <w:pPr>
        <w:pStyle w:val="Normaali1"/>
        <w:tabs>
          <w:tab w:val="left" w:pos="0"/>
          <w:tab w:val="left" w:pos="426"/>
          <w:tab w:val="center" w:pos="4536"/>
          <w:tab w:val="right" w:pos="9214"/>
        </w:tabs>
        <w:spacing w:line="480" w:lineRule="auto"/>
        <w:rPr>
          <w:rFonts w:ascii="Times New Roman" w:hAnsi="Times New Roman"/>
          <w:color w:val="000000"/>
          <w:szCs w:val="24"/>
        </w:rPr>
      </w:pPr>
      <w:r w:rsidRPr="00B53758">
        <w:rPr>
          <w:rFonts w:ascii="Times New Roman" w:hAnsi="Times New Roman"/>
          <w:color w:val="000000"/>
          <w:szCs w:val="24"/>
        </w:rPr>
        <w:t>Here the state’s share of total German employment (</w:t>
      </w:r>
      <w:r w:rsidRPr="00B53758">
        <w:rPr>
          <w:rFonts w:ascii="Times New Roman" w:hAnsi="Times New Roman"/>
          <w:i/>
          <w:color w:val="000000"/>
          <w:szCs w:val="24"/>
        </w:rPr>
        <w:t>ibid.</w:t>
      </w:r>
      <w:r w:rsidRPr="00B53758">
        <w:rPr>
          <w:rFonts w:ascii="Times New Roman" w:hAnsi="Times New Roman"/>
          <w:color w:val="000000"/>
          <w:szCs w:val="24"/>
        </w:rPr>
        <w:t xml:space="preserve">, p. </w:t>
      </w:r>
      <w:r w:rsidR="00CD1EE8">
        <w:rPr>
          <w:rFonts w:ascii="Times New Roman" w:hAnsi="Times New Roman"/>
          <w:color w:val="000000"/>
          <w:szCs w:val="24"/>
        </w:rPr>
        <w:t>244</w:t>
      </w:r>
      <w:r w:rsidRPr="00B53758">
        <w:rPr>
          <w:rFonts w:ascii="Times New Roman" w:hAnsi="Times New Roman"/>
          <w:color w:val="000000"/>
          <w:szCs w:val="24"/>
        </w:rPr>
        <w:t xml:space="preserve">) </w:t>
      </w:r>
      <w:r>
        <w:rPr>
          <w:rFonts w:ascii="Times New Roman" w:hAnsi="Times New Roman"/>
          <w:color w:val="000000"/>
          <w:szCs w:val="24"/>
        </w:rPr>
        <w:t>w</w:t>
      </w:r>
      <w:r w:rsidRPr="00B53758">
        <w:rPr>
          <w:rFonts w:ascii="Times New Roman" w:hAnsi="Times New Roman"/>
          <w:color w:val="000000"/>
          <w:szCs w:val="24"/>
        </w:rPr>
        <w:t xml:space="preserve">as used as a proxy for </w:t>
      </w:r>
      <w:r w:rsidRPr="00B53758">
        <w:rPr>
          <w:rFonts w:ascii="Times New Roman" w:hAnsi="Times New Roman"/>
          <w:i/>
          <w:color w:val="000000"/>
          <w:szCs w:val="24"/>
        </w:rPr>
        <w:t>RSRP</w:t>
      </w:r>
      <w:r w:rsidRPr="00B53758">
        <w:rPr>
          <w:rFonts w:ascii="Times New Roman" w:hAnsi="Times New Roman"/>
          <w:color w:val="000000"/>
          <w:szCs w:val="24"/>
        </w:rPr>
        <w:t xml:space="preserve">.  </w:t>
      </w:r>
      <w:r>
        <w:rPr>
          <w:rFonts w:ascii="Times New Roman" w:hAnsi="Times New Roman"/>
          <w:color w:val="000000"/>
          <w:szCs w:val="24"/>
        </w:rPr>
        <w:t>In the second application, using data from Statistics Finland (2000), a</w:t>
      </w:r>
      <w:r w:rsidRPr="00B53758">
        <w:rPr>
          <w:rFonts w:ascii="Times New Roman" w:hAnsi="Times New Roman"/>
          <w:color w:val="000000"/>
          <w:szCs w:val="24"/>
        </w:rPr>
        <w:t xml:space="preserve">n even more negative result was obtained for </w:t>
      </w:r>
      <w:r>
        <w:rPr>
          <w:rFonts w:ascii="Times New Roman" w:hAnsi="Times New Roman"/>
          <w:color w:val="000000"/>
          <w:szCs w:val="24"/>
        </w:rPr>
        <w:t xml:space="preserve">the Finnish province of </w:t>
      </w:r>
      <w:r w:rsidRPr="00B53758">
        <w:rPr>
          <w:rFonts w:ascii="Times New Roman" w:hAnsi="Times New Roman"/>
          <w:color w:val="000000"/>
          <w:szCs w:val="24"/>
        </w:rPr>
        <w:t>Uusimaa in 1995:</w:t>
      </w:r>
    </w:p>
    <w:p w:rsidR="002D1DDE" w:rsidRPr="00B53758" w:rsidRDefault="002D1DDE" w:rsidP="002D1DDE">
      <w:pPr>
        <w:pStyle w:val="Normaali1"/>
        <w:tabs>
          <w:tab w:val="left" w:pos="0"/>
          <w:tab w:val="left" w:pos="426"/>
          <w:tab w:val="center" w:pos="4536"/>
          <w:tab w:val="right" w:pos="8931"/>
        </w:tabs>
        <w:spacing w:line="480" w:lineRule="auto"/>
        <w:jc w:val="center"/>
        <w:rPr>
          <w:rFonts w:ascii="Times New Roman" w:hAnsi="Times New Roman"/>
          <w:color w:val="000000"/>
          <w:szCs w:val="24"/>
        </w:rPr>
      </w:pPr>
      <w:r>
        <w:rPr>
          <w:rFonts w:ascii="Times New Roman" w:hAnsi="Times New Roman"/>
          <w:szCs w:val="24"/>
        </w:rPr>
        <w:tab/>
      </w:r>
      <w:r>
        <w:rPr>
          <w:rFonts w:ascii="Times New Roman" w:hAnsi="Times New Roman"/>
          <w:szCs w:val="24"/>
        </w:rPr>
        <w:tab/>
      </w:r>
      <w:r w:rsidRPr="00B53758">
        <w:rPr>
          <w:rFonts w:ascii="Times New Roman" w:hAnsi="Times New Roman"/>
          <w:position w:val="-6"/>
          <w:szCs w:val="24"/>
        </w:rPr>
        <w:object w:dxaOrig="220" w:dyaOrig="340">
          <v:shape id="_x0000_i1055" type="#_x0000_t75" style="width:12.15pt;height:17.25pt" o:ole="">
            <v:imagedata r:id="rId67" o:title=""/>
          </v:shape>
          <o:OLEObject Type="Embed" ProgID="Equation.3" ShapeID="_x0000_i1055" DrawAspect="Content" ObjectID="_1494569108" r:id="rId70"/>
        </w:object>
      </w:r>
      <w:r w:rsidRPr="00B53758">
        <w:rPr>
          <w:rFonts w:ascii="Times New Roman" w:hAnsi="Times New Roman"/>
          <w:color w:val="000000"/>
          <w:szCs w:val="24"/>
        </w:rPr>
        <w:t xml:space="preserve">= 0.994 × 0.3016 </w:t>
      </w:r>
      <w:r w:rsidRPr="00B53758">
        <w:rPr>
          <w:rFonts w:ascii="Times New Roman" w:hAnsi="Times New Roman"/>
          <w:color w:val="000000"/>
          <w:szCs w:val="24"/>
        </w:rPr>
        <w:sym w:font="Symbol" w:char="002D"/>
      </w:r>
      <w:r w:rsidRPr="00B53758">
        <w:rPr>
          <w:rFonts w:ascii="Times New Roman" w:hAnsi="Times New Roman"/>
          <w:color w:val="000000"/>
          <w:szCs w:val="24"/>
        </w:rPr>
        <w:t xml:space="preserve"> 2.819 × 0.2925 = </w:t>
      </w:r>
      <w:r w:rsidRPr="00B53758">
        <w:rPr>
          <w:rFonts w:ascii="Times New Roman" w:hAnsi="Times New Roman"/>
          <w:color w:val="000000"/>
          <w:szCs w:val="24"/>
        </w:rPr>
        <w:sym w:font="Symbol" w:char="002D"/>
      </w:r>
      <w:r w:rsidRPr="00B53758">
        <w:rPr>
          <w:rFonts w:ascii="Times New Roman" w:hAnsi="Times New Roman"/>
          <w:color w:val="000000"/>
          <w:szCs w:val="24"/>
        </w:rPr>
        <w:t>0.525</w:t>
      </w:r>
      <w:r>
        <w:rPr>
          <w:rFonts w:ascii="Times New Roman" w:hAnsi="Times New Roman"/>
          <w:color w:val="000000"/>
          <w:szCs w:val="24"/>
        </w:rPr>
        <w:tab/>
        <w:t>(2</w:t>
      </w:r>
      <w:r w:rsidR="004A635B">
        <w:rPr>
          <w:rFonts w:ascii="Times New Roman" w:hAnsi="Times New Roman"/>
          <w:color w:val="000000"/>
          <w:szCs w:val="24"/>
        </w:rPr>
        <w:t>5</w:t>
      </w:r>
      <w:r>
        <w:rPr>
          <w:rFonts w:ascii="Times New Roman" w:hAnsi="Times New Roman"/>
          <w:color w:val="000000"/>
          <w:szCs w:val="24"/>
        </w:rPr>
        <w:t>)</w:t>
      </w:r>
    </w:p>
    <w:p w:rsidR="002D1DDE" w:rsidRPr="00390DDC" w:rsidRDefault="002D1DDE" w:rsidP="002D1DDE">
      <w:pPr>
        <w:widowControl w:val="0"/>
        <w:tabs>
          <w:tab w:val="left" w:pos="0"/>
          <w:tab w:val="left" w:pos="426"/>
          <w:tab w:val="right" w:pos="8931"/>
        </w:tabs>
        <w:spacing w:after="0" w:line="480" w:lineRule="auto"/>
        <w:ind w:firstLine="0"/>
        <w:rPr>
          <w:b/>
          <w:color w:val="000000"/>
        </w:rPr>
      </w:pPr>
      <w:r w:rsidRPr="00B53758">
        <w:rPr>
          <w:color w:val="000000"/>
        </w:rPr>
        <w:t xml:space="preserve">In this instance, the outcome reflects the fact that Uusimaa is by far the largest Finnish </w:t>
      </w:r>
      <w:r>
        <w:rPr>
          <w:color w:val="000000"/>
        </w:rPr>
        <w:t>province</w:t>
      </w:r>
      <w:r w:rsidRPr="00B53758">
        <w:rPr>
          <w:color w:val="000000"/>
        </w:rPr>
        <w:t xml:space="preserve">.  It also has the lowest value of </w:t>
      </w:r>
      <w:r w:rsidRPr="00B53758">
        <w:rPr>
          <w:i/>
          <w:color w:val="000000"/>
        </w:rPr>
        <w:t>PROP</w:t>
      </w:r>
      <w:r w:rsidRPr="00B53758">
        <w:rPr>
          <w:color w:val="000000"/>
        </w:rPr>
        <w:t xml:space="preserve">.  For the other nineteen </w:t>
      </w:r>
      <w:r>
        <w:rPr>
          <w:color w:val="000000"/>
        </w:rPr>
        <w:t>provinces</w:t>
      </w:r>
      <w:r w:rsidRPr="00B53758">
        <w:rPr>
          <w:color w:val="000000"/>
        </w:rPr>
        <w:t xml:space="preserve">, Bonfiglio’s method generated </w:t>
      </w:r>
      <w:r w:rsidR="00DC2D9A" w:rsidRPr="005F4A63">
        <w:rPr>
          <w:position w:val="-10"/>
        </w:rPr>
        <w:object w:dxaOrig="940" w:dyaOrig="380">
          <v:shape id="_x0000_i1056" type="#_x0000_t75" style="width:49.7pt;height:18.75pt" o:ole="">
            <v:imagedata r:id="rId71" o:title=""/>
          </v:shape>
          <o:OLEObject Type="Embed" ProgID="Equation.3" ShapeID="_x0000_i1056" DrawAspect="Content" ObjectID="_1494569109" r:id="rId72"/>
        </w:object>
      </w:r>
      <w:r>
        <w:t xml:space="preserve"> as required.</w:t>
      </w:r>
    </w:p>
    <w:p w:rsidR="002D1DDE" w:rsidRDefault="002D1DDE" w:rsidP="002D1DDE">
      <w:pPr>
        <w:widowControl w:val="0"/>
        <w:tabs>
          <w:tab w:val="left" w:pos="0"/>
          <w:tab w:val="left" w:pos="426"/>
          <w:tab w:val="right" w:pos="8931"/>
        </w:tabs>
        <w:spacing w:after="0" w:line="480" w:lineRule="auto"/>
        <w:ind w:firstLine="0"/>
        <w:rPr>
          <w:color w:val="000000"/>
        </w:rPr>
      </w:pPr>
      <w:r>
        <w:rPr>
          <w:color w:val="000000"/>
        </w:rPr>
        <w:lastRenderedPageBreak/>
        <w:tab/>
        <w:t xml:space="preserve">These examples serve to highlight a problem with Bonfiglio’s approach: the theoretical constraint </w:t>
      </w:r>
      <w:r w:rsidR="009F0719" w:rsidRPr="00B335EC">
        <w:rPr>
          <w:i/>
          <w:color w:val="000000"/>
        </w:rPr>
        <w:t>δ</w:t>
      </w:r>
      <w:r w:rsidR="009F0719">
        <w:rPr>
          <w:color w:val="000000"/>
        </w:rPr>
        <w:t xml:space="preserve"> ≥ 0</w:t>
      </w:r>
      <w:r>
        <w:rPr>
          <w:color w:val="000000"/>
        </w:rPr>
        <w:t xml:space="preserve"> is not imposed on equation (</w:t>
      </w:r>
      <w:r w:rsidR="00CF6AF8">
        <w:rPr>
          <w:color w:val="000000"/>
        </w:rPr>
        <w:t>2</w:t>
      </w:r>
      <w:r w:rsidR="00427A8B">
        <w:rPr>
          <w:color w:val="000000"/>
        </w:rPr>
        <w:t>3</w:t>
      </w:r>
      <w:r>
        <w:rPr>
          <w:color w:val="000000"/>
        </w:rPr>
        <w:t xml:space="preserve">), so it can yield </w:t>
      </w:r>
      <w:r w:rsidR="00036218" w:rsidRPr="005D0965">
        <w:rPr>
          <w:position w:val="-6"/>
        </w:rPr>
        <w:object w:dxaOrig="560" w:dyaOrig="340">
          <v:shape id="_x0000_i1057" type="#_x0000_t75" style="width:29.9pt;height:17.25pt" o:ole="">
            <v:imagedata r:id="rId73" o:title=""/>
          </v:shape>
          <o:OLEObject Type="Embed" ProgID="Equation.3" ShapeID="_x0000_i1057" DrawAspect="Content" ObjectID="_1494569110" r:id="rId74"/>
        </w:object>
      </w:r>
      <w:r>
        <w:rPr>
          <w:color w:val="000000"/>
        </w:rPr>
        <w:t xml:space="preserve">for regions that are relatively large or exhibit below-average propensities to import from other regions or </w:t>
      </w:r>
      <w:r w:rsidR="00E96B51">
        <w:rPr>
          <w:color w:val="000000"/>
        </w:rPr>
        <w:t xml:space="preserve">have </w:t>
      </w:r>
      <w:r>
        <w:rPr>
          <w:color w:val="000000"/>
        </w:rPr>
        <w:t>both</w:t>
      </w:r>
      <w:r w:rsidR="00E96B51">
        <w:rPr>
          <w:color w:val="000000"/>
        </w:rPr>
        <w:t xml:space="preserve"> characteristics</w:t>
      </w:r>
      <w:r>
        <w:rPr>
          <w:color w:val="000000"/>
        </w:rPr>
        <w:t xml:space="preserve">.  Cases in point are Uusimaa and </w:t>
      </w:r>
      <w:r>
        <w:t xml:space="preserve">Baden-Wuerttemberg.  </w:t>
      </w:r>
      <w:r w:rsidR="0088613A">
        <w:t xml:space="preserve">  Of course, one could circumvent this problem of negative values by arbitrarily setting </w:t>
      </w:r>
      <w:r w:rsidR="0088613A" w:rsidRPr="00B335EC">
        <w:rPr>
          <w:i/>
          <w:color w:val="000000"/>
        </w:rPr>
        <w:t>δ</w:t>
      </w:r>
      <w:r w:rsidR="0088613A">
        <w:rPr>
          <w:color w:val="000000"/>
        </w:rPr>
        <w:t xml:space="preserve"> = 0 but that solution would lack any theoretical basis.  Furthermore, for Uusimaa in 1995, </w:t>
      </w:r>
      <w:r w:rsidR="0088613A">
        <w:t xml:space="preserve">setting </w:t>
      </w:r>
      <w:r w:rsidR="0088613A" w:rsidRPr="00B335EC">
        <w:rPr>
          <w:i/>
          <w:color w:val="000000"/>
        </w:rPr>
        <w:t>δ</w:t>
      </w:r>
      <w:r w:rsidR="0088613A">
        <w:rPr>
          <w:color w:val="000000"/>
        </w:rPr>
        <w:t xml:space="preserve"> = 0 yields an MPE for the type I </w:t>
      </w:r>
      <w:r w:rsidR="009F0515">
        <w:rPr>
          <w:color w:val="000000"/>
        </w:rPr>
        <w:t xml:space="preserve">output </w:t>
      </w:r>
      <w:r w:rsidR="0088613A">
        <w:rPr>
          <w:color w:val="000000"/>
        </w:rPr>
        <w:t xml:space="preserve">multipliers of 15.0%, whereas using </w:t>
      </w:r>
      <w:r w:rsidR="0088613A" w:rsidRPr="00B335EC">
        <w:rPr>
          <w:i/>
          <w:color w:val="000000"/>
        </w:rPr>
        <w:t>δ</w:t>
      </w:r>
      <w:r w:rsidR="0088613A">
        <w:rPr>
          <w:color w:val="000000"/>
        </w:rPr>
        <w:t xml:space="preserve"> = 0.383 yields MPE ≈ 0.</w:t>
      </w:r>
      <w:r w:rsidR="00372C8C">
        <w:rPr>
          <w:b/>
          <w:color w:val="000000"/>
          <w:vertAlign w:val="superscript"/>
        </w:rPr>
        <w:t>18</w:t>
      </w:r>
    </w:p>
    <w:p w:rsidR="00416199" w:rsidRPr="00416199" w:rsidRDefault="00416199" w:rsidP="002D1DDE">
      <w:pPr>
        <w:widowControl w:val="0"/>
        <w:tabs>
          <w:tab w:val="left" w:pos="0"/>
          <w:tab w:val="left" w:pos="426"/>
          <w:tab w:val="right" w:pos="8931"/>
        </w:tabs>
        <w:spacing w:after="0" w:line="480" w:lineRule="auto"/>
        <w:ind w:firstLine="0"/>
      </w:pPr>
      <w:r>
        <w:rPr>
          <w:color w:val="000000"/>
        </w:rPr>
        <w:tab/>
        <w:t xml:space="preserve">A practical obstacle to the use of Bonfiglio’s formula is that data for </w:t>
      </w:r>
      <w:r w:rsidRPr="002C3A29">
        <w:rPr>
          <w:i/>
        </w:rPr>
        <w:t>P</w:t>
      </w:r>
      <w:r>
        <w:rPr>
          <w:i/>
        </w:rPr>
        <w:t>ROP</w:t>
      </w:r>
      <w:r>
        <w:t xml:space="preserve"> </w:t>
      </w:r>
      <w:r w:rsidRPr="00B53758">
        <w:t xml:space="preserve">and </w:t>
      </w:r>
      <w:r w:rsidRPr="00B53758">
        <w:rPr>
          <w:i/>
          <w:color w:val="000000"/>
        </w:rPr>
        <w:t>RSRP</w:t>
      </w:r>
      <w:r>
        <w:rPr>
          <w:color w:val="000000"/>
        </w:rPr>
        <w:t xml:space="preserve"> would not usually be available to analysts, so proxies or assumed values would need to be used.  </w:t>
      </w:r>
      <w:r w:rsidR="00E76223">
        <w:rPr>
          <w:color w:val="000000"/>
        </w:rPr>
        <w:t>However, t</w:t>
      </w:r>
      <w:r w:rsidR="002C3CE1">
        <w:rPr>
          <w:color w:val="000000"/>
        </w:rPr>
        <w:t xml:space="preserve">his is not really a problem </w:t>
      </w:r>
      <w:r w:rsidR="00A413C7">
        <w:rPr>
          <w:color w:val="000000"/>
        </w:rPr>
        <w:t>as to</w:t>
      </w:r>
      <w:r w:rsidR="002C3CE1">
        <w:rPr>
          <w:color w:val="000000"/>
        </w:rPr>
        <w:t xml:space="preserve"> </w:t>
      </w:r>
      <w:r w:rsidRPr="00B53758">
        <w:rPr>
          <w:i/>
          <w:color w:val="000000"/>
        </w:rPr>
        <w:t>RSRP</w:t>
      </w:r>
      <w:r>
        <w:rPr>
          <w:color w:val="000000"/>
        </w:rPr>
        <w:t xml:space="preserve"> since regional size (measured in terms of employment or output) should be a suitable proxy.</w:t>
      </w:r>
      <w:r w:rsidR="00372C8C">
        <w:rPr>
          <w:b/>
          <w:color w:val="000000"/>
          <w:vertAlign w:val="superscript"/>
        </w:rPr>
        <w:t>19</w:t>
      </w:r>
      <w:r>
        <w:rPr>
          <w:color w:val="000000"/>
        </w:rPr>
        <w:t xml:space="preserve">  </w:t>
      </w:r>
      <w:r w:rsidR="00E76223">
        <w:rPr>
          <w:color w:val="000000"/>
        </w:rPr>
        <w:t>A</w:t>
      </w:r>
      <w:r w:rsidR="00E76223">
        <w:t xml:space="preserve"> more serious issue in any application</w:t>
      </w:r>
      <w:r w:rsidR="00E76223">
        <w:rPr>
          <w:color w:val="000000"/>
        </w:rPr>
        <w:t xml:space="preserve"> </w:t>
      </w:r>
      <w:r w:rsidR="00E76223">
        <w:t xml:space="preserve">is </w:t>
      </w:r>
      <w:r w:rsidR="00F706A1">
        <w:t>apt</w:t>
      </w:r>
      <w:r w:rsidR="00E76223">
        <w:t xml:space="preserve"> to be</w:t>
      </w:r>
      <w:r w:rsidR="00E76223">
        <w:rPr>
          <w:color w:val="000000"/>
        </w:rPr>
        <w:t xml:space="preserve"> </w:t>
      </w:r>
      <w:r>
        <w:rPr>
          <w:color w:val="000000"/>
        </w:rPr>
        <w:t xml:space="preserve">a lack of data for </w:t>
      </w:r>
      <w:r w:rsidRPr="002C3A29">
        <w:rPr>
          <w:i/>
        </w:rPr>
        <w:t>P</w:t>
      </w:r>
      <w:r>
        <w:rPr>
          <w:i/>
        </w:rPr>
        <w:t>ROP</w:t>
      </w:r>
      <w:r>
        <w:t>.</w:t>
      </w:r>
    </w:p>
    <w:p w:rsidR="002D1DDE" w:rsidRDefault="002D1DDE" w:rsidP="002D1DDE">
      <w:pPr>
        <w:widowControl w:val="0"/>
        <w:tabs>
          <w:tab w:val="left" w:pos="426"/>
        </w:tabs>
        <w:spacing w:after="0" w:line="480" w:lineRule="auto"/>
        <w:ind w:firstLine="0"/>
        <w:rPr>
          <w:color w:val="000000"/>
        </w:rPr>
      </w:pPr>
      <w:r>
        <w:tab/>
        <w:t xml:space="preserve">An alternative method is suggested by </w:t>
      </w:r>
      <w:r>
        <w:rPr>
          <w:color w:val="000000"/>
        </w:rPr>
        <w:t>Flegg and Tohmo (2013a), who estimated the following regression equation using survey-based data for twenty Finnish regions in 1995:</w:t>
      </w:r>
    </w:p>
    <w:p w:rsidR="002D1DDE" w:rsidRDefault="002D1DDE" w:rsidP="002D1DDE">
      <w:pPr>
        <w:widowControl w:val="0"/>
        <w:tabs>
          <w:tab w:val="center" w:pos="4536"/>
          <w:tab w:val="right" w:pos="8931"/>
        </w:tabs>
        <w:spacing w:after="0" w:line="480" w:lineRule="auto"/>
        <w:jc w:val="left"/>
      </w:pPr>
      <w:r>
        <w:tab/>
      </w:r>
      <w:r>
        <w:rPr>
          <w:color w:val="000000"/>
        </w:rPr>
        <w:t>ln</w:t>
      </w:r>
      <w:r>
        <w:rPr>
          <w:color w:val="000000"/>
          <w:vertAlign w:val="subscript"/>
        </w:rPr>
        <w:t xml:space="preserve"> </w:t>
      </w:r>
      <w:r w:rsidRPr="002D3164">
        <w:rPr>
          <w:i/>
          <w:color w:val="000000"/>
        </w:rPr>
        <w:t>δ</w:t>
      </w:r>
      <w:r>
        <w:rPr>
          <w:color w:val="000000"/>
        </w:rPr>
        <w:t xml:space="preserve"> = </w:t>
      </w:r>
      <w:r>
        <w:rPr>
          <w:color w:val="000000"/>
        </w:rPr>
        <w:sym w:font="Symbol" w:char="002D"/>
      </w:r>
      <w:r>
        <w:rPr>
          <w:color w:val="000000"/>
        </w:rPr>
        <w:t>1.8379 + 0.33195</w:t>
      </w:r>
      <w:r>
        <w:rPr>
          <w:color w:val="000000"/>
          <w:vertAlign w:val="subscript"/>
        </w:rPr>
        <w:t xml:space="preserve"> </w:t>
      </w:r>
      <w:r>
        <w:rPr>
          <w:color w:val="000000"/>
        </w:rPr>
        <w:t>ln</w:t>
      </w:r>
      <w:r>
        <w:rPr>
          <w:color w:val="000000"/>
          <w:vertAlign w:val="subscript"/>
        </w:rPr>
        <w:t xml:space="preserve"> </w:t>
      </w:r>
      <w:r w:rsidRPr="002C3A29">
        <w:rPr>
          <w:i/>
          <w:color w:val="000000"/>
        </w:rPr>
        <w:t>R</w:t>
      </w:r>
      <w:r>
        <w:rPr>
          <w:color w:val="000000"/>
        </w:rPr>
        <w:t xml:space="preserve"> + 1.5834</w:t>
      </w:r>
      <w:r>
        <w:rPr>
          <w:color w:val="000000"/>
          <w:vertAlign w:val="subscript"/>
        </w:rPr>
        <w:t xml:space="preserve"> </w:t>
      </w:r>
      <w:r>
        <w:rPr>
          <w:color w:val="000000"/>
        </w:rPr>
        <w:t>ln</w:t>
      </w:r>
      <w:r>
        <w:rPr>
          <w:color w:val="000000"/>
          <w:vertAlign w:val="subscript"/>
        </w:rPr>
        <w:t xml:space="preserve"> </w:t>
      </w:r>
      <w:r w:rsidRPr="002C3A29">
        <w:rPr>
          <w:i/>
          <w:color w:val="000000"/>
        </w:rPr>
        <w:t>P</w:t>
      </w:r>
      <w:r>
        <w:rPr>
          <w:color w:val="000000"/>
        </w:rPr>
        <w:t xml:space="preserve"> </w:t>
      </w:r>
      <w:r>
        <w:rPr>
          <w:color w:val="000000"/>
        </w:rPr>
        <w:sym w:font="Symbol" w:char="002D"/>
      </w:r>
      <w:r>
        <w:rPr>
          <w:color w:val="000000"/>
        </w:rPr>
        <w:t xml:space="preserve"> 2.8812</w:t>
      </w:r>
      <w:r>
        <w:rPr>
          <w:color w:val="000000"/>
          <w:vertAlign w:val="subscript"/>
        </w:rPr>
        <w:t xml:space="preserve"> </w:t>
      </w:r>
      <w:r>
        <w:rPr>
          <w:color w:val="000000"/>
        </w:rPr>
        <w:t>ln</w:t>
      </w:r>
      <w:r>
        <w:rPr>
          <w:color w:val="000000"/>
          <w:vertAlign w:val="subscript"/>
        </w:rPr>
        <w:t xml:space="preserve"> </w:t>
      </w:r>
      <w:r w:rsidRPr="002C3A29">
        <w:rPr>
          <w:i/>
          <w:color w:val="000000"/>
        </w:rPr>
        <w:t>I</w:t>
      </w:r>
      <w:r>
        <w:rPr>
          <w:color w:val="000000"/>
        </w:rPr>
        <w:t xml:space="preserve"> + e</w:t>
      </w:r>
      <w:r>
        <w:tab/>
        <w:t>(2</w:t>
      </w:r>
      <w:r w:rsidR="004A635B">
        <w:t>6</w:t>
      </w:r>
      <w:r>
        <w:t>)</w:t>
      </w:r>
    </w:p>
    <w:p w:rsidR="002D1DDE" w:rsidRPr="00B448C9" w:rsidRDefault="002D1DDE" w:rsidP="004B691E">
      <w:pPr>
        <w:spacing w:after="0" w:line="480" w:lineRule="auto"/>
        <w:ind w:firstLine="0"/>
      </w:pPr>
      <w:r>
        <w:t xml:space="preserve">where </w:t>
      </w:r>
      <w:r w:rsidRPr="002C3A29">
        <w:rPr>
          <w:i/>
        </w:rPr>
        <w:t>R</w:t>
      </w:r>
      <w:r>
        <w:t xml:space="preserve"> is regional size measured in terms of output and expressed as a percentage; </w:t>
      </w:r>
      <w:r w:rsidRPr="002C3A29">
        <w:rPr>
          <w:i/>
        </w:rPr>
        <w:t>P</w:t>
      </w:r>
      <w:r>
        <w:t xml:space="preserve"> is a survey-based estimate of each region’s propensity to import from other regions, divided by the mean value of this propensity for all regions; </w:t>
      </w:r>
      <w:r w:rsidRPr="002C3A29">
        <w:rPr>
          <w:i/>
        </w:rPr>
        <w:t>I</w:t>
      </w:r>
      <w:r>
        <w:t xml:space="preserve"> is a survey-based estimate of each region’s average use of intermediate inputs (including inputs imported from other regions), divided by the corresponding national proportion of intermediate inputs; e is a residual.</w:t>
      </w:r>
      <w:r w:rsidR="002D3164">
        <w:t xml:space="preserve">  </w:t>
      </w:r>
      <w:r w:rsidR="00866FE7">
        <w:t>Observations on</w:t>
      </w:r>
      <w:r w:rsidR="00866FE7" w:rsidRPr="00866FE7">
        <w:rPr>
          <w:color w:val="000000"/>
        </w:rPr>
        <w:t xml:space="preserve"> </w:t>
      </w:r>
      <w:r w:rsidR="00866FE7">
        <w:rPr>
          <w:color w:val="000000"/>
        </w:rPr>
        <w:t>ln</w:t>
      </w:r>
      <w:r w:rsidR="00866FE7">
        <w:rPr>
          <w:color w:val="000000"/>
          <w:vertAlign w:val="subscript"/>
        </w:rPr>
        <w:t xml:space="preserve"> </w:t>
      </w:r>
      <w:r w:rsidR="00866FE7" w:rsidRPr="002D3164">
        <w:rPr>
          <w:i/>
          <w:color w:val="000000"/>
        </w:rPr>
        <w:t>δ</w:t>
      </w:r>
      <w:r w:rsidR="00866FE7">
        <w:t xml:space="preserve"> </w:t>
      </w:r>
      <w:r w:rsidR="002D3164">
        <w:rPr>
          <w:color w:val="000000"/>
        </w:rPr>
        <w:t>were derived by finding the value</w:t>
      </w:r>
      <w:r w:rsidR="00866FE7">
        <w:rPr>
          <w:color w:val="000000"/>
        </w:rPr>
        <w:t xml:space="preserve"> of </w:t>
      </w:r>
      <w:r w:rsidR="00866FE7" w:rsidRPr="00B335EC">
        <w:rPr>
          <w:i/>
          <w:color w:val="000000"/>
        </w:rPr>
        <w:t>δ</w:t>
      </w:r>
      <w:r w:rsidR="002D3164">
        <w:rPr>
          <w:color w:val="000000"/>
        </w:rPr>
        <w:t xml:space="preserve"> that minimized the MPE for each Finnish region.</w:t>
      </w:r>
    </w:p>
    <w:p w:rsidR="002D1DDE" w:rsidRDefault="002D1DDE" w:rsidP="002D1DDE">
      <w:pPr>
        <w:widowControl w:val="0"/>
        <w:tabs>
          <w:tab w:val="left" w:pos="426"/>
        </w:tabs>
        <w:spacing w:after="0" w:line="480" w:lineRule="auto"/>
        <w:ind w:firstLine="0"/>
        <w:rPr>
          <w:color w:val="000000"/>
        </w:rPr>
      </w:pPr>
      <w:r>
        <w:tab/>
      </w:r>
      <w:r>
        <w:rPr>
          <w:color w:val="000000"/>
        </w:rPr>
        <w:t>Equation (2</w:t>
      </w:r>
      <w:r w:rsidR="004C2C6E">
        <w:rPr>
          <w:color w:val="000000"/>
        </w:rPr>
        <w:t>6</w:t>
      </w:r>
      <w:r>
        <w:rPr>
          <w:color w:val="000000"/>
        </w:rPr>
        <w:t xml:space="preserve">) </w:t>
      </w:r>
      <w:r w:rsidR="00866FE7">
        <w:t xml:space="preserve">has the merit that </w:t>
      </w:r>
      <w:r w:rsidR="00866FE7" w:rsidRPr="00B335EC">
        <w:rPr>
          <w:i/>
          <w:color w:val="000000"/>
        </w:rPr>
        <w:t>δ</w:t>
      </w:r>
      <w:r w:rsidR="00866FE7">
        <w:rPr>
          <w:color w:val="000000"/>
        </w:rPr>
        <w:t xml:space="preserve"> </w:t>
      </w:r>
      <w:r w:rsidR="00866FE7" w:rsidRPr="00A60E8E">
        <w:rPr>
          <w:color w:val="000000"/>
          <w:lang w:val="sv-SE"/>
        </w:rPr>
        <w:sym w:font="Symbol" w:char="F0AE"/>
      </w:r>
      <w:r w:rsidR="00866FE7" w:rsidRPr="00A60E8E">
        <w:rPr>
          <w:color w:val="000000"/>
          <w:lang w:val="sv-SE"/>
        </w:rPr>
        <w:t xml:space="preserve"> </w:t>
      </w:r>
      <w:r w:rsidR="00866FE7">
        <w:rPr>
          <w:color w:val="000000"/>
          <w:lang w:val="sv-SE"/>
        </w:rPr>
        <w:t>0</w:t>
      </w:r>
      <w:r w:rsidR="00866FE7" w:rsidRPr="00A60E8E">
        <w:rPr>
          <w:color w:val="000000"/>
          <w:lang w:val="sv-SE"/>
        </w:rPr>
        <w:t xml:space="preserve"> as </w:t>
      </w:r>
      <w:r w:rsidR="00866FE7" w:rsidRPr="00A60E8E">
        <w:rPr>
          <w:i/>
          <w:color w:val="000000"/>
          <w:lang w:val="sv-SE"/>
        </w:rPr>
        <w:t>R</w:t>
      </w:r>
      <w:r w:rsidR="00866FE7" w:rsidRPr="00A60E8E">
        <w:rPr>
          <w:color w:val="000000"/>
          <w:lang w:val="sv-SE"/>
        </w:rPr>
        <w:t xml:space="preserve"> </w:t>
      </w:r>
      <w:r w:rsidR="00866FE7" w:rsidRPr="00A60E8E">
        <w:rPr>
          <w:color w:val="000000"/>
          <w:lang w:val="sv-SE"/>
        </w:rPr>
        <w:sym w:font="Symbol" w:char="F0AE"/>
      </w:r>
      <w:r w:rsidR="00866FE7" w:rsidRPr="00A60E8E">
        <w:rPr>
          <w:color w:val="000000"/>
          <w:lang w:val="sv-SE"/>
        </w:rPr>
        <w:t xml:space="preserve"> </w:t>
      </w:r>
      <w:r w:rsidR="00866FE7">
        <w:rPr>
          <w:color w:val="000000"/>
          <w:lang w:val="sv-SE"/>
        </w:rPr>
        <w:t>0</w:t>
      </w:r>
      <w:r w:rsidR="00866FE7">
        <w:rPr>
          <w:color w:val="000000"/>
        </w:rPr>
        <w:t>.  Moreover, unlike equation (2</w:t>
      </w:r>
      <w:r w:rsidR="004C2C6E">
        <w:rPr>
          <w:color w:val="000000"/>
        </w:rPr>
        <w:t>3</w:t>
      </w:r>
      <w:r w:rsidR="00866FE7">
        <w:rPr>
          <w:color w:val="000000"/>
        </w:rPr>
        <w:t xml:space="preserve">), it takes explicit account of any differences between the regional and national ratios of intermediate use.  It </w:t>
      </w:r>
      <w:r>
        <w:rPr>
          <w:color w:val="000000"/>
        </w:rPr>
        <w:t>can, in fact, be rewritten in the following alternative forms, which may be more convenient in some cases (Flegg and Tohmo, 201</w:t>
      </w:r>
      <w:r w:rsidR="00D96B5A">
        <w:rPr>
          <w:color w:val="000000"/>
        </w:rPr>
        <w:t>4</w:t>
      </w:r>
      <w:r>
        <w:rPr>
          <w:color w:val="000000"/>
        </w:rPr>
        <w:t>):</w:t>
      </w:r>
    </w:p>
    <w:p w:rsidR="002D1DDE" w:rsidRDefault="002D1DDE" w:rsidP="004E035B">
      <w:pPr>
        <w:widowControl w:val="0"/>
        <w:tabs>
          <w:tab w:val="center" w:pos="4536"/>
          <w:tab w:val="right" w:pos="8931"/>
        </w:tabs>
        <w:spacing w:after="0" w:line="480" w:lineRule="auto"/>
        <w:jc w:val="left"/>
      </w:pPr>
      <w:r>
        <w:rPr>
          <w:color w:val="000000"/>
        </w:rPr>
        <w:lastRenderedPageBreak/>
        <w:tab/>
        <w:t>ln</w:t>
      </w:r>
      <w:r>
        <w:rPr>
          <w:color w:val="000000"/>
          <w:vertAlign w:val="subscript"/>
        </w:rPr>
        <w:t xml:space="preserve"> </w:t>
      </w:r>
      <w:r w:rsidRPr="007C2C38">
        <w:rPr>
          <w:i/>
          <w:color w:val="000000"/>
        </w:rPr>
        <w:t>δ</w:t>
      </w:r>
      <w:r>
        <w:rPr>
          <w:color w:val="000000"/>
        </w:rPr>
        <w:t xml:space="preserve"> = 0.8169 + 0.33195</w:t>
      </w:r>
      <w:r>
        <w:rPr>
          <w:color w:val="000000"/>
          <w:vertAlign w:val="subscript"/>
        </w:rPr>
        <w:t xml:space="preserve"> </w:t>
      </w:r>
      <w:r>
        <w:rPr>
          <w:color w:val="000000"/>
        </w:rPr>
        <w:t>ln</w:t>
      </w:r>
      <w:r>
        <w:rPr>
          <w:color w:val="000000"/>
          <w:vertAlign w:val="subscript"/>
        </w:rPr>
        <w:t xml:space="preserve"> </w:t>
      </w:r>
      <w:r w:rsidRPr="002C3A29">
        <w:rPr>
          <w:i/>
          <w:color w:val="000000"/>
        </w:rPr>
        <w:t>R</w:t>
      </w:r>
      <w:r>
        <w:rPr>
          <w:color w:val="000000"/>
        </w:rPr>
        <w:t xml:space="preserve"> + 1.5834</w:t>
      </w:r>
      <w:r>
        <w:rPr>
          <w:color w:val="000000"/>
          <w:vertAlign w:val="subscript"/>
        </w:rPr>
        <w:t xml:space="preserve"> </w:t>
      </w:r>
      <w:r>
        <w:rPr>
          <w:color w:val="000000"/>
        </w:rPr>
        <w:t>ln</w:t>
      </w:r>
      <w:r>
        <w:rPr>
          <w:color w:val="000000"/>
          <w:vertAlign w:val="subscript"/>
        </w:rPr>
        <w:t xml:space="preserve"> </w:t>
      </w:r>
      <w:r>
        <w:rPr>
          <w:i/>
          <w:color w:val="000000"/>
        </w:rPr>
        <w:t>p</w:t>
      </w:r>
      <w:r>
        <w:rPr>
          <w:color w:val="000000"/>
        </w:rPr>
        <w:t xml:space="preserve"> </w:t>
      </w:r>
      <w:r>
        <w:rPr>
          <w:color w:val="000000"/>
        </w:rPr>
        <w:sym w:font="Symbol" w:char="002D"/>
      </w:r>
      <w:r>
        <w:rPr>
          <w:color w:val="000000"/>
        </w:rPr>
        <w:t xml:space="preserve"> 2.8812</w:t>
      </w:r>
      <w:r>
        <w:rPr>
          <w:color w:val="000000"/>
          <w:vertAlign w:val="subscript"/>
        </w:rPr>
        <w:t xml:space="preserve"> </w:t>
      </w:r>
      <w:r>
        <w:rPr>
          <w:color w:val="000000"/>
        </w:rPr>
        <w:t>ln</w:t>
      </w:r>
      <w:r>
        <w:rPr>
          <w:color w:val="000000"/>
          <w:vertAlign w:val="subscript"/>
        </w:rPr>
        <w:t xml:space="preserve"> </w:t>
      </w:r>
      <w:r w:rsidRPr="002C3A29">
        <w:rPr>
          <w:i/>
          <w:color w:val="000000"/>
        </w:rPr>
        <w:t>I</w:t>
      </w:r>
      <w:r>
        <w:rPr>
          <w:color w:val="000000"/>
        </w:rPr>
        <w:t xml:space="preserve"> + </w:t>
      </w:r>
      <w:r w:rsidRPr="007C2C38">
        <w:rPr>
          <w:i/>
          <w:color w:val="000000"/>
        </w:rPr>
        <w:t>e</w:t>
      </w:r>
      <w:r>
        <w:tab/>
        <w:t>(2</w:t>
      </w:r>
      <w:r w:rsidR="004C2C6E">
        <w:t>7</w:t>
      </w:r>
      <w:r>
        <w:t>)</w:t>
      </w:r>
    </w:p>
    <w:p w:rsidR="002D1DDE" w:rsidRDefault="002D1DDE" w:rsidP="004E035B">
      <w:pPr>
        <w:widowControl w:val="0"/>
        <w:tabs>
          <w:tab w:val="center" w:pos="4536"/>
          <w:tab w:val="right" w:pos="8931"/>
        </w:tabs>
        <w:spacing w:after="0" w:line="480" w:lineRule="auto"/>
        <w:jc w:val="left"/>
      </w:pPr>
      <w:r>
        <w:rPr>
          <w:color w:val="000000"/>
        </w:rPr>
        <w:tab/>
        <w:t>ln</w:t>
      </w:r>
      <w:r>
        <w:rPr>
          <w:color w:val="000000"/>
          <w:vertAlign w:val="subscript"/>
        </w:rPr>
        <w:t xml:space="preserve"> </w:t>
      </w:r>
      <w:r w:rsidRPr="007C2C38">
        <w:rPr>
          <w:i/>
          <w:color w:val="000000"/>
        </w:rPr>
        <w:t>δ</w:t>
      </w:r>
      <w:r>
        <w:rPr>
          <w:color w:val="000000"/>
        </w:rPr>
        <w:t xml:space="preserve"> = </w:t>
      </w:r>
      <w:r>
        <w:rPr>
          <w:color w:val="000000"/>
        </w:rPr>
        <w:sym w:font="Symbol" w:char="002D"/>
      </w:r>
      <w:r>
        <w:rPr>
          <w:color w:val="000000"/>
        </w:rPr>
        <w:t>1.8296 + 0.33195</w:t>
      </w:r>
      <w:r>
        <w:rPr>
          <w:color w:val="000000"/>
          <w:vertAlign w:val="subscript"/>
        </w:rPr>
        <w:t xml:space="preserve"> </w:t>
      </w:r>
      <w:r>
        <w:rPr>
          <w:color w:val="000000"/>
        </w:rPr>
        <w:t>ln</w:t>
      </w:r>
      <w:r>
        <w:rPr>
          <w:color w:val="000000"/>
          <w:vertAlign w:val="subscript"/>
        </w:rPr>
        <w:t xml:space="preserve"> </w:t>
      </w:r>
      <w:r w:rsidRPr="002C3A29">
        <w:rPr>
          <w:i/>
          <w:color w:val="000000"/>
        </w:rPr>
        <w:t>R</w:t>
      </w:r>
      <w:r>
        <w:rPr>
          <w:color w:val="000000"/>
        </w:rPr>
        <w:t xml:space="preserve"> + 1.5834</w:t>
      </w:r>
      <w:r>
        <w:rPr>
          <w:color w:val="000000"/>
          <w:vertAlign w:val="subscript"/>
        </w:rPr>
        <w:t xml:space="preserve"> </w:t>
      </w:r>
      <w:r>
        <w:rPr>
          <w:color w:val="000000"/>
        </w:rPr>
        <w:t>ln</w:t>
      </w:r>
      <w:r>
        <w:rPr>
          <w:color w:val="000000"/>
          <w:vertAlign w:val="subscript"/>
        </w:rPr>
        <w:t xml:space="preserve"> </w:t>
      </w:r>
      <w:r>
        <w:rPr>
          <w:i/>
          <w:color w:val="000000"/>
        </w:rPr>
        <w:t>p</w:t>
      </w:r>
      <w:r>
        <w:rPr>
          <w:color w:val="000000"/>
        </w:rPr>
        <w:t xml:space="preserve"> </w:t>
      </w:r>
      <w:r>
        <w:rPr>
          <w:color w:val="000000"/>
        </w:rPr>
        <w:sym w:font="Symbol" w:char="002D"/>
      </w:r>
      <w:r>
        <w:rPr>
          <w:color w:val="000000"/>
        </w:rPr>
        <w:t xml:space="preserve"> 2.8812</w:t>
      </w:r>
      <w:r>
        <w:rPr>
          <w:color w:val="000000"/>
          <w:vertAlign w:val="subscript"/>
        </w:rPr>
        <w:t xml:space="preserve"> </w:t>
      </w:r>
      <w:r>
        <w:rPr>
          <w:color w:val="000000"/>
        </w:rPr>
        <w:t>ln</w:t>
      </w:r>
      <w:r>
        <w:rPr>
          <w:color w:val="000000"/>
          <w:vertAlign w:val="subscript"/>
        </w:rPr>
        <w:t xml:space="preserve"> </w:t>
      </w:r>
      <w:r>
        <w:rPr>
          <w:i/>
          <w:color w:val="000000"/>
        </w:rPr>
        <w:t>i</w:t>
      </w:r>
      <w:r>
        <w:rPr>
          <w:color w:val="000000"/>
        </w:rPr>
        <w:t xml:space="preserve"> + </w:t>
      </w:r>
      <w:r w:rsidRPr="007C2C38">
        <w:rPr>
          <w:i/>
          <w:color w:val="000000"/>
        </w:rPr>
        <w:t>e</w:t>
      </w:r>
      <w:r>
        <w:tab/>
        <w:t>(2</w:t>
      </w:r>
      <w:r w:rsidR="004C2C6E">
        <w:t>8</w:t>
      </w:r>
      <w:r>
        <w:t>)</w:t>
      </w:r>
    </w:p>
    <w:p w:rsidR="002D1DDE" w:rsidRDefault="002D1DDE" w:rsidP="002D1DDE">
      <w:pPr>
        <w:widowControl w:val="0"/>
        <w:tabs>
          <w:tab w:val="left" w:pos="426"/>
          <w:tab w:val="right" w:pos="8931"/>
        </w:tabs>
        <w:spacing w:after="0" w:line="480" w:lineRule="auto"/>
        <w:ind w:firstLine="0"/>
      </w:pPr>
      <w:r>
        <w:t xml:space="preserve">where </w:t>
      </w:r>
      <w:r>
        <w:rPr>
          <w:i/>
        </w:rPr>
        <w:t>p</w:t>
      </w:r>
      <w:r>
        <w:t xml:space="preserve"> is an estimate of each region’s propensity to import from other regions, measured as a proportion of gross output, and </w:t>
      </w:r>
      <w:r>
        <w:rPr>
          <w:i/>
        </w:rPr>
        <w:t>i</w:t>
      </w:r>
      <w:r>
        <w:t xml:space="preserve"> is an estimate of each region’s average use of intermediate inputs (including inputs imported from other regions).</w:t>
      </w:r>
    </w:p>
    <w:p w:rsidR="002D1DDE" w:rsidRPr="002333F2" w:rsidRDefault="002D1DDE" w:rsidP="002D1DDE">
      <w:pPr>
        <w:pStyle w:val="Normaali1"/>
        <w:tabs>
          <w:tab w:val="left" w:pos="426"/>
          <w:tab w:val="center" w:pos="4536"/>
          <w:tab w:val="right" w:pos="9214"/>
        </w:tabs>
        <w:spacing w:line="480" w:lineRule="auto"/>
        <w:rPr>
          <w:rFonts w:ascii="Times New Roman" w:hAnsi="Times New Roman"/>
          <w:color w:val="000000"/>
          <w:szCs w:val="24"/>
        </w:rPr>
      </w:pPr>
      <w:r>
        <w:tab/>
      </w:r>
      <w:r w:rsidRPr="002333F2">
        <w:rPr>
          <w:rFonts w:ascii="Times New Roman" w:hAnsi="Times New Roman"/>
          <w:color w:val="000000"/>
          <w:szCs w:val="24"/>
        </w:rPr>
        <w:t>Using equation (2</w:t>
      </w:r>
      <w:r w:rsidR="00427A8B">
        <w:rPr>
          <w:rFonts w:ascii="Times New Roman" w:hAnsi="Times New Roman"/>
          <w:color w:val="000000"/>
          <w:szCs w:val="24"/>
        </w:rPr>
        <w:t>7</w:t>
      </w:r>
      <w:r w:rsidRPr="002333F2">
        <w:rPr>
          <w:rFonts w:ascii="Times New Roman" w:hAnsi="Times New Roman"/>
          <w:color w:val="000000"/>
          <w:szCs w:val="24"/>
        </w:rPr>
        <w:t>), along with data from K</w:t>
      </w:r>
      <w:r>
        <w:rPr>
          <w:rFonts w:ascii="Times New Roman" w:hAnsi="Times New Roman"/>
          <w:color w:val="000000"/>
          <w:szCs w:val="24"/>
        </w:rPr>
        <w:t xml:space="preserve">owalewski </w:t>
      </w:r>
      <w:r w:rsidRPr="002333F2">
        <w:rPr>
          <w:rFonts w:ascii="Times New Roman" w:hAnsi="Times New Roman"/>
          <w:color w:val="000000"/>
          <w:szCs w:val="24"/>
        </w:rPr>
        <w:t>(201</w:t>
      </w:r>
      <w:r w:rsidR="005E5686">
        <w:rPr>
          <w:rFonts w:ascii="Times New Roman" w:hAnsi="Times New Roman"/>
          <w:color w:val="000000"/>
          <w:szCs w:val="24"/>
        </w:rPr>
        <w:t>5</w:t>
      </w:r>
      <w:r w:rsidRPr="002333F2">
        <w:rPr>
          <w:rFonts w:ascii="Times New Roman" w:hAnsi="Times New Roman"/>
          <w:color w:val="000000"/>
          <w:szCs w:val="24"/>
        </w:rPr>
        <w:t xml:space="preserve">, table 1 and p. </w:t>
      </w:r>
      <w:r w:rsidR="00C42027">
        <w:rPr>
          <w:rFonts w:ascii="Times New Roman" w:hAnsi="Times New Roman"/>
          <w:color w:val="000000"/>
          <w:szCs w:val="24"/>
        </w:rPr>
        <w:t>249</w:t>
      </w:r>
      <w:r w:rsidRPr="002333F2">
        <w:rPr>
          <w:rFonts w:ascii="Times New Roman" w:hAnsi="Times New Roman"/>
          <w:color w:val="000000"/>
          <w:szCs w:val="24"/>
        </w:rPr>
        <w:t xml:space="preserve">), the following estimate of </w:t>
      </w:r>
      <w:r w:rsidRPr="002333F2">
        <w:rPr>
          <w:rFonts w:ascii="Times New Roman" w:hAnsi="Times New Roman"/>
          <w:i/>
          <w:color w:val="000000"/>
          <w:szCs w:val="24"/>
        </w:rPr>
        <w:t>δ</w:t>
      </w:r>
      <w:r w:rsidRPr="002333F2">
        <w:rPr>
          <w:rFonts w:ascii="Times New Roman" w:hAnsi="Times New Roman"/>
          <w:color w:val="000000"/>
          <w:szCs w:val="24"/>
        </w:rPr>
        <w:t xml:space="preserve"> was derived for </w:t>
      </w:r>
      <w:r w:rsidRPr="002333F2">
        <w:rPr>
          <w:rFonts w:ascii="Times New Roman" w:hAnsi="Times New Roman"/>
          <w:szCs w:val="24"/>
        </w:rPr>
        <w:t>Baden-Wuerttemberg in 1993</w:t>
      </w:r>
      <w:r w:rsidRPr="002333F2">
        <w:rPr>
          <w:rFonts w:ascii="Times New Roman" w:hAnsi="Times New Roman"/>
          <w:color w:val="000000"/>
          <w:szCs w:val="24"/>
        </w:rPr>
        <w:t>:</w:t>
      </w:r>
    </w:p>
    <w:p w:rsidR="002D1DDE" w:rsidRPr="002333F2" w:rsidRDefault="002D1DDE" w:rsidP="002D1DDE">
      <w:pPr>
        <w:pStyle w:val="Normaali1"/>
        <w:tabs>
          <w:tab w:val="left" w:pos="426"/>
          <w:tab w:val="center" w:pos="4536"/>
          <w:tab w:val="right" w:pos="9214"/>
        </w:tabs>
        <w:spacing w:line="480" w:lineRule="auto"/>
        <w:ind w:left="425" w:hanging="425"/>
        <w:jc w:val="center"/>
        <w:rPr>
          <w:rFonts w:ascii="Times New Roman" w:hAnsi="Times New Roman"/>
          <w:color w:val="000000"/>
          <w:szCs w:val="24"/>
        </w:rPr>
      </w:pPr>
      <w:r w:rsidRPr="002333F2">
        <w:rPr>
          <w:rFonts w:ascii="Times New Roman" w:hAnsi="Times New Roman"/>
          <w:position w:val="-6"/>
          <w:szCs w:val="24"/>
        </w:rPr>
        <w:object w:dxaOrig="220" w:dyaOrig="340">
          <v:shape id="_x0000_i1058" type="#_x0000_t75" style="width:12.15pt;height:17.25pt" o:ole="">
            <v:imagedata r:id="rId67" o:title=""/>
          </v:shape>
          <o:OLEObject Type="Embed" ProgID="Equation.3" ShapeID="_x0000_i1058" DrawAspect="Content" ObjectID="_1494569111" r:id="rId75"/>
        </w:object>
      </w:r>
      <w:r w:rsidRPr="002333F2">
        <w:rPr>
          <w:rFonts w:ascii="Times New Roman" w:hAnsi="Times New Roman"/>
          <w:color w:val="000000"/>
          <w:szCs w:val="24"/>
        </w:rPr>
        <w:t>= exp(0.8169 + 0.33195</w:t>
      </w:r>
      <w:r w:rsidRPr="002333F2">
        <w:rPr>
          <w:rFonts w:ascii="Times New Roman" w:hAnsi="Times New Roman"/>
          <w:color w:val="000000"/>
          <w:szCs w:val="24"/>
          <w:vertAlign w:val="subscript"/>
        </w:rPr>
        <w:t xml:space="preserve"> </w:t>
      </w:r>
      <w:r w:rsidRPr="002333F2">
        <w:rPr>
          <w:rFonts w:ascii="Times New Roman" w:hAnsi="Times New Roman"/>
          <w:color w:val="000000"/>
          <w:szCs w:val="24"/>
        </w:rPr>
        <w:t>ln</w:t>
      </w:r>
      <w:r w:rsidRPr="002333F2">
        <w:rPr>
          <w:rFonts w:ascii="Times New Roman" w:hAnsi="Times New Roman"/>
          <w:color w:val="000000"/>
          <w:szCs w:val="24"/>
          <w:vertAlign w:val="subscript"/>
        </w:rPr>
        <w:t xml:space="preserve"> </w:t>
      </w:r>
      <w:r w:rsidRPr="002333F2">
        <w:rPr>
          <w:rFonts w:ascii="Times New Roman" w:hAnsi="Times New Roman"/>
          <w:color w:val="000000"/>
          <w:szCs w:val="24"/>
        </w:rPr>
        <w:t>14.38 + 1.5834</w:t>
      </w:r>
      <w:r w:rsidRPr="002333F2">
        <w:rPr>
          <w:rFonts w:ascii="Times New Roman" w:hAnsi="Times New Roman"/>
          <w:color w:val="000000"/>
          <w:szCs w:val="24"/>
          <w:vertAlign w:val="subscript"/>
        </w:rPr>
        <w:t xml:space="preserve"> </w:t>
      </w:r>
      <w:r w:rsidRPr="002333F2">
        <w:rPr>
          <w:rFonts w:ascii="Times New Roman" w:hAnsi="Times New Roman"/>
          <w:color w:val="000000"/>
          <w:szCs w:val="24"/>
        </w:rPr>
        <w:t>ln</w:t>
      </w:r>
      <w:r w:rsidRPr="002333F2">
        <w:rPr>
          <w:rFonts w:ascii="Times New Roman" w:hAnsi="Times New Roman"/>
          <w:color w:val="000000"/>
          <w:szCs w:val="24"/>
          <w:vertAlign w:val="subscript"/>
        </w:rPr>
        <w:t xml:space="preserve"> </w:t>
      </w:r>
      <w:r w:rsidRPr="002333F2">
        <w:rPr>
          <w:rFonts w:ascii="Times New Roman" w:hAnsi="Times New Roman"/>
          <w:color w:val="000000"/>
          <w:szCs w:val="24"/>
        </w:rPr>
        <w:t xml:space="preserve">0.1019 </w:t>
      </w:r>
      <w:r w:rsidRPr="002333F2">
        <w:rPr>
          <w:rFonts w:ascii="Times New Roman" w:hAnsi="Times New Roman"/>
          <w:color w:val="000000"/>
          <w:szCs w:val="24"/>
        </w:rPr>
        <w:sym w:font="Symbol" w:char="002D"/>
      </w:r>
      <w:r w:rsidRPr="002333F2">
        <w:rPr>
          <w:rFonts w:ascii="Times New Roman" w:hAnsi="Times New Roman"/>
          <w:color w:val="000000"/>
          <w:szCs w:val="24"/>
        </w:rPr>
        <w:t xml:space="preserve"> 2.8812</w:t>
      </w:r>
      <w:r w:rsidRPr="002333F2">
        <w:rPr>
          <w:rFonts w:ascii="Times New Roman" w:hAnsi="Times New Roman"/>
          <w:color w:val="000000"/>
          <w:szCs w:val="24"/>
          <w:vertAlign w:val="subscript"/>
        </w:rPr>
        <w:t xml:space="preserve"> </w:t>
      </w:r>
      <w:r w:rsidRPr="002333F2">
        <w:rPr>
          <w:rFonts w:ascii="Times New Roman" w:hAnsi="Times New Roman"/>
          <w:color w:val="000000"/>
          <w:szCs w:val="24"/>
        </w:rPr>
        <w:t>ln</w:t>
      </w:r>
      <w:r w:rsidRPr="002333F2">
        <w:rPr>
          <w:rFonts w:ascii="Times New Roman" w:hAnsi="Times New Roman"/>
          <w:color w:val="000000"/>
          <w:szCs w:val="24"/>
          <w:vertAlign w:val="subscript"/>
        </w:rPr>
        <w:t xml:space="preserve"> </w:t>
      </w:r>
      <w:r w:rsidRPr="002333F2">
        <w:rPr>
          <w:rFonts w:ascii="Times New Roman" w:hAnsi="Times New Roman"/>
          <w:color w:val="000000"/>
          <w:szCs w:val="24"/>
        </w:rPr>
        <w:t>0.9925) = 0.151</w:t>
      </w:r>
    </w:p>
    <w:p w:rsidR="002D1DDE" w:rsidRDefault="002D1DDE" w:rsidP="002D1DDE">
      <w:pPr>
        <w:pStyle w:val="Normaali1"/>
        <w:tabs>
          <w:tab w:val="center" w:pos="4536"/>
          <w:tab w:val="right" w:pos="9214"/>
        </w:tabs>
        <w:spacing w:line="480" w:lineRule="auto"/>
        <w:rPr>
          <w:rFonts w:ascii="Times New Roman" w:hAnsi="Times New Roman"/>
          <w:color w:val="000000"/>
          <w:szCs w:val="24"/>
        </w:rPr>
      </w:pPr>
      <w:r w:rsidRPr="002333F2">
        <w:rPr>
          <w:rFonts w:ascii="Times New Roman" w:hAnsi="Times New Roman"/>
          <w:color w:val="000000"/>
          <w:szCs w:val="24"/>
        </w:rPr>
        <w:tab/>
      </w:r>
      <w:r w:rsidR="00CA51D8">
        <w:rPr>
          <w:rFonts w:ascii="Times New Roman" w:hAnsi="Times New Roman"/>
          <w:color w:val="000000"/>
          <w:szCs w:val="24"/>
        </w:rPr>
        <w:t xml:space="preserve">By contrast, </w:t>
      </w:r>
      <w:r w:rsidRPr="002333F2">
        <w:rPr>
          <w:rFonts w:ascii="Times New Roman" w:hAnsi="Times New Roman"/>
          <w:color w:val="000000"/>
          <w:szCs w:val="24"/>
        </w:rPr>
        <w:t>Kowalewski (201</w:t>
      </w:r>
      <w:r w:rsidR="005E5686">
        <w:rPr>
          <w:rFonts w:ascii="Times New Roman" w:hAnsi="Times New Roman"/>
          <w:color w:val="000000"/>
          <w:szCs w:val="24"/>
        </w:rPr>
        <w:t>5</w:t>
      </w:r>
      <w:r w:rsidRPr="002333F2">
        <w:rPr>
          <w:rFonts w:ascii="Times New Roman" w:hAnsi="Times New Roman"/>
          <w:color w:val="000000"/>
          <w:szCs w:val="24"/>
        </w:rPr>
        <w:t xml:space="preserve">, table 3) </w:t>
      </w:r>
      <w:r>
        <w:rPr>
          <w:rFonts w:ascii="Times New Roman" w:hAnsi="Times New Roman"/>
          <w:color w:val="000000"/>
          <w:szCs w:val="24"/>
        </w:rPr>
        <w:t xml:space="preserve">found </w:t>
      </w:r>
      <w:r w:rsidR="00C66EC2">
        <w:rPr>
          <w:rFonts w:ascii="Times New Roman" w:hAnsi="Times New Roman"/>
          <w:color w:val="000000"/>
          <w:szCs w:val="24"/>
        </w:rPr>
        <w:t>an</w:t>
      </w:r>
      <w:r w:rsidRPr="002333F2">
        <w:rPr>
          <w:rFonts w:ascii="Times New Roman" w:hAnsi="Times New Roman"/>
          <w:color w:val="000000"/>
          <w:szCs w:val="24"/>
        </w:rPr>
        <w:t xml:space="preserve"> optimal value of </w:t>
      </w:r>
      <w:r w:rsidRPr="002333F2">
        <w:rPr>
          <w:rFonts w:ascii="Times New Roman" w:hAnsi="Times New Roman"/>
          <w:i/>
          <w:color w:val="000000"/>
          <w:szCs w:val="24"/>
        </w:rPr>
        <w:t>δ</w:t>
      </w:r>
      <w:r w:rsidR="00C66EC2">
        <w:rPr>
          <w:rFonts w:ascii="Times New Roman" w:hAnsi="Times New Roman"/>
          <w:color w:val="000000"/>
          <w:szCs w:val="24"/>
        </w:rPr>
        <w:t xml:space="preserve"> =</w:t>
      </w:r>
      <w:r>
        <w:rPr>
          <w:rFonts w:ascii="Times New Roman" w:hAnsi="Times New Roman"/>
          <w:color w:val="000000"/>
          <w:szCs w:val="24"/>
        </w:rPr>
        <w:t xml:space="preserve"> 0.17 </w:t>
      </w:r>
      <w:r w:rsidR="00C66EC2">
        <w:rPr>
          <w:rFonts w:ascii="Times New Roman" w:hAnsi="Times New Roman"/>
          <w:color w:val="000000"/>
          <w:szCs w:val="24"/>
        </w:rPr>
        <w:t>when us</w:t>
      </w:r>
      <w:r w:rsidR="00366664">
        <w:rPr>
          <w:rFonts w:ascii="Times New Roman" w:hAnsi="Times New Roman"/>
          <w:color w:val="000000"/>
          <w:szCs w:val="24"/>
        </w:rPr>
        <w:t>ing</w:t>
      </w:r>
      <w:r w:rsidR="00C66EC2">
        <w:rPr>
          <w:rFonts w:ascii="Times New Roman" w:hAnsi="Times New Roman"/>
          <w:color w:val="000000"/>
          <w:szCs w:val="24"/>
        </w:rPr>
        <w:t xml:space="preserve"> the MPE</w:t>
      </w:r>
      <w:r>
        <w:rPr>
          <w:rFonts w:ascii="Times New Roman" w:hAnsi="Times New Roman"/>
          <w:color w:val="000000"/>
          <w:szCs w:val="24"/>
        </w:rPr>
        <w:t xml:space="preserve"> to evaluate the estimated multipliers.</w:t>
      </w:r>
    </w:p>
    <w:p w:rsidR="002D1DDE" w:rsidRPr="002333F2" w:rsidRDefault="002D1DDE" w:rsidP="002D1DDE">
      <w:pPr>
        <w:pStyle w:val="Normaali1"/>
        <w:tabs>
          <w:tab w:val="left" w:pos="426"/>
        </w:tabs>
        <w:spacing w:line="480" w:lineRule="auto"/>
        <w:rPr>
          <w:rFonts w:ascii="Times New Roman" w:hAnsi="Times New Roman"/>
          <w:szCs w:val="24"/>
          <w:lang w:val="en-US"/>
        </w:rPr>
      </w:pPr>
      <w:r>
        <w:rPr>
          <w:rFonts w:ascii="Times New Roman" w:hAnsi="Times New Roman"/>
          <w:color w:val="000000"/>
          <w:szCs w:val="24"/>
        </w:rPr>
        <w:tab/>
        <w:t xml:space="preserve">To provide a further test of Flegg and Tohmo’s regression model, it was applied to data for </w:t>
      </w:r>
      <w:r>
        <w:rPr>
          <w:lang w:val="en-US"/>
        </w:rPr>
        <w:t>C</w:t>
      </w:r>
      <w:r w:rsidRPr="0010320B">
        <w:rPr>
          <w:lang w:val="en-US"/>
        </w:rPr>
        <w:t>ó</w:t>
      </w:r>
      <w:r>
        <w:rPr>
          <w:lang w:val="en-US"/>
        </w:rPr>
        <w:t xml:space="preserve">rdoba and Argentina.  The following </w:t>
      </w:r>
      <w:r w:rsidRPr="002333F2">
        <w:rPr>
          <w:rFonts w:ascii="Times New Roman" w:hAnsi="Times New Roman"/>
          <w:color w:val="000000"/>
          <w:szCs w:val="24"/>
        </w:rPr>
        <w:t xml:space="preserve">estimate of </w:t>
      </w:r>
      <w:r w:rsidRPr="002333F2">
        <w:rPr>
          <w:rFonts w:ascii="Times New Roman" w:hAnsi="Times New Roman"/>
          <w:i/>
          <w:color w:val="000000"/>
          <w:szCs w:val="24"/>
        </w:rPr>
        <w:t>δ</w:t>
      </w:r>
      <w:r w:rsidRPr="002333F2">
        <w:rPr>
          <w:rFonts w:ascii="Times New Roman" w:hAnsi="Times New Roman"/>
          <w:color w:val="000000"/>
          <w:szCs w:val="24"/>
        </w:rPr>
        <w:t xml:space="preserve"> was derived </w:t>
      </w:r>
      <w:r>
        <w:rPr>
          <w:rFonts w:ascii="Times New Roman" w:hAnsi="Times New Roman"/>
          <w:color w:val="000000"/>
          <w:szCs w:val="24"/>
        </w:rPr>
        <w:t>using equation (2</w:t>
      </w:r>
      <w:r w:rsidR="004C2C6E">
        <w:rPr>
          <w:rFonts w:ascii="Times New Roman" w:hAnsi="Times New Roman"/>
          <w:color w:val="000000"/>
          <w:szCs w:val="24"/>
        </w:rPr>
        <w:t>8</w:t>
      </w:r>
      <w:r>
        <w:rPr>
          <w:rFonts w:ascii="Times New Roman" w:hAnsi="Times New Roman"/>
          <w:color w:val="000000"/>
          <w:szCs w:val="24"/>
        </w:rPr>
        <w:t>)</w:t>
      </w:r>
      <w:r w:rsidRPr="002333F2">
        <w:rPr>
          <w:rFonts w:ascii="Times New Roman" w:hAnsi="Times New Roman"/>
          <w:szCs w:val="24"/>
          <w:lang w:val="en-US"/>
        </w:rPr>
        <w:t>:</w:t>
      </w:r>
    </w:p>
    <w:p w:rsidR="00F41B56" w:rsidRPr="004D083D" w:rsidRDefault="002D1DDE" w:rsidP="004D083D">
      <w:pPr>
        <w:pStyle w:val="Normaali1"/>
        <w:tabs>
          <w:tab w:val="left" w:pos="426"/>
          <w:tab w:val="center" w:pos="4536"/>
          <w:tab w:val="right" w:pos="9214"/>
        </w:tabs>
        <w:spacing w:line="480" w:lineRule="auto"/>
        <w:ind w:left="426" w:hanging="426"/>
        <w:jc w:val="center"/>
        <w:rPr>
          <w:rFonts w:ascii="Times New Roman" w:hAnsi="Times New Roman"/>
          <w:color w:val="000000"/>
          <w:szCs w:val="24"/>
        </w:rPr>
      </w:pPr>
      <w:r>
        <w:rPr>
          <w:rFonts w:ascii="Times New Roman" w:hAnsi="Times New Roman"/>
          <w:szCs w:val="24"/>
          <w:lang w:val="en-US"/>
        </w:rPr>
        <w:tab/>
      </w:r>
      <w:r w:rsidRPr="002333F2">
        <w:rPr>
          <w:rFonts w:ascii="Times New Roman" w:hAnsi="Times New Roman"/>
          <w:position w:val="-6"/>
          <w:szCs w:val="24"/>
        </w:rPr>
        <w:object w:dxaOrig="220" w:dyaOrig="340">
          <v:shape id="_x0000_i1059" type="#_x0000_t75" style="width:12.15pt;height:17.25pt" o:ole="">
            <v:imagedata r:id="rId67" o:title=""/>
          </v:shape>
          <o:OLEObject Type="Embed" ProgID="Equation.3" ShapeID="_x0000_i1059" DrawAspect="Content" ObjectID="_1494569112" r:id="rId76"/>
        </w:object>
      </w:r>
      <w:r w:rsidRPr="002333F2">
        <w:rPr>
          <w:rFonts w:ascii="Times New Roman" w:hAnsi="Times New Roman"/>
          <w:color w:val="000000"/>
          <w:szCs w:val="24"/>
        </w:rPr>
        <w:t>= exp(</w:t>
      </w:r>
      <w:r w:rsidRPr="002333F2">
        <w:rPr>
          <w:rFonts w:ascii="Times New Roman" w:hAnsi="Times New Roman"/>
          <w:color w:val="000000"/>
          <w:szCs w:val="24"/>
        </w:rPr>
        <w:sym w:font="Symbol" w:char="002D"/>
      </w:r>
      <w:r w:rsidRPr="002333F2">
        <w:rPr>
          <w:rFonts w:ascii="Times New Roman" w:hAnsi="Times New Roman"/>
          <w:color w:val="000000"/>
          <w:szCs w:val="24"/>
        </w:rPr>
        <w:t>1.8296 + 0.33195</w:t>
      </w:r>
      <w:r w:rsidRPr="002333F2">
        <w:rPr>
          <w:rFonts w:ascii="Times New Roman" w:hAnsi="Times New Roman"/>
          <w:color w:val="000000"/>
          <w:szCs w:val="24"/>
          <w:vertAlign w:val="subscript"/>
        </w:rPr>
        <w:t xml:space="preserve"> </w:t>
      </w:r>
      <w:r w:rsidRPr="002333F2">
        <w:rPr>
          <w:rFonts w:ascii="Times New Roman" w:hAnsi="Times New Roman"/>
          <w:color w:val="000000"/>
          <w:szCs w:val="24"/>
        </w:rPr>
        <w:t>ln</w:t>
      </w:r>
      <w:r w:rsidRPr="002333F2">
        <w:rPr>
          <w:rFonts w:ascii="Times New Roman" w:hAnsi="Times New Roman"/>
          <w:color w:val="000000"/>
          <w:szCs w:val="24"/>
          <w:vertAlign w:val="subscript"/>
        </w:rPr>
        <w:t xml:space="preserve"> </w:t>
      </w:r>
      <w:r w:rsidRPr="002333F2">
        <w:rPr>
          <w:rFonts w:ascii="Times New Roman" w:hAnsi="Times New Roman"/>
          <w:color w:val="000000"/>
          <w:szCs w:val="24"/>
        </w:rPr>
        <w:t>8.27 + 1.5834</w:t>
      </w:r>
      <w:r w:rsidRPr="002333F2">
        <w:rPr>
          <w:rFonts w:ascii="Times New Roman" w:hAnsi="Times New Roman"/>
          <w:color w:val="000000"/>
          <w:szCs w:val="24"/>
          <w:vertAlign w:val="subscript"/>
        </w:rPr>
        <w:t xml:space="preserve"> </w:t>
      </w:r>
      <w:r w:rsidRPr="002333F2">
        <w:rPr>
          <w:rFonts w:ascii="Times New Roman" w:hAnsi="Times New Roman"/>
          <w:color w:val="000000"/>
          <w:szCs w:val="24"/>
        </w:rPr>
        <w:t>ln</w:t>
      </w:r>
      <w:r w:rsidRPr="002333F2">
        <w:rPr>
          <w:rFonts w:ascii="Times New Roman" w:hAnsi="Times New Roman"/>
          <w:color w:val="000000"/>
          <w:szCs w:val="24"/>
          <w:vertAlign w:val="subscript"/>
        </w:rPr>
        <w:t xml:space="preserve"> </w:t>
      </w:r>
      <w:r w:rsidRPr="002333F2">
        <w:rPr>
          <w:rFonts w:ascii="Times New Roman" w:hAnsi="Times New Roman"/>
          <w:color w:val="000000"/>
          <w:szCs w:val="24"/>
        </w:rPr>
        <w:t xml:space="preserve">0.115 </w:t>
      </w:r>
      <w:r w:rsidRPr="002333F2">
        <w:rPr>
          <w:rFonts w:ascii="Times New Roman" w:hAnsi="Times New Roman"/>
          <w:color w:val="000000"/>
          <w:szCs w:val="24"/>
        </w:rPr>
        <w:sym w:font="Symbol" w:char="002D"/>
      </w:r>
      <w:r w:rsidRPr="002333F2">
        <w:rPr>
          <w:rFonts w:ascii="Times New Roman" w:hAnsi="Times New Roman"/>
          <w:color w:val="000000"/>
          <w:szCs w:val="24"/>
        </w:rPr>
        <w:t xml:space="preserve"> 2.8812</w:t>
      </w:r>
      <w:r w:rsidRPr="002333F2">
        <w:rPr>
          <w:rFonts w:ascii="Times New Roman" w:hAnsi="Times New Roman"/>
          <w:color w:val="000000"/>
          <w:szCs w:val="24"/>
          <w:vertAlign w:val="subscript"/>
        </w:rPr>
        <w:t xml:space="preserve"> </w:t>
      </w:r>
      <w:r w:rsidRPr="002333F2">
        <w:rPr>
          <w:rFonts w:ascii="Times New Roman" w:hAnsi="Times New Roman"/>
          <w:color w:val="000000"/>
          <w:szCs w:val="24"/>
        </w:rPr>
        <w:t>ln</w:t>
      </w:r>
      <w:r w:rsidRPr="002333F2">
        <w:rPr>
          <w:rFonts w:ascii="Times New Roman" w:hAnsi="Times New Roman"/>
          <w:color w:val="000000"/>
          <w:szCs w:val="24"/>
          <w:vertAlign w:val="subscript"/>
        </w:rPr>
        <w:t xml:space="preserve"> </w:t>
      </w:r>
      <w:r w:rsidRPr="002333F2">
        <w:rPr>
          <w:rFonts w:ascii="Times New Roman" w:hAnsi="Times New Roman"/>
          <w:color w:val="000000"/>
          <w:szCs w:val="24"/>
        </w:rPr>
        <w:t>0.42</w:t>
      </w:r>
      <w:r>
        <w:rPr>
          <w:rFonts w:ascii="Times New Roman" w:hAnsi="Times New Roman"/>
          <w:color w:val="000000"/>
          <w:szCs w:val="24"/>
        </w:rPr>
        <w:t>2</w:t>
      </w:r>
      <w:r w:rsidRPr="002333F2">
        <w:rPr>
          <w:rFonts w:ascii="Times New Roman" w:hAnsi="Times New Roman"/>
          <w:color w:val="000000"/>
          <w:szCs w:val="24"/>
        </w:rPr>
        <w:t>) = 0.12</w:t>
      </w:r>
      <w:r>
        <w:rPr>
          <w:rFonts w:ascii="Times New Roman" w:hAnsi="Times New Roman"/>
          <w:color w:val="000000"/>
          <w:szCs w:val="24"/>
        </w:rPr>
        <w:t>7</w:t>
      </w:r>
    </w:p>
    <w:p w:rsidR="002D1DDE" w:rsidRDefault="002D1DDE" w:rsidP="002D1DDE">
      <w:pPr>
        <w:widowControl w:val="0"/>
        <w:tabs>
          <w:tab w:val="left" w:pos="426"/>
        </w:tabs>
        <w:spacing w:after="0" w:line="480" w:lineRule="auto"/>
        <w:ind w:firstLine="0"/>
        <w:rPr>
          <w:color w:val="000000"/>
        </w:rPr>
      </w:pPr>
      <w:r>
        <w:rPr>
          <w:color w:val="000000"/>
        </w:rPr>
        <w:t xml:space="preserve">Table </w:t>
      </w:r>
      <w:r w:rsidR="00F41B56">
        <w:rPr>
          <w:color w:val="000000"/>
        </w:rPr>
        <w:t>3</w:t>
      </w:r>
      <w:r>
        <w:rPr>
          <w:color w:val="000000"/>
        </w:rPr>
        <w:t xml:space="preserve"> shows that this figure </w:t>
      </w:r>
      <w:r w:rsidR="00366664">
        <w:rPr>
          <w:color w:val="000000"/>
        </w:rPr>
        <w:t>exceeds</w:t>
      </w:r>
      <w:r w:rsidR="00F41B56">
        <w:rPr>
          <w:color w:val="000000"/>
        </w:rPr>
        <w:t xml:space="preserve"> </w:t>
      </w:r>
      <w:r>
        <w:rPr>
          <w:color w:val="000000"/>
        </w:rPr>
        <w:t xml:space="preserve">the optimal value </w:t>
      </w:r>
      <w:r w:rsidRPr="002333F2">
        <w:rPr>
          <w:color w:val="000000"/>
        </w:rPr>
        <w:t xml:space="preserve">of </w:t>
      </w:r>
      <w:r w:rsidRPr="002333F2">
        <w:rPr>
          <w:i/>
          <w:color w:val="000000"/>
        </w:rPr>
        <w:t>δ</w:t>
      </w:r>
      <w:r w:rsidR="002D3164">
        <w:rPr>
          <w:color w:val="000000"/>
        </w:rPr>
        <w:t xml:space="preserve"> = </w:t>
      </w:r>
      <w:r>
        <w:rPr>
          <w:color w:val="000000"/>
        </w:rPr>
        <w:t>0.0</w:t>
      </w:r>
      <w:r w:rsidR="002D3164">
        <w:rPr>
          <w:color w:val="000000"/>
        </w:rPr>
        <w:t xml:space="preserve">81 </w:t>
      </w:r>
      <w:r w:rsidR="00866FE7">
        <w:rPr>
          <w:color w:val="000000"/>
        </w:rPr>
        <w:t xml:space="preserve">for </w:t>
      </w:r>
      <w:r>
        <w:rPr>
          <w:color w:val="000000"/>
        </w:rPr>
        <w:t>the MPE</w:t>
      </w:r>
      <w:r w:rsidR="002D3164">
        <w:rPr>
          <w:color w:val="000000"/>
        </w:rPr>
        <w:t xml:space="preserve">, </w:t>
      </w:r>
      <w:r w:rsidR="00866FE7">
        <w:rPr>
          <w:color w:val="000000"/>
        </w:rPr>
        <w:t xml:space="preserve">so </w:t>
      </w:r>
      <w:r w:rsidR="00652BD4">
        <w:rPr>
          <w:color w:val="000000"/>
        </w:rPr>
        <w:t>c</w:t>
      </w:r>
      <w:r w:rsidR="00866FE7">
        <w:rPr>
          <w:color w:val="000000"/>
        </w:rPr>
        <w:t xml:space="preserve">aution must be exercised </w:t>
      </w:r>
      <w:r w:rsidR="002D3164">
        <w:rPr>
          <w:color w:val="000000"/>
        </w:rPr>
        <w:t>wh</w:t>
      </w:r>
      <w:r w:rsidR="00866FE7">
        <w:rPr>
          <w:color w:val="000000"/>
        </w:rPr>
        <w:t>en</w:t>
      </w:r>
      <w:r w:rsidR="00BD2A37">
        <w:rPr>
          <w:color w:val="000000"/>
        </w:rPr>
        <w:t xml:space="preserve"> using this approach to deriv</w:t>
      </w:r>
      <w:r w:rsidR="00652BD4">
        <w:rPr>
          <w:color w:val="000000"/>
        </w:rPr>
        <w:t>e</w:t>
      </w:r>
      <w:r w:rsidR="00BD2A37">
        <w:rPr>
          <w:color w:val="000000"/>
        </w:rPr>
        <w:t xml:space="preserve"> an initial value</w:t>
      </w:r>
      <w:r w:rsidR="00BD2A37" w:rsidRPr="00BD2A37">
        <w:rPr>
          <w:color w:val="000000"/>
        </w:rPr>
        <w:t xml:space="preserve"> </w:t>
      </w:r>
      <w:r w:rsidR="00BD2A37" w:rsidRPr="002333F2">
        <w:rPr>
          <w:color w:val="000000"/>
        </w:rPr>
        <w:t xml:space="preserve">of </w:t>
      </w:r>
      <w:r w:rsidR="00BD2A37" w:rsidRPr="002333F2">
        <w:rPr>
          <w:i/>
          <w:color w:val="000000"/>
        </w:rPr>
        <w:t>δ</w:t>
      </w:r>
      <w:r>
        <w:rPr>
          <w:color w:val="000000"/>
        </w:rPr>
        <w:t>.</w:t>
      </w:r>
    </w:p>
    <w:p w:rsidR="00416199" w:rsidRDefault="00416199" w:rsidP="00416199">
      <w:pPr>
        <w:widowControl w:val="0"/>
        <w:tabs>
          <w:tab w:val="left" w:pos="426"/>
        </w:tabs>
        <w:spacing w:after="0" w:line="480" w:lineRule="auto"/>
        <w:ind w:firstLine="0"/>
        <w:rPr>
          <w:color w:val="000000"/>
        </w:rPr>
      </w:pPr>
      <w:r>
        <w:rPr>
          <w:color w:val="000000"/>
        </w:rPr>
        <w:tab/>
      </w:r>
      <w:r w:rsidR="00652BD4">
        <w:rPr>
          <w:color w:val="000000"/>
        </w:rPr>
        <w:t>T</w:t>
      </w:r>
      <w:r>
        <w:rPr>
          <w:color w:val="000000"/>
        </w:rPr>
        <w:t xml:space="preserve">wo </w:t>
      </w:r>
      <w:r w:rsidR="00652BD4">
        <w:rPr>
          <w:color w:val="000000"/>
        </w:rPr>
        <w:t xml:space="preserve">important </w:t>
      </w:r>
      <w:r>
        <w:rPr>
          <w:color w:val="000000"/>
        </w:rPr>
        <w:t xml:space="preserve">issues </w:t>
      </w:r>
      <w:r w:rsidR="009918B8">
        <w:rPr>
          <w:color w:val="000000"/>
        </w:rPr>
        <w:t xml:space="preserve">still </w:t>
      </w:r>
      <w:r>
        <w:rPr>
          <w:color w:val="000000"/>
        </w:rPr>
        <w:t>need to be explored re</w:t>
      </w:r>
      <w:r w:rsidR="009918B8">
        <w:rPr>
          <w:color w:val="000000"/>
        </w:rPr>
        <w:t>garding</w:t>
      </w:r>
      <w:r>
        <w:rPr>
          <w:color w:val="000000"/>
        </w:rPr>
        <w:t xml:space="preserve"> Flegg and Tohmo’s approach.  The first issue concerns the theoretical foundations of their regression model, while the second pertains to its practical application.  As </w:t>
      </w:r>
      <w:r w:rsidR="009918B8">
        <w:rPr>
          <w:color w:val="000000"/>
        </w:rPr>
        <w:t>to</w:t>
      </w:r>
      <w:r>
        <w:rPr>
          <w:color w:val="000000"/>
        </w:rPr>
        <w:t xml:space="preserve"> the first issue, the purpose of the model was to offer a way of refining the choice of a value for </w:t>
      </w:r>
      <w:r w:rsidRPr="002333F2">
        <w:rPr>
          <w:i/>
          <w:color w:val="000000"/>
        </w:rPr>
        <w:t>δ</w:t>
      </w:r>
      <w:r>
        <w:rPr>
          <w:color w:val="000000"/>
        </w:rPr>
        <w:t xml:space="preserve">.  The variable </w:t>
      </w:r>
      <w:r>
        <w:rPr>
          <w:i/>
          <w:color w:val="000000"/>
        </w:rPr>
        <w:t>P</w:t>
      </w:r>
      <w:r>
        <w:rPr>
          <w:color w:val="000000"/>
        </w:rPr>
        <w:t xml:space="preserve"> was included to allow for cases where regions had either above-average or below-average propensities to import from other regions, whereas </w:t>
      </w:r>
      <w:r>
        <w:rPr>
          <w:i/>
          <w:color w:val="000000"/>
        </w:rPr>
        <w:t>I</w:t>
      </w:r>
      <w:r>
        <w:rPr>
          <w:color w:val="000000"/>
        </w:rPr>
        <w:t xml:space="preserve"> was included to encompass situations where a region’s use of intermediate inputs was either above or below average.  ln</w:t>
      </w:r>
      <w:r>
        <w:rPr>
          <w:color w:val="000000"/>
          <w:vertAlign w:val="subscript"/>
        </w:rPr>
        <w:t xml:space="preserve"> </w:t>
      </w:r>
      <w:r w:rsidRPr="002C3A29">
        <w:rPr>
          <w:i/>
          <w:color w:val="000000"/>
        </w:rPr>
        <w:t>P</w:t>
      </w:r>
      <w:r>
        <w:rPr>
          <w:color w:val="000000"/>
        </w:rPr>
        <w:t xml:space="preserve"> and ln</w:t>
      </w:r>
      <w:r>
        <w:rPr>
          <w:color w:val="000000"/>
          <w:vertAlign w:val="subscript"/>
        </w:rPr>
        <w:t xml:space="preserve"> </w:t>
      </w:r>
      <w:r w:rsidRPr="002C3A29">
        <w:rPr>
          <w:i/>
          <w:color w:val="000000"/>
        </w:rPr>
        <w:t>I</w:t>
      </w:r>
      <w:r>
        <w:rPr>
          <w:color w:val="000000"/>
        </w:rPr>
        <w:t xml:space="preserve"> should have positive and negative estimated coefficients, respectively, as they do in equation (2</w:t>
      </w:r>
      <w:r w:rsidR="004C2C6E">
        <w:rPr>
          <w:color w:val="000000"/>
        </w:rPr>
        <w:t>6</w:t>
      </w:r>
      <w:r>
        <w:rPr>
          <w:color w:val="000000"/>
        </w:rPr>
        <w:t>).</w:t>
      </w:r>
    </w:p>
    <w:p w:rsidR="00416199" w:rsidRPr="00017C3C" w:rsidRDefault="00416199" w:rsidP="00416199">
      <w:pPr>
        <w:widowControl w:val="0"/>
        <w:tabs>
          <w:tab w:val="left" w:pos="426"/>
        </w:tabs>
        <w:spacing w:after="0" w:line="480" w:lineRule="auto"/>
        <w:ind w:firstLine="0"/>
        <w:rPr>
          <w:b/>
          <w:color w:val="000000"/>
          <w:vertAlign w:val="superscript"/>
        </w:rPr>
      </w:pPr>
      <w:r>
        <w:rPr>
          <w:color w:val="000000"/>
        </w:rPr>
        <w:tab/>
        <w:t xml:space="preserve">The role of </w:t>
      </w:r>
      <w:r>
        <w:rPr>
          <w:i/>
          <w:color w:val="000000"/>
        </w:rPr>
        <w:t>R</w:t>
      </w:r>
      <w:r>
        <w:rPr>
          <w:color w:val="000000"/>
        </w:rPr>
        <w:t xml:space="preserve"> is less straightforward, owing to the fact that regional size is an integral part of the FLQ formula, whereby there is a monotonically increasing non-linear relationship </w:t>
      </w:r>
      <w:r>
        <w:rPr>
          <w:color w:val="000000"/>
        </w:rPr>
        <w:lastRenderedPageBreak/>
        <w:t xml:space="preserve">between the scalar </w:t>
      </w:r>
      <w:r w:rsidRPr="00817C35">
        <w:rPr>
          <w:i/>
          <w:color w:val="000000"/>
        </w:rPr>
        <w:t>λ</w:t>
      </w:r>
      <w:r w:rsidRPr="00817C35">
        <w:rPr>
          <w:i/>
          <w:color w:val="000000"/>
          <w:lang w:val="sv-SE"/>
        </w:rPr>
        <w:t>*</w:t>
      </w:r>
      <w:r>
        <w:rPr>
          <w:color w:val="000000"/>
        </w:rPr>
        <w:t xml:space="preserve"> and regional size, as shown in equation (7).  </w:t>
      </w:r>
      <w:r>
        <w:rPr>
          <w:i/>
          <w:color w:val="000000"/>
        </w:rPr>
        <w:t>R</w:t>
      </w:r>
      <w:r>
        <w:rPr>
          <w:color w:val="000000"/>
        </w:rPr>
        <w:t xml:space="preserve"> was included in the regression to refine this in-built relationship and to reflect the authors’ observation that the optimal value of </w:t>
      </w:r>
      <w:r w:rsidRPr="002333F2">
        <w:rPr>
          <w:i/>
          <w:color w:val="000000"/>
        </w:rPr>
        <w:t>δ</w:t>
      </w:r>
      <w:r>
        <w:rPr>
          <w:color w:val="000000"/>
        </w:rPr>
        <w:t xml:space="preserve"> tended to rise along with regional size in a sample of twenty Finnish regions (Flegg and Tohmo, 2013a, table 3).</w:t>
      </w:r>
      <w:r w:rsidRPr="003F483F">
        <w:rPr>
          <w:color w:val="000000"/>
        </w:rPr>
        <w:t xml:space="preserve"> </w:t>
      </w:r>
      <w:r>
        <w:rPr>
          <w:color w:val="000000"/>
        </w:rPr>
        <w:t xml:space="preserve"> Although more research clearly needs to be undertaken to establish whether this same pattern would occur elsewhere, the evidence discussed above for </w:t>
      </w:r>
      <w:r w:rsidRPr="002333F2">
        <w:t>Baden-Wuerttemberg</w:t>
      </w:r>
      <w:r>
        <w:rPr>
          <w:color w:val="000000"/>
        </w:rPr>
        <w:t xml:space="preserve"> and </w:t>
      </w:r>
      <w:r>
        <w:rPr>
          <w:lang w:val="en-US"/>
        </w:rPr>
        <w:t>C</w:t>
      </w:r>
      <w:r w:rsidRPr="0010320B">
        <w:rPr>
          <w:lang w:val="en-US"/>
        </w:rPr>
        <w:t>ó</w:t>
      </w:r>
      <w:r>
        <w:rPr>
          <w:lang w:val="en-US"/>
        </w:rPr>
        <w:t>rdoba</w:t>
      </w:r>
      <w:r>
        <w:rPr>
          <w:color w:val="000000"/>
        </w:rPr>
        <w:t xml:space="preserve"> is consistent with the existence of a positive elasticity of </w:t>
      </w:r>
      <w:r w:rsidRPr="00B335EC">
        <w:rPr>
          <w:i/>
          <w:color w:val="000000"/>
        </w:rPr>
        <w:t>δ</w:t>
      </w:r>
      <w:r>
        <w:rPr>
          <w:color w:val="000000"/>
        </w:rPr>
        <w:t xml:space="preserve"> with respect to </w:t>
      </w:r>
      <w:r>
        <w:rPr>
          <w:i/>
          <w:color w:val="000000"/>
        </w:rPr>
        <w:t>R</w:t>
      </w:r>
      <w:r>
        <w:rPr>
          <w:color w:val="000000"/>
        </w:rPr>
        <w:t>.</w:t>
      </w:r>
      <w:r w:rsidR="00372C8C">
        <w:rPr>
          <w:b/>
          <w:color w:val="000000"/>
          <w:vertAlign w:val="superscript"/>
        </w:rPr>
        <w:t>20</w:t>
      </w:r>
    </w:p>
    <w:p w:rsidR="00416199" w:rsidRDefault="00416199" w:rsidP="00416199">
      <w:pPr>
        <w:widowControl w:val="0"/>
        <w:tabs>
          <w:tab w:val="left" w:pos="426"/>
        </w:tabs>
        <w:spacing w:after="0" w:line="480" w:lineRule="auto"/>
        <w:ind w:firstLine="0"/>
        <w:rPr>
          <w:color w:val="000000"/>
        </w:rPr>
      </w:pPr>
      <w:r>
        <w:rPr>
          <w:color w:val="000000"/>
        </w:rPr>
        <w:tab/>
        <w:t>As regards the application of Flegg and Tohmo’s approach, the way equation (2</w:t>
      </w:r>
      <w:r w:rsidR="004C2C6E">
        <w:rPr>
          <w:color w:val="000000"/>
        </w:rPr>
        <w:t>6</w:t>
      </w:r>
      <w:r>
        <w:rPr>
          <w:color w:val="000000"/>
        </w:rPr>
        <w:t xml:space="preserve">) is formulated should make it easier for analysts to derive an estimate of </w:t>
      </w:r>
      <w:r w:rsidRPr="002333F2">
        <w:rPr>
          <w:i/>
          <w:color w:val="000000"/>
        </w:rPr>
        <w:t>δ</w:t>
      </w:r>
      <w:r>
        <w:rPr>
          <w:color w:val="000000"/>
        </w:rPr>
        <w:t>.  In particular, instead of having to come up with a figure for a</w:t>
      </w:r>
      <w:r>
        <w:t xml:space="preserve"> region’s propensity to import from other regions, the analyst</w:t>
      </w:r>
      <w:r>
        <w:rPr>
          <w:color w:val="000000"/>
        </w:rPr>
        <w:t xml:space="preserve"> would only need to make an informed assumption about how far this propensity diverged from the average for all regions</w:t>
      </w:r>
      <w:r w:rsidR="00B874E4">
        <w:rPr>
          <w:color w:val="000000"/>
        </w:rPr>
        <w:t xml:space="preserve"> in that country</w:t>
      </w:r>
      <w:r>
        <w:rPr>
          <w:color w:val="000000"/>
        </w:rPr>
        <w:t>, which should be an easier task.  In the same way, an adjustment could be made to allow for any assumed divergence between the regional and national ratios of intermediate use.  Furthermore, it would be straightforward (and indeed desirable) to use equation (2</w:t>
      </w:r>
      <w:r w:rsidR="00427A8B">
        <w:rPr>
          <w:color w:val="000000"/>
        </w:rPr>
        <w:t>6</w:t>
      </w:r>
      <w:r>
        <w:rPr>
          <w:color w:val="000000"/>
        </w:rPr>
        <w:t xml:space="preserve">) to perform a sensitivity analysis.  </w:t>
      </w:r>
      <w:r w:rsidR="00B874E4">
        <w:rPr>
          <w:color w:val="000000"/>
        </w:rPr>
        <w:t xml:space="preserve">If the analyst wished to use the AFLQ rather than the FLQ, then a slightly higher value of </w:t>
      </w:r>
      <w:r w:rsidR="00B874E4" w:rsidRPr="002333F2">
        <w:rPr>
          <w:i/>
          <w:color w:val="000000"/>
        </w:rPr>
        <w:t>δ</w:t>
      </w:r>
      <w:r w:rsidR="00B874E4">
        <w:rPr>
          <w:i/>
          <w:color w:val="000000"/>
        </w:rPr>
        <w:t xml:space="preserve"> </w:t>
      </w:r>
      <w:r w:rsidR="00B874E4">
        <w:rPr>
          <w:color w:val="000000"/>
        </w:rPr>
        <w:t>would need to be chosen at the outset.</w:t>
      </w:r>
    </w:p>
    <w:p w:rsidR="00416199" w:rsidRDefault="00416199" w:rsidP="00416199">
      <w:pPr>
        <w:widowControl w:val="0"/>
        <w:tabs>
          <w:tab w:val="left" w:pos="426"/>
        </w:tabs>
        <w:spacing w:after="0" w:line="480" w:lineRule="auto"/>
        <w:ind w:firstLine="0"/>
        <w:rPr>
          <w:color w:val="000000"/>
        </w:rPr>
      </w:pPr>
      <w:r>
        <w:rPr>
          <w:color w:val="000000"/>
        </w:rPr>
        <w:tab/>
        <w:t xml:space="preserve">It is evident that both approaches reviewed here have </w:t>
      </w:r>
      <w:r w:rsidR="002C3CE1">
        <w:rPr>
          <w:color w:val="000000"/>
        </w:rPr>
        <w:t>merit</w:t>
      </w:r>
      <w:r>
        <w:rPr>
          <w:color w:val="000000"/>
        </w:rPr>
        <w:t xml:space="preserve">s and </w:t>
      </w:r>
      <w:r w:rsidR="002C3CE1">
        <w:rPr>
          <w:color w:val="000000"/>
        </w:rPr>
        <w:t>demerit</w:t>
      </w:r>
      <w:r>
        <w:rPr>
          <w:color w:val="000000"/>
        </w:rPr>
        <w:t>s, which should be borne</w:t>
      </w:r>
      <w:r w:rsidRPr="0057769A">
        <w:rPr>
          <w:color w:val="000000"/>
        </w:rPr>
        <w:t xml:space="preserve"> </w:t>
      </w:r>
      <w:r>
        <w:rPr>
          <w:color w:val="000000"/>
        </w:rPr>
        <w:t xml:space="preserve">in mind when deciding which one to pursue.  One should also be aware that, with Bonfiglio’s method, the estimated </w:t>
      </w:r>
      <w:r w:rsidRPr="002333F2">
        <w:rPr>
          <w:i/>
          <w:color w:val="000000"/>
        </w:rPr>
        <w:t>δ</w:t>
      </w:r>
      <w:r>
        <w:rPr>
          <w:color w:val="000000"/>
        </w:rPr>
        <w:t xml:space="preserve"> dec</w:t>
      </w:r>
      <w:r w:rsidR="00A413C7">
        <w:rPr>
          <w:color w:val="000000"/>
        </w:rPr>
        <w:t>lin</w:t>
      </w:r>
      <w:r>
        <w:rPr>
          <w:color w:val="000000"/>
        </w:rPr>
        <w:t xml:space="preserve">es with regional size, whereas Flegg and Tohmo’s method exhibits a positive relationship between </w:t>
      </w:r>
      <w:r w:rsidRPr="002333F2">
        <w:rPr>
          <w:i/>
          <w:color w:val="000000"/>
        </w:rPr>
        <w:t>δ</w:t>
      </w:r>
      <w:r>
        <w:rPr>
          <w:color w:val="000000"/>
        </w:rPr>
        <w:t xml:space="preserve"> and regional size.</w:t>
      </w:r>
    </w:p>
    <w:p w:rsidR="00C972C1" w:rsidRDefault="00C972C1" w:rsidP="00C972C1">
      <w:pPr>
        <w:spacing w:after="0"/>
        <w:ind w:firstLine="0"/>
        <w:jc w:val="left"/>
        <w:rPr>
          <w:b/>
          <w:lang w:val="en-US"/>
        </w:rPr>
      </w:pPr>
    </w:p>
    <w:p w:rsidR="00C972C1" w:rsidRDefault="006031DF" w:rsidP="00C972C1">
      <w:pPr>
        <w:spacing w:after="0" w:line="480" w:lineRule="auto"/>
        <w:ind w:firstLine="0"/>
        <w:jc w:val="left"/>
        <w:rPr>
          <w:lang w:val="en-US"/>
        </w:rPr>
      </w:pPr>
      <w:r>
        <w:rPr>
          <w:b/>
          <w:lang w:val="en-US"/>
        </w:rPr>
        <w:t>9</w:t>
      </w:r>
      <w:r w:rsidR="00C972C1">
        <w:rPr>
          <w:b/>
          <w:lang w:val="en-US"/>
        </w:rPr>
        <w:t xml:space="preserve">   </w:t>
      </w:r>
      <w:r w:rsidR="009F0515">
        <w:rPr>
          <w:b/>
          <w:lang w:val="en-US"/>
        </w:rPr>
        <w:t xml:space="preserve">USE OF </w:t>
      </w:r>
      <w:r w:rsidR="004C79A7">
        <w:rPr>
          <w:b/>
          <w:lang w:val="en-US"/>
        </w:rPr>
        <w:t>INTERMEDIAT</w:t>
      </w:r>
      <w:r w:rsidR="009F0515">
        <w:rPr>
          <w:b/>
          <w:lang w:val="en-US"/>
        </w:rPr>
        <w:t>E</w:t>
      </w:r>
      <w:r w:rsidR="004C79A7">
        <w:rPr>
          <w:b/>
          <w:lang w:val="en-US"/>
        </w:rPr>
        <w:t xml:space="preserve"> I</w:t>
      </w:r>
      <w:r w:rsidR="009F0515">
        <w:rPr>
          <w:b/>
          <w:lang w:val="en-US"/>
        </w:rPr>
        <w:t>NPUT</w:t>
      </w:r>
      <w:r w:rsidR="004C79A7">
        <w:rPr>
          <w:b/>
          <w:lang w:val="en-US"/>
        </w:rPr>
        <w:t>S</w:t>
      </w:r>
    </w:p>
    <w:p w:rsidR="00453FD9" w:rsidRPr="0028390D" w:rsidRDefault="00453FD9" w:rsidP="00453FD9">
      <w:pPr>
        <w:widowControl w:val="0"/>
        <w:tabs>
          <w:tab w:val="left" w:pos="360"/>
        </w:tabs>
        <w:spacing w:line="480" w:lineRule="auto"/>
        <w:ind w:firstLine="0"/>
        <w:rPr>
          <w:color w:val="000000"/>
        </w:rPr>
      </w:pPr>
      <w:r>
        <w:rPr>
          <w:color w:val="000000"/>
        </w:rPr>
        <w:t xml:space="preserve">All </w:t>
      </w:r>
      <w:r w:rsidRPr="006B4D16">
        <w:rPr>
          <w:color w:val="000000"/>
        </w:rPr>
        <w:t>LQ-based</w:t>
      </w:r>
      <w:r>
        <w:rPr>
          <w:color w:val="000000"/>
        </w:rPr>
        <w:t xml:space="preserve"> methods assume identical regional and national technology, i.e. that national and regional firms use the same proportions of different inputs to produce a given commodity.  Unfortunately, this assumption cannot be tested directly with </w:t>
      </w:r>
      <w:r w:rsidR="0028390D">
        <w:rPr>
          <w:color w:val="000000"/>
        </w:rPr>
        <w:t>the</w:t>
      </w:r>
      <w:r>
        <w:rPr>
          <w:color w:val="000000"/>
        </w:rPr>
        <w:t xml:space="preserve"> data</w:t>
      </w:r>
      <w:r w:rsidR="0028390D">
        <w:rPr>
          <w:color w:val="000000"/>
        </w:rPr>
        <w:t xml:space="preserve"> available </w:t>
      </w:r>
      <w:r w:rsidR="0028390D">
        <w:rPr>
          <w:color w:val="000000"/>
        </w:rPr>
        <w:lastRenderedPageBreak/>
        <w:t>here</w:t>
      </w:r>
      <w:r>
        <w:rPr>
          <w:color w:val="000000"/>
        </w:rPr>
        <w:t xml:space="preserve"> because each sector’s imports from other regions are not disaggregated by type of input.  Instead, we shall test the assumption that </w:t>
      </w:r>
      <w:r w:rsidR="0028390D">
        <w:rPr>
          <w:lang w:val="en-US"/>
        </w:rPr>
        <w:t>C</w:t>
      </w:r>
      <w:r w:rsidR="0028390D" w:rsidRPr="0010320B">
        <w:rPr>
          <w:lang w:val="en-US"/>
        </w:rPr>
        <w:t>ó</w:t>
      </w:r>
      <w:r w:rsidR="0028390D">
        <w:rPr>
          <w:lang w:val="en-US"/>
        </w:rPr>
        <w:t>rdoba and Argentina</w:t>
      </w:r>
      <w:r>
        <w:rPr>
          <w:color w:val="000000"/>
        </w:rPr>
        <w:t xml:space="preserve"> use the same mix of intermediate and primary inputs.</w:t>
      </w:r>
      <w:r w:rsidRPr="002451E6">
        <w:rPr>
          <w:color w:val="000000"/>
        </w:rPr>
        <w:t xml:space="preserve"> </w:t>
      </w:r>
      <w:r>
        <w:rPr>
          <w:color w:val="000000"/>
        </w:rPr>
        <w:t xml:space="preserve"> P</w:t>
      </w:r>
      <w:r w:rsidRPr="004213E4">
        <w:rPr>
          <w:color w:val="000000"/>
        </w:rPr>
        <w:t xml:space="preserve">rimary inputs include value added </w:t>
      </w:r>
      <w:r>
        <w:rPr>
          <w:color w:val="000000"/>
        </w:rPr>
        <w:t>and imp</w:t>
      </w:r>
      <w:r w:rsidRPr="004213E4">
        <w:rPr>
          <w:color w:val="000000"/>
        </w:rPr>
        <w:t>or</w:t>
      </w:r>
      <w:r>
        <w:rPr>
          <w:color w:val="000000"/>
        </w:rPr>
        <w:t>t</w:t>
      </w:r>
      <w:r w:rsidRPr="004213E4">
        <w:rPr>
          <w:color w:val="000000"/>
        </w:rPr>
        <w:t>s</w:t>
      </w:r>
      <w:r>
        <w:rPr>
          <w:color w:val="000000"/>
        </w:rPr>
        <w:t xml:space="preserve"> from abroad</w:t>
      </w:r>
      <w:r w:rsidRPr="004213E4">
        <w:rPr>
          <w:color w:val="000000"/>
        </w:rPr>
        <w:t>.</w:t>
      </w:r>
      <w:r w:rsidR="0028390D">
        <w:rPr>
          <w:color w:val="000000"/>
        </w:rPr>
        <w:t xml:space="preserve">  </w:t>
      </w:r>
      <w:r w:rsidR="00270245">
        <w:rPr>
          <w:color w:val="000000"/>
        </w:rPr>
        <w:t>Value added refers to the income of capital and labour.</w:t>
      </w:r>
    </w:p>
    <w:p w:rsidR="00453FD9" w:rsidRDefault="00453FD9" w:rsidP="00E63CCF">
      <w:pPr>
        <w:widowControl w:val="0"/>
        <w:tabs>
          <w:tab w:val="left" w:pos="426"/>
        </w:tabs>
        <w:spacing w:line="480" w:lineRule="auto"/>
        <w:ind w:firstLine="426"/>
        <w:rPr>
          <w:color w:val="000000"/>
        </w:rPr>
      </w:pPr>
      <w:r>
        <w:rPr>
          <w:color w:val="000000"/>
        </w:rPr>
        <w:t>T</w:t>
      </w:r>
      <w:r w:rsidR="00E63CCF">
        <w:rPr>
          <w:color w:val="000000"/>
        </w:rPr>
        <w:t xml:space="preserve">he following regression model was formulated to test the hypothesis that </w:t>
      </w:r>
      <w:r w:rsidR="00E63CCF">
        <w:rPr>
          <w:lang w:val="en-US"/>
        </w:rPr>
        <w:t>C</w:t>
      </w:r>
      <w:r w:rsidR="00E63CCF" w:rsidRPr="0010320B">
        <w:rPr>
          <w:lang w:val="en-US"/>
        </w:rPr>
        <w:t>ó</w:t>
      </w:r>
      <w:r w:rsidR="00E63CCF">
        <w:rPr>
          <w:lang w:val="en-US"/>
        </w:rPr>
        <w:t>rdoba and Argentina</w:t>
      </w:r>
      <w:r w:rsidR="00E63CCF">
        <w:rPr>
          <w:color w:val="000000"/>
        </w:rPr>
        <w:t xml:space="preserve"> use</w:t>
      </w:r>
      <w:r w:rsidR="005B5536">
        <w:rPr>
          <w:color w:val="000000"/>
        </w:rPr>
        <w:t>d</w:t>
      </w:r>
      <w:r w:rsidR="00E63CCF">
        <w:rPr>
          <w:color w:val="000000"/>
        </w:rPr>
        <w:t xml:space="preserve"> the same mix of intermediate and primary inputs</w:t>
      </w:r>
      <w:r w:rsidR="005B5536">
        <w:rPr>
          <w:color w:val="000000"/>
        </w:rPr>
        <w:t xml:space="preserve"> in 2003</w:t>
      </w:r>
      <w:r>
        <w:rPr>
          <w:color w:val="000000"/>
        </w:rPr>
        <w:t>:</w:t>
      </w:r>
    </w:p>
    <w:p w:rsidR="00453FD9" w:rsidRDefault="00453FD9" w:rsidP="00E63CCF">
      <w:pPr>
        <w:widowControl w:val="0"/>
        <w:tabs>
          <w:tab w:val="center" w:pos="4536"/>
          <w:tab w:val="right" w:pos="8931"/>
        </w:tabs>
        <w:spacing w:line="480" w:lineRule="auto"/>
        <w:jc w:val="left"/>
      </w:pPr>
      <w:r>
        <w:rPr>
          <w:color w:val="000000"/>
        </w:rPr>
        <w:tab/>
      </w:r>
      <w:proofErr w:type="spellStart"/>
      <w:r w:rsidRPr="00E63CCF">
        <w:rPr>
          <w:i/>
          <w:color w:val="000000"/>
        </w:rPr>
        <w:t>I</w:t>
      </w:r>
      <w:r w:rsidRPr="00E63CCF">
        <w:rPr>
          <w:i/>
          <w:color w:val="000000"/>
          <w:vertAlign w:val="subscript"/>
        </w:rPr>
        <w:t>jr</w:t>
      </w:r>
      <w:proofErr w:type="spellEnd"/>
      <w:r w:rsidRPr="00E63CCF">
        <w:rPr>
          <w:i/>
          <w:color w:val="000000"/>
        </w:rPr>
        <w:t xml:space="preserve"> = α + β</w:t>
      </w:r>
      <w:proofErr w:type="spellStart"/>
      <w:r w:rsidRPr="00E63CCF">
        <w:rPr>
          <w:i/>
          <w:color w:val="000000"/>
        </w:rPr>
        <w:t>I</w:t>
      </w:r>
      <w:r w:rsidRPr="00E63CCF">
        <w:rPr>
          <w:i/>
          <w:color w:val="000000"/>
          <w:vertAlign w:val="subscript"/>
        </w:rPr>
        <w:t>jn</w:t>
      </w:r>
      <w:proofErr w:type="spellEnd"/>
      <w:r w:rsidRPr="00E63CCF">
        <w:rPr>
          <w:i/>
          <w:color w:val="000000"/>
        </w:rPr>
        <w:t xml:space="preserve"> + </w:t>
      </w:r>
      <w:proofErr w:type="spellStart"/>
      <w:r w:rsidRPr="00E63CCF">
        <w:rPr>
          <w:i/>
          <w:color w:val="000000"/>
        </w:rPr>
        <w:t>ε</w:t>
      </w:r>
      <w:r w:rsidRPr="00E63CCF">
        <w:rPr>
          <w:i/>
          <w:color w:val="000000"/>
          <w:vertAlign w:val="subscript"/>
        </w:rPr>
        <w:t>jr</w:t>
      </w:r>
      <w:proofErr w:type="spellEnd"/>
      <w:r>
        <w:tab/>
        <w:t>(</w:t>
      </w:r>
      <w:r w:rsidR="00F4167E">
        <w:t>2</w:t>
      </w:r>
      <w:r w:rsidR="004C2C6E">
        <w:t>9</w:t>
      </w:r>
      <w:r>
        <w:t>)</w:t>
      </w:r>
    </w:p>
    <w:p w:rsidR="005B5536" w:rsidRPr="009E58C3" w:rsidRDefault="00453FD9" w:rsidP="00885500">
      <w:pPr>
        <w:widowControl w:val="0"/>
        <w:tabs>
          <w:tab w:val="left" w:pos="426"/>
        </w:tabs>
        <w:spacing w:after="0" w:line="480" w:lineRule="auto"/>
        <w:ind w:firstLine="0"/>
        <w:rPr>
          <w:b/>
        </w:rPr>
      </w:pPr>
      <w:r>
        <w:t xml:space="preserve">where </w:t>
      </w:r>
      <w:r w:rsidRPr="00126E81">
        <w:rPr>
          <w:i/>
        </w:rPr>
        <w:t>I</w:t>
      </w:r>
      <w:r w:rsidRPr="00126E81">
        <w:rPr>
          <w:i/>
          <w:vertAlign w:val="subscript"/>
        </w:rPr>
        <w:t>jr</w:t>
      </w:r>
      <w:r>
        <w:t xml:space="preserve"> is a survey-based estimate of the proportion of intermediate inputs (including inputs imported from other </w:t>
      </w:r>
      <w:r w:rsidR="00126E81">
        <w:t xml:space="preserve">Argentinian </w:t>
      </w:r>
      <w:r>
        <w:t xml:space="preserve">regions) used by sector </w:t>
      </w:r>
      <w:r>
        <w:rPr>
          <w:i/>
        </w:rPr>
        <w:t>j</w:t>
      </w:r>
      <w:r>
        <w:t xml:space="preserve"> in </w:t>
      </w:r>
      <w:r w:rsidR="00126E81">
        <w:rPr>
          <w:lang w:val="en-US"/>
        </w:rPr>
        <w:t>C</w:t>
      </w:r>
      <w:r w:rsidR="00126E81" w:rsidRPr="0010320B">
        <w:rPr>
          <w:lang w:val="en-US"/>
        </w:rPr>
        <w:t>ó</w:t>
      </w:r>
      <w:r w:rsidR="00126E81">
        <w:rPr>
          <w:lang w:val="en-US"/>
        </w:rPr>
        <w:t>rdoba</w:t>
      </w:r>
      <w:r>
        <w:t xml:space="preserve">, </w:t>
      </w:r>
      <w:r w:rsidRPr="00126E81">
        <w:rPr>
          <w:i/>
        </w:rPr>
        <w:t>I</w:t>
      </w:r>
      <w:r w:rsidRPr="00126E81">
        <w:rPr>
          <w:i/>
          <w:vertAlign w:val="subscript"/>
        </w:rPr>
        <w:t>jn</w:t>
      </w:r>
      <w:r>
        <w:t xml:space="preserve"> is the corresponding proportion of intermediate inputs</w:t>
      </w:r>
      <w:r w:rsidR="00126E81">
        <w:t xml:space="preserve"> for Argentina</w:t>
      </w:r>
      <w:r>
        <w:t xml:space="preserve">, and </w:t>
      </w:r>
      <w:r w:rsidRPr="00126E81">
        <w:rPr>
          <w:i/>
          <w:color w:val="000000"/>
        </w:rPr>
        <w:t>ε</w:t>
      </w:r>
      <w:r w:rsidRPr="00126E81">
        <w:rPr>
          <w:i/>
          <w:color w:val="000000"/>
          <w:vertAlign w:val="subscript"/>
        </w:rPr>
        <w:t>jr</w:t>
      </w:r>
      <w:r>
        <w:t xml:space="preserve"> is a random error term.</w:t>
      </w:r>
      <w:r w:rsidR="005B5536">
        <w:t xml:space="preserve">  The following result was obtained (</w:t>
      </w:r>
      <w:r w:rsidR="005B5536">
        <w:rPr>
          <w:i/>
        </w:rPr>
        <w:t>n</w:t>
      </w:r>
      <w:r w:rsidR="005B5536">
        <w:t xml:space="preserve"> = 28):</w:t>
      </w:r>
    </w:p>
    <w:p w:rsidR="00FF17AD" w:rsidRPr="00162B19" w:rsidRDefault="00C614FC" w:rsidP="00881E21">
      <w:pPr>
        <w:tabs>
          <w:tab w:val="left" w:pos="426"/>
          <w:tab w:val="center" w:pos="4536"/>
          <w:tab w:val="right" w:pos="8931"/>
        </w:tabs>
        <w:spacing w:after="0" w:line="480" w:lineRule="auto"/>
        <w:ind w:right="95" w:firstLine="0"/>
        <w:jc w:val="center"/>
        <w:rPr>
          <w:lang w:val="en-US"/>
        </w:rPr>
      </w:pPr>
      <w:r>
        <w:tab/>
      </w:r>
      <w:r>
        <w:tab/>
      </w:r>
      <w:r w:rsidR="00A1024F" w:rsidRPr="009A6E5B">
        <w:rPr>
          <w:position w:val="-14"/>
        </w:rPr>
        <w:object w:dxaOrig="2400" w:dyaOrig="420">
          <v:shape id="_x0000_i1060" type="#_x0000_t75" style="width:126.75pt;height:20.8pt" o:ole="">
            <v:imagedata r:id="rId77" o:title=""/>
          </v:shape>
          <o:OLEObject Type="Embed" ProgID="Equation.3" ShapeID="_x0000_i1060" DrawAspect="Content" ObjectID="_1494569113" r:id="rId78"/>
        </w:object>
      </w:r>
      <w:r>
        <w:tab/>
        <w:t>(</w:t>
      </w:r>
      <w:r w:rsidR="004C2C6E">
        <w:t>30</w:t>
      </w:r>
      <w:r>
        <w:t>)</w:t>
      </w:r>
    </w:p>
    <w:p w:rsidR="005B3220" w:rsidRPr="00F41B56" w:rsidRDefault="00B80B68" w:rsidP="005B3220">
      <w:pPr>
        <w:widowControl w:val="0"/>
        <w:tabs>
          <w:tab w:val="left" w:pos="426"/>
        </w:tabs>
        <w:spacing w:after="0" w:line="480" w:lineRule="auto"/>
        <w:ind w:firstLine="0"/>
        <w:rPr>
          <w:b/>
          <w:color w:val="000000"/>
        </w:rPr>
      </w:pPr>
      <w:r>
        <w:rPr>
          <w:lang w:val="en-US"/>
        </w:rPr>
        <w:t>S</w:t>
      </w:r>
      <w:r w:rsidR="00A1024F">
        <w:rPr>
          <w:lang w:val="en-US"/>
        </w:rPr>
        <w:t>tandard errors</w:t>
      </w:r>
      <w:r>
        <w:rPr>
          <w:lang w:val="en-US"/>
        </w:rPr>
        <w:t>:</w:t>
      </w:r>
      <w:r w:rsidR="00A1024F">
        <w:rPr>
          <w:lang w:val="en-US"/>
        </w:rPr>
        <w:t xml:space="preserve"> 0.0508 </w:t>
      </w:r>
      <w:r w:rsidR="00980E10" w:rsidRPr="00B209D7">
        <w:rPr>
          <w:position w:val="-10"/>
        </w:rPr>
        <w:object w:dxaOrig="460" w:dyaOrig="340">
          <v:shape id="_x0000_i1061" type="#_x0000_t75" style="width:23.85pt;height:17.25pt" o:ole="">
            <v:imagedata r:id="rId79" o:title=""/>
          </v:shape>
          <o:OLEObject Type="Embed" ProgID="Equation.3" ShapeID="_x0000_i1061" DrawAspect="Content" ObjectID="_1494569114" r:id="rId80"/>
        </w:object>
      </w:r>
      <w:r w:rsidR="00A1024F">
        <w:rPr>
          <w:lang w:val="en-US"/>
        </w:rPr>
        <w:t xml:space="preserve"> </w:t>
      </w:r>
      <w:r w:rsidR="00CB01BE">
        <w:rPr>
          <w:lang w:val="en-US"/>
        </w:rPr>
        <w:t>0.1188</w:t>
      </w:r>
      <w:r>
        <w:rPr>
          <w:lang w:val="en-US"/>
        </w:rPr>
        <w:t xml:space="preserve"> </w:t>
      </w:r>
      <w:r w:rsidR="00980E10" w:rsidRPr="00AC357C">
        <w:rPr>
          <w:position w:val="-10"/>
        </w:rPr>
        <w:object w:dxaOrig="460" w:dyaOrig="380">
          <v:shape id="_x0000_i1062" type="#_x0000_t75" style="width:23.85pt;height:18.75pt" o:ole="">
            <v:imagedata r:id="rId81" o:title=""/>
          </v:shape>
          <o:OLEObject Type="Embed" ProgID="Equation.3" ShapeID="_x0000_i1062" DrawAspect="Content" ObjectID="_1494569115" r:id="rId82"/>
        </w:object>
      </w:r>
      <w:r w:rsidR="00CB01BE">
        <w:rPr>
          <w:lang w:val="en-US"/>
        </w:rPr>
        <w:t xml:space="preserve">  </w:t>
      </w:r>
      <w:r w:rsidR="00CB01BE">
        <w:rPr>
          <w:i/>
          <w:lang w:val="en-US"/>
        </w:rPr>
        <w:t>R</w:t>
      </w:r>
      <w:r w:rsidR="00CB01BE">
        <w:rPr>
          <w:i/>
          <w:vertAlign w:val="superscript"/>
          <w:lang w:val="en-US"/>
        </w:rPr>
        <w:t>2</w:t>
      </w:r>
      <w:r w:rsidR="00CB01BE">
        <w:rPr>
          <w:i/>
          <w:lang w:val="en-US"/>
        </w:rPr>
        <w:t xml:space="preserve"> </w:t>
      </w:r>
      <w:r w:rsidR="00CB01BE">
        <w:rPr>
          <w:lang w:val="en-US"/>
        </w:rPr>
        <w:t>=</w:t>
      </w:r>
      <w:r w:rsidR="00A1024F">
        <w:rPr>
          <w:lang w:val="en-US"/>
        </w:rPr>
        <w:t xml:space="preserve"> 0.595</w:t>
      </w:r>
      <w:r w:rsidR="00CB01BE">
        <w:rPr>
          <w:lang w:val="en-US"/>
        </w:rPr>
        <w:t>.</w:t>
      </w:r>
    </w:p>
    <w:p w:rsidR="008642EB" w:rsidRPr="002137EF" w:rsidRDefault="00AE46BE" w:rsidP="00FE45F5">
      <w:pPr>
        <w:widowControl w:val="0"/>
        <w:tabs>
          <w:tab w:val="left" w:pos="426"/>
        </w:tabs>
        <w:spacing w:after="0" w:line="480" w:lineRule="auto"/>
        <w:ind w:firstLine="0"/>
        <w:rPr>
          <w:b/>
        </w:rPr>
      </w:pPr>
      <w:r>
        <w:tab/>
        <w:t xml:space="preserve">This regression gives some grounds for rejecting the null hypotheses </w:t>
      </w:r>
      <w:r w:rsidRPr="00AE46BE">
        <w:rPr>
          <w:i/>
        </w:rPr>
        <w:t>α</w:t>
      </w:r>
      <w:r>
        <w:t xml:space="preserve"> = 0 and </w:t>
      </w:r>
      <w:r w:rsidRPr="00AE46BE">
        <w:rPr>
          <w:i/>
        </w:rPr>
        <w:t>β</w:t>
      </w:r>
      <w:r>
        <w:t xml:space="preserve"> = 1</w:t>
      </w:r>
      <w:r w:rsidR="00001B4B">
        <w:t>;</w:t>
      </w:r>
      <w:r w:rsidR="00FC5258">
        <w:t xml:space="preserve"> in particular,</w:t>
      </w:r>
      <w:r w:rsidR="00001B4B">
        <w:t xml:space="preserve"> </w:t>
      </w:r>
      <w:r w:rsidRPr="00AE46BE">
        <w:rPr>
          <w:position w:val="-6"/>
        </w:rPr>
        <w:object w:dxaOrig="240" w:dyaOrig="300">
          <v:shape id="_x0000_i1063" type="#_x0000_t75" style="width:12.7pt;height:14.7pt" o:ole="">
            <v:imagedata r:id="rId83" o:title=""/>
          </v:shape>
          <o:OLEObject Type="Embed" ProgID="Equation.3" ShapeID="_x0000_i1063" DrawAspect="Content" ObjectID="_1494569116" r:id="rId84"/>
        </w:object>
      </w:r>
      <w:r>
        <w:t xml:space="preserve"> is significantly </w:t>
      </w:r>
      <w:r w:rsidR="0034370A">
        <w:t>greater than</w:t>
      </w:r>
      <w:r>
        <w:t xml:space="preserve"> zero and </w:t>
      </w:r>
      <w:r w:rsidRPr="00AC357C">
        <w:rPr>
          <w:position w:val="-10"/>
        </w:rPr>
        <w:object w:dxaOrig="240" w:dyaOrig="380">
          <v:shape id="_x0000_i1064" type="#_x0000_t75" style="width:12.7pt;height:18.75pt" o:ole="">
            <v:imagedata r:id="rId85" o:title=""/>
          </v:shape>
          <o:OLEObject Type="Embed" ProgID="Equation.3" ShapeID="_x0000_i1064" DrawAspect="Content" ObjectID="_1494569117" r:id="rId86"/>
        </w:object>
      </w:r>
      <w:r>
        <w:t xml:space="preserve"> is significantly </w:t>
      </w:r>
      <w:r w:rsidR="0034370A">
        <w:t>less than</w:t>
      </w:r>
      <w:r>
        <w:t xml:space="preserve"> </w:t>
      </w:r>
      <w:r w:rsidR="004927CC">
        <w:t>o</w:t>
      </w:r>
      <w:r>
        <w:t>ne</w:t>
      </w:r>
      <w:r w:rsidR="00DC325B">
        <w:t>, both</w:t>
      </w:r>
      <w:r>
        <w:t xml:space="preserve"> at the </w:t>
      </w:r>
      <w:r w:rsidR="00DC325B">
        <w:t>2.5%</w:t>
      </w:r>
      <w:r>
        <w:t xml:space="preserve"> level.</w:t>
      </w:r>
      <w:r w:rsidR="00131620">
        <w:t xml:space="preserve">  </w:t>
      </w:r>
      <w:r w:rsidR="00FC5258">
        <w:t xml:space="preserve">The regression crosses the 45° line at </w:t>
      </w:r>
      <w:proofErr w:type="spellStart"/>
      <w:r w:rsidR="00FC5258">
        <w:rPr>
          <w:i/>
        </w:rPr>
        <w:t>I</w:t>
      </w:r>
      <w:r w:rsidR="00FC5258">
        <w:rPr>
          <w:i/>
          <w:vertAlign w:val="subscript"/>
        </w:rPr>
        <w:t>jn</w:t>
      </w:r>
      <w:proofErr w:type="spellEnd"/>
      <w:r w:rsidR="00FC5258">
        <w:t xml:space="preserve"> = 0.4535, which reflects the fact that some </w:t>
      </w:r>
      <w:r w:rsidR="00FC5258">
        <w:rPr>
          <w:lang w:val="en-US"/>
        </w:rPr>
        <w:t>C</w:t>
      </w:r>
      <w:r w:rsidR="00FC5258" w:rsidRPr="0010320B">
        <w:rPr>
          <w:lang w:val="en-US"/>
        </w:rPr>
        <w:t>ó</w:t>
      </w:r>
      <w:r w:rsidR="00FC5258">
        <w:rPr>
          <w:lang w:val="en-US"/>
        </w:rPr>
        <w:t>rdoban</w:t>
      </w:r>
      <w:r w:rsidR="00FC5258">
        <w:t xml:space="preserve"> sectors use a higher proportion </w:t>
      </w:r>
      <w:r w:rsidR="00FC5258">
        <w:rPr>
          <w:lang w:val="en-US"/>
        </w:rPr>
        <w:t>of intermediate inputs than Argentina, while others</w:t>
      </w:r>
      <w:r w:rsidR="00FC5258" w:rsidRPr="00CC3DB4">
        <w:t xml:space="preserve"> </w:t>
      </w:r>
      <w:r w:rsidR="00FC5258">
        <w:t xml:space="preserve">use a lower proportion.  </w:t>
      </w:r>
      <w:r w:rsidR="00CC3DB4">
        <w:t xml:space="preserve">On average, </w:t>
      </w:r>
      <w:r w:rsidR="00CC3DB4">
        <w:rPr>
          <w:lang w:val="en-US"/>
        </w:rPr>
        <w:t>C</w:t>
      </w:r>
      <w:r w:rsidR="00CC3DB4" w:rsidRPr="0010320B">
        <w:rPr>
          <w:lang w:val="en-US"/>
        </w:rPr>
        <w:t>ó</w:t>
      </w:r>
      <w:r w:rsidR="00CC3DB4">
        <w:rPr>
          <w:lang w:val="en-US"/>
        </w:rPr>
        <w:t xml:space="preserve">rdoba has a slightly higher </w:t>
      </w:r>
      <w:r w:rsidR="00FC5258">
        <w:rPr>
          <w:lang w:val="en-US"/>
        </w:rPr>
        <w:t>proportion</w:t>
      </w:r>
      <w:r w:rsidR="00CC3DB4">
        <w:rPr>
          <w:lang w:val="en-US"/>
        </w:rPr>
        <w:t xml:space="preserve"> of intermediate inputs than Argentina (0.4187 versus 0.</w:t>
      </w:r>
      <w:r w:rsidR="00FC5258">
        <w:rPr>
          <w:lang w:val="en-US"/>
        </w:rPr>
        <w:t>4061).</w:t>
      </w:r>
    </w:p>
    <w:p w:rsidR="00C718C3" w:rsidRDefault="00417A94" w:rsidP="00C718C3">
      <w:pPr>
        <w:widowControl w:val="0"/>
        <w:tabs>
          <w:tab w:val="left" w:pos="426"/>
        </w:tabs>
        <w:spacing w:after="0" w:line="480" w:lineRule="auto"/>
        <w:ind w:firstLine="0"/>
      </w:pPr>
      <w:r>
        <w:tab/>
      </w:r>
      <w:r w:rsidR="00C718C3">
        <w:t>So long as the required data are available or can be approximated, a convenient way of adjusting for differences between regional and national intermediation ratios is to apply Round’s ‘fabrication’ factor (Round, 1972, p. 6).  This approach involves using the following formula to adjust the national technical coefficients prior to applying LQs:</w:t>
      </w:r>
    </w:p>
    <w:p w:rsidR="00C718C3" w:rsidRPr="00B43035" w:rsidRDefault="00C718C3" w:rsidP="00C718C3">
      <w:pPr>
        <w:pStyle w:val="Normaali1"/>
        <w:tabs>
          <w:tab w:val="left" w:pos="360"/>
          <w:tab w:val="center" w:pos="4536"/>
          <w:tab w:val="right" w:pos="8931"/>
        </w:tabs>
        <w:spacing w:line="480" w:lineRule="auto"/>
        <w:ind w:left="357" w:hanging="357"/>
        <w:jc w:val="center"/>
        <w:rPr>
          <w:rFonts w:ascii="Times New Roman" w:hAnsi="Times New Roman"/>
          <w:spacing w:val="-2"/>
          <w:szCs w:val="22"/>
        </w:rPr>
      </w:pPr>
      <w:r>
        <w:rPr>
          <w:rFonts w:ascii="Times New Roman" w:hAnsi="Times New Roman"/>
          <w:lang w:val="en-GB"/>
        </w:rPr>
        <w:lastRenderedPageBreak/>
        <w:tab/>
      </w:r>
      <w:r>
        <w:rPr>
          <w:rFonts w:ascii="Times New Roman" w:hAnsi="Times New Roman"/>
          <w:lang w:val="en-GB"/>
        </w:rPr>
        <w:tab/>
      </w:r>
      <w:r>
        <w:rPr>
          <w:rFonts w:ascii="Times New Roman" w:hAnsi="Times New Roman"/>
          <w:lang w:val="en-GB"/>
        </w:rPr>
        <w:tab/>
      </w:r>
      <w:r w:rsidRPr="00104BCB">
        <w:rPr>
          <w:position w:val="-34"/>
        </w:rPr>
        <w:object w:dxaOrig="1860" w:dyaOrig="800">
          <v:shape id="_x0000_i1065" type="#_x0000_t75" style="width:92.3pt;height:39.55pt" o:ole="" fillcolor="window">
            <v:imagedata r:id="rId87" o:title=""/>
          </v:shape>
          <o:OLEObject Type="Embed" ProgID="Equation.3" ShapeID="_x0000_i1065" DrawAspect="Content" ObjectID="_1494569118" r:id="rId88"/>
        </w:object>
      </w:r>
      <w:r>
        <w:rPr>
          <w:rFonts w:ascii="Times New Roman" w:hAnsi="Times New Roman"/>
        </w:rPr>
        <w:tab/>
        <w:t>(31)</w:t>
      </w:r>
    </w:p>
    <w:p w:rsidR="00C718C3" w:rsidRPr="009E58C3" w:rsidRDefault="00C718C3" w:rsidP="00C718C3">
      <w:pPr>
        <w:widowControl w:val="0"/>
        <w:tabs>
          <w:tab w:val="left" w:pos="426"/>
        </w:tabs>
        <w:spacing w:after="0" w:line="480" w:lineRule="auto"/>
        <w:ind w:firstLine="0"/>
        <w:rPr>
          <w:b/>
        </w:rPr>
      </w:pPr>
      <w:r>
        <w:t xml:space="preserve">where </w:t>
      </w:r>
      <w:r w:rsidRPr="005503FF">
        <w:rPr>
          <w:i/>
        </w:rPr>
        <w:t>w</w:t>
      </w:r>
      <w:r>
        <w:t xml:space="preserve"> denotes value added, </w:t>
      </w:r>
      <w:r w:rsidRPr="005503FF">
        <w:rPr>
          <w:i/>
        </w:rPr>
        <w:t>x</w:t>
      </w:r>
      <w:r>
        <w:t xml:space="preserve"> denotes gross output, </w:t>
      </w:r>
      <w:r w:rsidRPr="00CA2CF0">
        <w:rPr>
          <w:i/>
        </w:rPr>
        <w:t>r</w:t>
      </w:r>
      <w:r>
        <w:t xml:space="preserve"> and </w:t>
      </w:r>
      <w:r>
        <w:rPr>
          <w:i/>
        </w:rPr>
        <w:t>n</w:t>
      </w:r>
      <w:r>
        <w:t xml:space="preserve"> refer to the region and the nation, respectively, </w:t>
      </w:r>
      <w:r w:rsidRPr="00251F5B">
        <w:rPr>
          <w:position w:val="-14"/>
        </w:rPr>
        <w:object w:dxaOrig="300" w:dyaOrig="420">
          <v:shape id="_x0000_i1066" type="#_x0000_t75" style="width:14.7pt;height:20.8pt" o:ole="">
            <v:imagedata r:id="rId89" o:title=""/>
          </v:shape>
          <o:OLEObject Type="Embed" ProgID="Equation.3" ShapeID="_x0000_i1066" DrawAspect="Content" ObjectID="_1494569119" r:id="rId90"/>
        </w:object>
      </w:r>
      <w:r>
        <w:t xml:space="preserve"> is the national technical coefficient and </w:t>
      </w:r>
      <w:r w:rsidRPr="00251F5B">
        <w:rPr>
          <w:position w:val="-14"/>
        </w:rPr>
        <w:object w:dxaOrig="300" w:dyaOrig="420">
          <v:shape id="_x0000_i1067" type="#_x0000_t75" style="width:14.7pt;height:20.8pt" o:ole="">
            <v:imagedata r:id="rId91" o:title=""/>
          </v:shape>
          <o:OLEObject Type="Embed" ProgID="Equation.3" ShapeID="_x0000_i1067" DrawAspect="Content" ObjectID="_1494569120" r:id="rId92"/>
        </w:object>
      </w:r>
      <w:r w:rsidRPr="00104BCB">
        <w:t xml:space="preserve"> </w:t>
      </w:r>
      <w:r>
        <w:t>is the adjusted value of this coefficient (cf. Miller and Blair, 2009, pp. 356</w:t>
      </w:r>
      <w:r>
        <w:sym w:font="Symbol" w:char="F02D"/>
      </w:r>
      <w:r>
        <w:t xml:space="preserve">357).  The outcomes of this procedure are presented in Table </w:t>
      </w:r>
      <w:r w:rsidR="00427A8B">
        <w:t>5</w:t>
      </w:r>
      <w:r>
        <w:t>.  It should be noted that this application does not adhere to Round’s formula exactly, inasmuch as we do not include</w:t>
      </w:r>
      <w:r w:rsidRPr="001D4D2E">
        <w:t xml:space="preserve"> foreign imports</w:t>
      </w:r>
      <w:r>
        <w:t xml:space="preserve"> in the sums of intermediate inputs.  We are assuming identical regional and national propensities to import foreign goods.</w:t>
      </w:r>
    </w:p>
    <w:p w:rsidR="00C718C3" w:rsidRPr="006E4628" w:rsidRDefault="00C718C3" w:rsidP="00C718C3">
      <w:pPr>
        <w:widowControl w:val="0"/>
        <w:tabs>
          <w:tab w:val="left" w:pos="426"/>
        </w:tabs>
        <w:spacing w:after="0" w:line="480" w:lineRule="auto"/>
        <w:ind w:firstLine="0"/>
        <w:jc w:val="center"/>
        <w:rPr>
          <w:b/>
        </w:rPr>
      </w:pPr>
      <w:r>
        <w:rPr>
          <w:b/>
        </w:rPr>
        <w:t xml:space="preserve">Table </w:t>
      </w:r>
      <w:r w:rsidR="00427A8B">
        <w:rPr>
          <w:b/>
        </w:rPr>
        <w:t>5</w:t>
      </w:r>
      <w:r>
        <w:rPr>
          <w:b/>
        </w:rPr>
        <w:t xml:space="preserve"> near here</w:t>
      </w:r>
    </w:p>
    <w:p w:rsidR="00C718C3" w:rsidRDefault="00C718C3" w:rsidP="00C718C3">
      <w:pPr>
        <w:widowControl w:val="0"/>
        <w:tabs>
          <w:tab w:val="left" w:pos="426"/>
        </w:tabs>
        <w:spacing w:after="0" w:line="480" w:lineRule="auto"/>
        <w:ind w:firstLine="0"/>
      </w:pPr>
      <w:r>
        <w:tab/>
        <w:t xml:space="preserve">A comparison of Tables 3 and </w:t>
      </w:r>
      <w:r w:rsidR="00427A8B">
        <w:t>5</w:t>
      </w:r>
      <w:r>
        <w:t xml:space="preserve"> reveals a surprising outcome: when evaluated in terms of the STPE, WMAE and U criteria, Round’s adjustment invariably yields less accurate results.  For instance, for the SLQ, the STPE rises from 12.0% to 24.1%, the WMAE from 0.190 to 0.460, and U from 14.1% to 35.4%</w:t>
      </w:r>
      <w:proofErr w:type="gramStart"/>
      <w:r>
        <w:t>.</w:t>
      </w:r>
      <w:r w:rsidRPr="00053E20">
        <w:rPr>
          <w:b/>
          <w:vertAlign w:val="superscript"/>
        </w:rPr>
        <w:t>21</w:t>
      </w:r>
      <w:r>
        <w:t xml:space="preserve">  Likewise, t</w:t>
      </w:r>
      <w:r w:rsidRPr="00053E20">
        <w:t>he</w:t>
      </w:r>
      <w:r>
        <w:t xml:space="preserve"> results for the FLQ and AFLQ</w:t>
      </w:r>
      <w:proofErr w:type="gramEnd"/>
      <w:r>
        <w:t xml:space="preserve"> are much less accurate.  The decline in the CILQ’s performance is not so dramatic, yet it is still true that Round’s adjustment makes matters worse.</w:t>
      </w:r>
    </w:p>
    <w:p w:rsidR="00C718C3" w:rsidRDefault="00C718C3" w:rsidP="00C718C3">
      <w:pPr>
        <w:widowControl w:val="0"/>
        <w:tabs>
          <w:tab w:val="left" w:pos="426"/>
        </w:tabs>
        <w:spacing w:after="0" w:line="480" w:lineRule="auto"/>
        <w:ind w:firstLine="0"/>
      </w:pPr>
      <w:r>
        <w:tab/>
        <w:t xml:space="preserve">If we focus simply on bias, the MPE and </w:t>
      </w:r>
      <w:r w:rsidRPr="00257882">
        <w:t>Ũ</w:t>
      </w:r>
      <w:r>
        <w:rPr>
          <w:vertAlign w:val="superscript"/>
        </w:rPr>
        <w:t>M</w:t>
      </w:r>
      <w:r>
        <w:t xml:space="preserve"> statistics show that Round’s adjustment greatly improves the outcome for the CILQ, as it eliminates most of the previous bias.  However, the figures for </w:t>
      </w:r>
      <w:r w:rsidRPr="00257882">
        <w:t>Ũ</w:t>
      </w:r>
      <w:r>
        <w:rPr>
          <w:vertAlign w:val="superscript"/>
        </w:rPr>
        <w:t>M</w:t>
      </w:r>
      <w:r>
        <w:t xml:space="preserve"> and </w:t>
      </w:r>
      <w:r w:rsidRPr="00257882">
        <w:t>Ũ</w:t>
      </w:r>
      <w:r w:rsidRPr="00257882">
        <w:rPr>
          <w:vertAlign w:val="superscript"/>
        </w:rPr>
        <w:t>S</w:t>
      </w:r>
      <w:r>
        <w:t xml:space="preserve"> reveal that this welcome improvement in terms of bias comes at the expense of a big rise in dispersion.  For the SLQ, the use of Round’s adjustment has modest effects on bias but substantially increases dispersion.</w:t>
      </w:r>
    </w:p>
    <w:p w:rsidR="00C718C3" w:rsidRPr="00BA046F" w:rsidRDefault="00C718C3" w:rsidP="00C718C3">
      <w:pPr>
        <w:widowControl w:val="0"/>
        <w:tabs>
          <w:tab w:val="left" w:pos="426"/>
        </w:tabs>
        <w:spacing w:after="0" w:line="480" w:lineRule="auto"/>
        <w:ind w:firstLine="0"/>
      </w:pPr>
      <w:r>
        <w:tab/>
        <w:t xml:space="preserve">It is evident that Round’s adjustment does not produce sensible results for the FLQ and AFLQ: regardless of the value of </w:t>
      </w:r>
      <w:r w:rsidRPr="00B335EC">
        <w:rPr>
          <w:i/>
          <w:color w:val="000000"/>
        </w:rPr>
        <w:t>δ</w:t>
      </w:r>
      <w:r>
        <w:rPr>
          <w:color w:val="000000"/>
        </w:rPr>
        <w:t xml:space="preserve">, the MPE shows that the multipliers are understated.  Moreover, this bias is substantial in most cases.  Also, as noted above, the use of this adjustment greatly increases the values of the </w:t>
      </w:r>
      <w:r>
        <w:t>STPE, WMAE and U.</w:t>
      </w:r>
    </w:p>
    <w:p w:rsidR="00C718C3" w:rsidRDefault="00C718C3" w:rsidP="00C718C3">
      <w:pPr>
        <w:widowControl w:val="0"/>
        <w:tabs>
          <w:tab w:val="left" w:pos="426"/>
        </w:tabs>
        <w:spacing w:after="0" w:line="480" w:lineRule="auto"/>
        <w:ind w:firstLine="0"/>
      </w:pPr>
      <w:r>
        <w:t xml:space="preserve"> </w:t>
      </w:r>
      <w:r>
        <w:tab/>
        <w:t xml:space="preserve">A possible explanation of these unexpected findings is that Round’s formula applies the </w:t>
      </w:r>
      <w:r>
        <w:lastRenderedPageBreak/>
        <w:t xml:space="preserve">same scaling to every element in a given column of the coefficient matrix; this is bound to introduce errors, even though the overall effect will be correct.  It is also possible that the scaling of national coefficients implemented via the FLQ or AFLQ makes adequate adjustments for both interregional trade and differences in </w:t>
      </w:r>
      <w:r w:rsidR="00C843E1">
        <w:t>intermediation</w:t>
      </w:r>
      <w:r>
        <w:t>.  Whatever the explanation, it is evident that, for this data set at least, the use of Round’s formula</w:t>
      </w:r>
      <w:r w:rsidRPr="00FE2137">
        <w:t xml:space="preserve"> </w:t>
      </w:r>
      <w:r>
        <w:t>is unhelpful in terms of enhancing the performance of any of the LQ-based methods.</w:t>
      </w:r>
    </w:p>
    <w:p w:rsidR="002137EF" w:rsidRDefault="002137EF" w:rsidP="002137EF">
      <w:pPr>
        <w:widowControl w:val="0"/>
        <w:tabs>
          <w:tab w:val="left" w:pos="426"/>
        </w:tabs>
        <w:spacing w:after="0"/>
        <w:ind w:firstLine="0"/>
      </w:pPr>
    </w:p>
    <w:p w:rsidR="001F4DA8" w:rsidRPr="006B294B" w:rsidRDefault="006031DF" w:rsidP="00500466">
      <w:pPr>
        <w:spacing w:after="0" w:line="480" w:lineRule="auto"/>
        <w:ind w:firstLine="0"/>
        <w:jc w:val="left"/>
        <w:rPr>
          <w:lang w:val="en-US"/>
        </w:rPr>
      </w:pPr>
      <w:r>
        <w:rPr>
          <w:b/>
          <w:lang w:val="en-US"/>
        </w:rPr>
        <w:t>1</w:t>
      </w:r>
      <w:r w:rsidR="004D083D">
        <w:rPr>
          <w:b/>
          <w:lang w:val="en-US"/>
        </w:rPr>
        <w:t>0</w:t>
      </w:r>
      <w:r w:rsidR="00AB4668">
        <w:rPr>
          <w:b/>
          <w:lang w:val="en-US"/>
        </w:rPr>
        <w:t xml:space="preserve">   </w:t>
      </w:r>
      <w:r w:rsidR="001F4DA8">
        <w:rPr>
          <w:b/>
          <w:lang w:val="en-US"/>
        </w:rPr>
        <w:t>CONCLUSION</w:t>
      </w:r>
    </w:p>
    <w:p w:rsidR="00040456" w:rsidRDefault="00500466" w:rsidP="00014BEA">
      <w:pPr>
        <w:widowControl w:val="0"/>
        <w:spacing w:after="0" w:line="480" w:lineRule="auto"/>
        <w:ind w:firstLine="0"/>
        <w:rPr>
          <w:lang w:val="en-US"/>
        </w:rPr>
      </w:pPr>
      <w:r>
        <w:t xml:space="preserve">This paper has </w:t>
      </w:r>
      <w:r w:rsidR="000B1272">
        <w:t>us</w:t>
      </w:r>
      <w:r w:rsidR="001905F6">
        <w:t>e</w:t>
      </w:r>
      <w:r>
        <w:t>d detailed survey-based data for t</w:t>
      </w:r>
      <w:r w:rsidRPr="0010320B">
        <w:rPr>
          <w:lang w:val="en-US"/>
        </w:rPr>
        <w:t xml:space="preserve">he </w:t>
      </w:r>
      <w:r w:rsidR="00863DE5">
        <w:rPr>
          <w:lang w:val="en-US"/>
        </w:rPr>
        <w:t>Argentinian</w:t>
      </w:r>
      <w:r w:rsidR="00863DE5" w:rsidRPr="0010320B">
        <w:rPr>
          <w:lang w:val="en-US"/>
        </w:rPr>
        <w:t xml:space="preserve"> </w:t>
      </w:r>
      <w:r w:rsidRPr="0010320B">
        <w:rPr>
          <w:lang w:val="en-US"/>
        </w:rPr>
        <w:t>province of Córdoba</w:t>
      </w:r>
      <w:r>
        <w:rPr>
          <w:lang w:val="en-US"/>
        </w:rPr>
        <w:t xml:space="preserve"> to </w:t>
      </w:r>
      <w:r w:rsidR="0018243B">
        <w:rPr>
          <w:lang w:val="en-US"/>
        </w:rPr>
        <w:t xml:space="preserve">assess the </w:t>
      </w:r>
      <w:r w:rsidR="00040456">
        <w:rPr>
          <w:lang w:val="en-US"/>
        </w:rPr>
        <w:t xml:space="preserve">relative </w:t>
      </w:r>
      <w:r w:rsidR="0018243B">
        <w:rPr>
          <w:lang w:val="en-US"/>
        </w:rPr>
        <w:t xml:space="preserve">performance </w:t>
      </w:r>
      <w:r w:rsidR="0018243B" w:rsidRPr="0018243B">
        <w:rPr>
          <w:lang w:val="en-US"/>
        </w:rPr>
        <w:t xml:space="preserve">of the FLQ </w:t>
      </w:r>
      <w:r w:rsidR="00427A8B">
        <w:rPr>
          <w:lang w:val="en-US"/>
        </w:rPr>
        <w:t xml:space="preserve">and AFLQ </w:t>
      </w:r>
      <w:r w:rsidR="0018243B">
        <w:rPr>
          <w:lang w:val="en-US"/>
        </w:rPr>
        <w:t>f</w:t>
      </w:r>
      <w:r w:rsidR="0018243B" w:rsidRPr="0018243B">
        <w:rPr>
          <w:lang w:val="en-US"/>
        </w:rPr>
        <w:t>ormula</w:t>
      </w:r>
      <w:r w:rsidR="00427A8B">
        <w:rPr>
          <w:lang w:val="en-US"/>
        </w:rPr>
        <w:t>e</w:t>
      </w:r>
      <w:r w:rsidR="0018243B" w:rsidRPr="0018243B">
        <w:rPr>
          <w:lang w:val="en-US"/>
        </w:rPr>
        <w:t xml:space="preserve"> for </w:t>
      </w:r>
      <w:r w:rsidR="00C31639">
        <w:rPr>
          <w:lang w:val="en-US"/>
        </w:rPr>
        <w:t xml:space="preserve">estimating </w:t>
      </w:r>
      <w:r w:rsidR="0018243B">
        <w:rPr>
          <w:lang w:val="en-US"/>
        </w:rPr>
        <w:t>r</w:t>
      </w:r>
      <w:r w:rsidR="0018243B" w:rsidRPr="0018243B">
        <w:rPr>
          <w:lang w:val="en-US"/>
        </w:rPr>
        <w:t>egional</w:t>
      </w:r>
      <w:r w:rsidR="00C31639">
        <w:rPr>
          <w:lang w:val="en-US"/>
        </w:rPr>
        <w:t xml:space="preserve"> input coefficients</w:t>
      </w:r>
      <w:r w:rsidR="00EE4E20">
        <w:rPr>
          <w:lang w:val="en-US"/>
        </w:rPr>
        <w:t xml:space="preserve">.  The empirical work employed a range of statistical criteria with </w:t>
      </w:r>
      <w:r w:rsidR="004007C9">
        <w:rPr>
          <w:lang w:val="en-US"/>
        </w:rPr>
        <w:t>contrasting</w:t>
      </w:r>
      <w:r w:rsidR="00EE4E20">
        <w:rPr>
          <w:lang w:val="en-US"/>
        </w:rPr>
        <w:t xml:space="preserve"> properties</w:t>
      </w:r>
      <w:r w:rsidR="00611C17">
        <w:rPr>
          <w:lang w:val="en-US"/>
        </w:rPr>
        <w:t>,</w:t>
      </w:r>
      <w:r w:rsidR="00EE4E20">
        <w:rPr>
          <w:lang w:val="en-US"/>
        </w:rPr>
        <w:t xml:space="preserve"> and examined </w:t>
      </w:r>
      <w:r w:rsidR="009F371E">
        <w:rPr>
          <w:lang w:val="en-US"/>
        </w:rPr>
        <w:t xml:space="preserve">performance in terms of each method’s ability to estimate </w:t>
      </w:r>
      <w:r w:rsidR="00863DE5">
        <w:rPr>
          <w:lang w:val="en-US"/>
        </w:rPr>
        <w:t xml:space="preserve">input </w:t>
      </w:r>
      <w:r w:rsidR="00EE4E20">
        <w:rPr>
          <w:lang w:val="en-US"/>
        </w:rPr>
        <w:t>coefficients</w:t>
      </w:r>
      <w:r w:rsidR="009F371E">
        <w:rPr>
          <w:lang w:val="en-US"/>
        </w:rPr>
        <w:t>,</w:t>
      </w:r>
      <w:r w:rsidR="00EE4E20">
        <w:rPr>
          <w:lang w:val="en-US"/>
        </w:rPr>
        <w:t xml:space="preserve"> </w:t>
      </w:r>
      <w:r w:rsidR="00C31639">
        <w:rPr>
          <w:lang w:val="en-US"/>
        </w:rPr>
        <w:t xml:space="preserve">as well as </w:t>
      </w:r>
      <w:r w:rsidR="00EE4E20">
        <w:rPr>
          <w:lang w:val="en-US"/>
        </w:rPr>
        <w:t>sectoral output multipliers</w:t>
      </w:r>
      <w:r w:rsidR="009F371E">
        <w:rPr>
          <w:lang w:val="en-US"/>
        </w:rPr>
        <w:t xml:space="preserve"> and regional imports</w:t>
      </w:r>
      <w:r w:rsidR="00EE4E20">
        <w:rPr>
          <w:lang w:val="en-US"/>
        </w:rPr>
        <w:t>.</w:t>
      </w:r>
    </w:p>
    <w:p w:rsidR="000F0C90" w:rsidRPr="00CF6AF8" w:rsidRDefault="00040456" w:rsidP="00040456">
      <w:pPr>
        <w:widowControl w:val="0"/>
        <w:tabs>
          <w:tab w:val="left" w:pos="426"/>
        </w:tabs>
        <w:spacing w:after="0" w:line="480" w:lineRule="auto"/>
        <w:ind w:firstLine="0"/>
        <w:rPr>
          <w:b/>
          <w:lang w:val="en-US"/>
        </w:rPr>
      </w:pPr>
      <w:r>
        <w:rPr>
          <w:lang w:val="en-US"/>
        </w:rPr>
        <w:tab/>
      </w:r>
      <w:r w:rsidR="00D469F1">
        <w:rPr>
          <w:lang w:val="en-US"/>
        </w:rPr>
        <w:t xml:space="preserve">In line with the findings of earlier studies, the FLQ </w:t>
      </w:r>
      <w:r w:rsidR="009F371E">
        <w:rPr>
          <w:lang w:val="en-US"/>
        </w:rPr>
        <w:t xml:space="preserve">substantially </w:t>
      </w:r>
      <w:r w:rsidR="00B85BBC">
        <w:rPr>
          <w:lang w:val="en-US"/>
        </w:rPr>
        <w:t>outperformed</w:t>
      </w:r>
      <w:r w:rsidR="00D469F1">
        <w:rPr>
          <w:lang w:val="en-US"/>
        </w:rPr>
        <w:t xml:space="preserve"> the </w:t>
      </w:r>
      <w:r w:rsidR="00EF649C">
        <w:rPr>
          <w:lang w:val="en-US"/>
        </w:rPr>
        <w:t>SLQ and CILQ</w:t>
      </w:r>
      <w:r w:rsidR="00D469F1">
        <w:rPr>
          <w:lang w:val="en-US"/>
        </w:rPr>
        <w:t>.</w:t>
      </w:r>
      <w:r>
        <w:rPr>
          <w:lang w:val="en-US"/>
        </w:rPr>
        <w:t xml:space="preserve">  </w:t>
      </w:r>
      <w:r w:rsidR="00BA53DE">
        <w:rPr>
          <w:lang w:val="en-US"/>
        </w:rPr>
        <w:t>Even so</w:t>
      </w:r>
      <w:r w:rsidR="009F371E">
        <w:rPr>
          <w:lang w:val="en-US"/>
        </w:rPr>
        <w:t>, t</w:t>
      </w:r>
      <w:r w:rsidR="00D469F1">
        <w:rPr>
          <w:lang w:val="en-US"/>
        </w:rPr>
        <w:t xml:space="preserve">he </w:t>
      </w:r>
      <w:r w:rsidR="009F371E">
        <w:rPr>
          <w:lang w:val="en-US"/>
        </w:rPr>
        <w:t>AFLQ gave slightly more accurate results than the FLQ</w:t>
      </w:r>
      <w:r w:rsidR="003D2BC5">
        <w:rPr>
          <w:lang w:val="en-US"/>
        </w:rPr>
        <w:t>, so it might be preferred</w:t>
      </w:r>
      <w:r>
        <w:rPr>
          <w:lang w:val="en-US"/>
        </w:rPr>
        <w:t xml:space="preserve"> on that basis, along with the fact that it takes regional specialization into account and can encompass situations where regional input coefficients are larger than the corresponding national coefficients</w:t>
      </w:r>
      <w:r w:rsidR="009F371E">
        <w:rPr>
          <w:lang w:val="en-US"/>
        </w:rPr>
        <w:t>.</w:t>
      </w:r>
    </w:p>
    <w:p w:rsidR="00A7723A" w:rsidRDefault="000F0C90" w:rsidP="00FF006A">
      <w:pPr>
        <w:widowControl w:val="0"/>
        <w:tabs>
          <w:tab w:val="left" w:pos="426"/>
        </w:tabs>
        <w:spacing w:after="0" w:line="480" w:lineRule="auto"/>
        <w:ind w:firstLine="0"/>
        <w:rPr>
          <w:color w:val="000000"/>
        </w:rPr>
      </w:pPr>
      <w:r>
        <w:rPr>
          <w:lang w:val="en-US"/>
        </w:rPr>
        <w:tab/>
      </w:r>
      <w:r w:rsidR="00977A25">
        <w:rPr>
          <w:lang w:val="en-US"/>
        </w:rPr>
        <w:t>The FLQ</w:t>
      </w:r>
      <w:r w:rsidR="00475FE8">
        <w:rPr>
          <w:lang w:val="en-US"/>
        </w:rPr>
        <w:t xml:space="preserve"> and AFLQ</w:t>
      </w:r>
      <w:r w:rsidR="00977A25">
        <w:rPr>
          <w:lang w:val="en-US"/>
        </w:rPr>
        <w:t xml:space="preserve"> formula</w:t>
      </w:r>
      <w:r w:rsidR="00475FE8">
        <w:rPr>
          <w:lang w:val="en-US"/>
        </w:rPr>
        <w:t>e</w:t>
      </w:r>
      <w:r w:rsidR="00977A25">
        <w:rPr>
          <w:lang w:val="en-US"/>
        </w:rPr>
        <w:t xml:space="preserve"> contain </w:t>
      </w:r>
      <w:r w:rsidR="00977A25">
        <w:t>a</w:t>
      </w:r>
      <w:r w:rsidR="00A371B4">
        <w:t xml:space="preserve"> key</w:t>
      </w:r>
      <w:r w:rsidR="00977A25">
        <w:t xml:space="preserve"> unknown parameter </w:t>
      </w:r>
      <w:r w:rsidR="00977A25" w:rsidRPr="00654A95">
        <w:rPr>
          <w:i/>
          <w:color w:val="000000"/>
        </w:rPr>
        <w:t>δ</w:t>
      </w:r>
      <w:r w:rsidR="00977A25">
        <w:rPr>
          <w:color w:val="000000"/>
        </w:rPr>
        <w:t xml:space="preserve"> and two </w:t>
      </w:r>
      <w:r w:rsidR="002C7DED">
        <w:rPr>
          <w:color w:val="000000"/>
        </w:rPr>
        <w:t>possible</w:t>
      </w:r>
      <w:r w:rsidR="00977A25">
        <w:rPr>
          <w:color w:val="000000"/>
        </w:rPr>
        <w:t xml:space="preserve"> ways of determining its value were examined, using survey-based data for Argentina, Finland and Germany.  </w:t>
      </w:r>
      <w:r w:rsidR="00A371B4">
        <w:rPr>
          <w:color w:val="000000"/>
        </w:rPr>
        <w:t>On the basis of this evidence, along with theoretical considerations, it was suggested that the regression approach of Flegg and Tohmo (2013a) offered a promising way forward.</w:t>
      </w:r>
      <w:r w:rsidR="00C435F1">
        <w:rPr>
          <w:color w:val="000000"/>
        </w:rPr>
        <w:t xml:space="preserve">  However, it should be noted that the AFLQ requires a slightly higher value of </w:t>
      </w:r>
      <w:r w:rsidR="00C435F1" w:rsidRPr="00654A95">
        <w:rPr>
          <w:i/>
          <w:color w:val="000000"/>
        </w:rPr>
        <w:t>δ</w:t>
      </w:r>
      <w:r w:rsidR="00C435F1">
        <w:rPr>
          <w:color w:val="000000"/>
        </w:rPr>
        <w:t xml:space="preserve"> than the FLQ.</w:t>
      </w:r>
    </w:p>
    <w:p w:rsidR="007515F0" w:rsidRDefault="00A7723A" w:rsidP="00B171BD">
      <w:pPr>
        <w:tabs>
          <w:tab w:val="left" w:pos="426"/>
        </w:tabs>
        <w:spacing w:after="0" w:line="480" w:lineRule="auto"/>
        <w:ind w:firstLine="0"/>
        <w:rPr>
          <w:color w:val="000000"/>
        </w:rPr>
      </w:pPr>
      <w:r>
        <w:rPr>
          <w:color w:val="000000"/>
        </w:rPr>
        <w:tab/>
      </w:r>
      <w:r w:rsidR="003D2BC5">
        <w:rPr>
          <w:color w:val="000000"/>
        </w:rPr>
        <w:t>A</w:t>
      </w:r>
      <w:r>
        <w:rPr>
          <w:color w:val="000000"/>
        </w:rPr>
        <w:t xml:space="preserve"> </w:t>
      </w:r>
      <w:r w:rsidR="00AD5614">
        <w:rPr>
          <w:color w:val="000000"/>
        </w:rPr>
        <w:t>lack of</w:t>
      </w:r>
      <w:r>
        <w:rPr>
          <w:color w:val="000000"/>
        </w:rPr>
        <w:t xml:space="preserve"> data made it </w:t>
      </w:r>
      <w:r w:rsidR="00AD5614">
        <w:rPr>
          <w:color w:val="000000"/>
        </w:rPr>
        <w:t>im</w:t>
      </w:r>
      <w:r>
        <w:rPr>
          <w:color w:val="000000"/>
        </w:rPr>
        <w:t xml:space="preserve">possible to explore </w:t>
      </w:r>
      <w:r w:rsidR="003D2BC5">
        <w:rPr>
          <w:color w:val="000000"/>
        </w:rPr>
        <w:t xml:space="preserve">directly </w:t>
      </w:r>
      <w:r w:rsidR="00C435F1">
        <w:rPr>
          <w:color w:val="000000"/>
        </w:rPr>
        <w:t>any</w:t>
      </w:r>
      <w:r w:rsidR="004007C9">
        <w:rPr>
          <w:color w:val="000000"/>
        </w:rPr>
        <w:t xml:space="preserve"> divergence</w:t>
      </w:r>
      <w:r>
        <w:rPr>
          <w:color w:val="000000"/>
        </w:rPr>
        <w:t xml:space="preserve"> between regional and national technology</w:t>
      </w:r>
      <w:r w:rsidR="00040456">
        <w:rPr>
          <w:color w:val="000000"/>
        </w:rPr>
        <w:t xml:space="preserve">, although </w:t>
      </w:r>
      <w:r w:rsidR="00C435F1">
        <w:rPr>
          <w:color w:val="000000"/>
        </w:rPr>
        <w:t xml:space="preserve">we </w:t>
      </w:r>
      <w:r w:rsidR="003D2BC5">
        <w:rPr>
          <w:color w:val="000000"/>
        </w:rPr>
        <w:t xml:space="preserve">did </w:t>
      </w:r>
      <w:r w:rsidR="00C435F1">
        <w:rPr>
          <w:color w:val="000000"/>
        </w:rPr>
        <w:t xml:space="preserve">identify significant differences in the use of </w:t>
      </w:r>
      <w:r w:rsidR="00C435F1">
        <w:rPr>
          <w:color w:val="000000"/>
        </w:rPr>
        <w:lastRenderedPageBreak/>
        <w:t>intermediate inputs</w:t>
      </w:r>
      <w:r w:rsidR="003D2BC5">
        <w:rPr>
          <w:color w:val="000000"/>
        </w:rPr>
        <w:t xml:space="preserve">.  </w:t>
      </w:r>
      <w:r w:rsidR="00040456">
        <w:rPr>
          <w:color w:val="000000"/>
        </w:rPr>
        <w:t>However</w:t>
      </w:r>
      <w:r w:rsidR="003D2BC5">
        <w:rPr>
          <w:color w:val="000000"/>
        </w:rPr>
        <w:t xml:space="preserve">, </w:t>
      </w:r>
      <w:r w:rsidR="007515F0">
        <w:rPr>
          <w:color w:val="000000"/>
        </w:rPr>
        <w:t xml:space="preserve">Round’s ‘fabrication’ formula was </w:t>
      </w:r>
      <w:r w:rsidR="004007C9">
        <w:rPr>
          <w:color w:val="000000"/>
        </w:rPr>
        <w:t xml:space="preserve">found to be </w:t>
      </w:r>
      <w:r w:rsidR="007515F0">
        <w:rPr>
          <w:color w:val="000000"/>
        </w:rPr>
        <w:t>unhelpful in making suitable adjustments for these d</w:t>
      </w:r>
      <w:r w:rsidR="00E76905">
        <w:rPr>
          <w:color w:val="000000"/>
        </w:rPr>
        <w:t>eviations</w:t>
      </w:r>
      <w:r w:rsidR="007515F0">
        <w:rPr>
          <w:color w:val="000000"/>
        </w:rPr>
        <w:t>.  Indeed, the FLQ</w:t>
      </w:r>
      <w:r w:rsidR="00AD5614">
        <w:rPr>
          <w:color w:val="000000"/>
        </w:rPr>
        <w:t xml:space="preserve"> and AFLQ</w:t>
      </w:r>
      <w:r w:rsidR="007515F0">
        <w:rPr>
          <w:color w:val="000000"/>
        </w:rPr>
        <w:t xml:space="preserve"> formula</w:t>
      </w:r>
      <w:r w:rsidR="00AD5614">
        <w:rPr>
          <w:color w:val="000000"/>
        </w:rPr>
        <w:t>e</w:t>
      </w:r>
      <w:r w:rsidR="007515F0">
        <w:rPr>
          <w:color w:val="000000"/>
        </w:rPr>
        <w:t>, without any fabrication adjustments, gave the best overall results of the methods</w:t>
      </w:r>
      <w:r w:rsidR="00977A25">
        <w:rPr>
          <w:color w:val="000000"/>
        </w:rPr>
        <w:t xml:space="preserve"> </w:t>
      </w:r>
      <w:r w:rsidR="007515F0">
        <w:rPr>
          <w:color w:val="000000"/>
        </w:rPr>
        <w:t>considered here.</w:t>
      </w:r>
      <w:r w:rsidR="00B80B90">
        <w:rPr>
          <w:color w:val="000000"/>
        </w:rPr>
        <w:t xml:space="preserve">  </w:t>
      </w:r>
      <w:r w:rsidR="003D2BC5">
        <w:rPr>
          <w:color w:val="000000"/>
        </w:rPr>
        <w:t xml:space="preserve">Consequently, </w:t>
      </w:r>
      <w:r w:rsidR="00BA53DE">
        <w:rPr>
          <w:color w:val="000000"/>
        </w:rPr>
        <w:t xml:space="preserve">we cannot recommend </w:t>
      </w:r>
      <w:r w:rsidR="003D2BC5">
        <w:rPr>
          <w:color w:val="000000"/>
        </w:rPr>
        <w:t>the use of Round’s a</w:t>
      </w:r>
      <w:r w:rsidR="00BF6F71">
        <w:rPr>
          <w:color w:val="000000"/>
        </w:rPr>
        <w:t>pproach</w:t>
      </w:r>
      <w:r w:rsidR="00B80B90">
        <w:rPr>
          <w:color w:val="000000"/>
        </w:rPr>
        <w:t>.</w:t>
      </w:r>
      <w:r w:rsidR="00040456">
        <w:rPr>
          <w:color w:val="000000"/>
        </w:rPr>
        <w:t xml:space="preserve">  Instead</w:t>
      </w:r>
      <w:r w:rsidR="008C6D42">
        <w:rPr>
          <w:color w:val="000000"/>
        </w:rPr>
        <w:t xml:space="preserve">, </w:t>
      </w:r>
      <w:r w:rsidR="00BA53DE">
        <w:rPr>
          <w:color w:val="000000"/>
        </w:rPr>
        <w:t>we would suggest that</w:t>
      </w:r>
      <w:r w:rsidR="00654A95">
        <w:rPr>
          <w:color w:val="000000"/>
        </w:rPr>
        <w:t xml:space="preserve"> any adjustments </w:t>
      </w:r>
      <w:r w:rsidR="00BA53DE">
        <w:rPr>
          <w:color w:val="000000"/>
        </w:rPr>
        <w:t>for di</w:t>
      </w:r>
      <w:r w:rsidR="00E76905">
        <w:rPr>
          <w:color w:val="000000"/>
        </w:rPr>
        <w:t>sparities</w:t>
      </w:r>
      <w:bookmarkStart w:id="0" w:name="_GoBack"/>
      <w:bookmarkEnd w:id="0"/>
      <w:r w:rsidR="00BA53DE">
        <w:rPr>
          <w:color w:val="000000"/>
        </w:rPr>
        <w:t xml:space="preserve"> in the regional and national use of intermediate inputs should</w:t>
      </w:r>
      <w:r w:rsidR="00654A95">
        <w:rPr>
          <w:color w:val="000000"/>
        </w:rPr>
        <w:t xml:space="preserve"> be made </w:t>
      </w:r>
      <w:r w:rsidR="00BA53DE">
        <w:rPr>
          <w:color w:val="000000"/>
        </w:rPr>
        <w:t>by adjusting</w:t>
      </w:r>
      <w:r w:rsidR="00654A95">
        <w:rPr>
          <w:color w:val="000000"/>
        </w:rPr>
        <w:t xml:space="preserve"> the value of </w:t>
      </w:r>
      <w:r w:rsidR="00654A95" w:rsidRPr="00654A95">
        <w:rPr>
          <w:i/>
          <w:color w:val="000000"/>
        </w:rPr>
        <w:t>δ</w:t>
      </w:r>
      <w:r w:rsidR="00654A95">
        <w:rPr>
          <w:color w:val="000000"/>
        </w:rPr>
        <w:t>.</w:t>
      </w:r>
    </w:p>
    <w:p w:rsidR="00B80B90" w:rsidRPr="008B0E17" w:rsidRDefault="00B80B90" w:rsidP="00B171BD">
      <w:pPr>
        <w:tabs>
          <w:tab w:val="left" w:pos="426"/>
        </w:tabs>
        <w:spacing w:after="0" w:line="480" w:lineRule="auto"/>
        <w:ind w:firstLine="0"/>
        <w:rPr>
          <w:color w:val="000000"/>
        </w:rPr>
      </w:pPr>
      <w:r>
        <w:rPr>
          <w:color w:val="000000"/>
        </w:rPr>
        <w:tab/>
        <w:t>It is worth emphasizing that, a</w:t>
      </w:r>
      <w:r w:rsidR="002C7DED">
        <w:rPr>
          <w:color w:val="000000"/>
        </w:rPr>
        <w:t>s</w:t>
      </w:r>
      <w:r>
        <w:rPr>
          <w:color w:val="000000"/>
        </w:rPr>
        <w:t xml:space="preserve"> with other pure non-survey methods, the FLQ</w:t>
      </w:r>
      <w:r w:rsidR="003D2BC5">
        <w:rPr>
          <w:color w:val="000000"/>
        </w:rPr>
        <w:t xml:space="preserve"> and AFLQ</w:t>
      </w:r>
      <w:r>
        <w:rPr>
          <w:color w:val="000000"/>
        </w:rPr>
        <w:t xml:space="preserve"> can only be relied upon to produce a satisfactory </w:t>
      </w:r>
      <w:r w:rsidRPr="00B80B90">
        <w:rPr>
          <w:i/>
          <w:color w:val="000000"/>
        </w:rPr>
        <w:t>initial</w:t>
      </w:r>
      <w:r>
        <w:rPr>
          <w:color w:val="000000"/>
        </w:rPr>
        <w:t xml:space="preserve"> set of regional input coefficients.  Such coefficients should always be appraised by the analyst on the basis of informed judgement, any available superior data</w:t>
      </w:r>
      <w:r w:rsidR="00785708">
        <w:rPr>
          <w:color w:val="000000"/>
        </w:rPr>
        <w:t xml:space="preserve">, </w:t>
      </w:r>
      <w:proofErr w:type="gramStart"/>
      <w:r w:rsidR="00785708">
        <w:rPr>
          <w:color w:val="000000"/>
        </w:rPr>
        <w:t>surveys</w:t>
      </w:r>
      <w:proofErr w:type="gramEnd"/>
      <w:r w:rsidR="00785708">
        <w:rPr>
          <w:color w:val="000000"/>
        </w:rPr>
        <w:t xml:space="preserve"> of key sectors</w:t>
      </w:r>
      <w:r>
        <w:rPr>
          <w:color w:val="000000"/>
        </w:rPr>
        <w:t xml:space="preserve"> and so on.  Indeed, </w:t>
      </w:r>
      <w:r w:rsidR="003D2BC5">
        <w:rPr>
          <w:color w:val="000000"/>
        </w:rPr>
        <w:t xml:space="preserve">in the authors’ opinion, </w:t>
      </w:r>
      <w:r>
        <w:rPr>
          <w:color w:val="000000"/>
        </w:rPr>
        <w:t>the FLQ</w:t>
      </w:r>
      <w:r w:rsidR="003D2BC5">
        <w:rPr>
          <w:color w:val="000000"/>
        </w:rPr>
        <w:t xml:space="preserve"> and AFLQ are both</w:t>
      </w:r>
      <w:r>
        <w:rPr>
          <w:color w:val="000000"/>
        </w:rPr>
        <w:t xml:space="preserve"> very well suited to building the non-survey foundations of a hybrid model</w:t>
      </w:r>
      <w:r w:rsidR="00931771">
        <w:rPr>
          <w:color w:val="000000"/>
        </w:rPr>
        <w:t>.</w:t>
      </w:r>
      <w:r w:rsidR="004720CE">
        <w:rPr>
          <w:b/>
          <w:color w:val="000000"/>
          <w:vertAlign w:val="superscript"/>
        </w:rPr>
        <w:t>22</w:t>
      </w:r>
    </w:p>
    <w:p w:rsidR="004D083D" w:rsidRDefault="004D083D" w:rsidP="0004683F">
      <w:pPr>
        <w:spacing w:after="0" w:line="480" w:lineRule="auto"/>
        <w:ind w:firstLine="0"/>
        <w:jc w:val="left"/>
        <w:rPr>
          <w:b/>
          <w:i/>
          <w:lang w:val="en-US"/>
        </w:rPr>
      </w:pPr>
    </w:p>
    <w:p w:rsidR="0004683F" w:rsidRDefault="0004683F" w:rsidP="0004683F">
      <w:pPr>
        <w:spacing w:after="0" w:line="480" w:lineRule="auto"/>
        <w:ind w:firstLine="0"/>
        <w:jc w:val="left"/>
        <w:rPr>
          <w:lang w:val="en-US"/>
        </w:rPr>
      </w:pPr>
      <w:r>
        <w:rPr>
          <w:b/>
          <w:i/>
          <w:lang w:val="en-US"/>
        </w:rPr>
        <w:t>Notes</w:t>
      </w:r>
    </w:p>
    <w:p w:rsidR="00526BE4" w:rsidRDefault="00526BE4" w:rsidP="0004683F">
      <w:pPr>
        <w:tabs>
          <w:tab w:val="left" w:pos="426"/>
        </w:tabs>
        <w:spacing w:line="360" w:lineRule="auto"/>
        <w:ind w:left="425" w:hanging="425"/>
        <w:rPr>
          <w:sz w:val="22"/>
          <w:szCs w:val="22"/>
        </w:rPr>
      </w:pPr>
      <w:r>
        <w:rPr>
          <w:sz w:val="22"/>
          <w:szCs w:val="22"/>
        </w:rPr>
        <w:t>1.</w:t>
      </w:r>
      <w:r>
        <w:rPr>
          <w:sz w:val="22"/>
          <w:szCs w:val="22"/>
        </w:rPr>
        <w:tab/>
        <w:t xml:space="preserve">In particular, </w:t>
      </w:r>
      <w:r w:rsidR="00AE6784">
        <w:rPr>
          <w:sz w:val="22"/>
          <w:szCs w:val="22"/>
        </w:rPr>
        <w:t>we do not ex</w:t>
      </w:r>
      <w:r w:rsidR="00395C0F">
        <w:rPr>
          <w:sz w:val="22"/>
          <w:szCs w:val="22"/>
        </w:rPr>
        <w:t>plore</w:t>
      </w:r>
      <w:r w:rsidR="00AE6784">
        <w:rPr>
          <w:sz w:val="22"/>
          <w:szCs w:val="22"/>
        </w:rPr>
        <w:t xml:space="preserve"> </w:t>
      </w:r>
      <w:r>
        <w:rPr>
          <w:sz w:val="22"/>
          <w:szCs w:val="22"/>
        </w:rPr>
        <w:t>the commodity-balance approach</w:t>
      </w:r>
      <w:r w:rsidR="002843C9">
        <w:rPr>
          <w:sz w:val="22"/>
          <w:szCs w:val="22"/>
        </w:rPr>
        <w:t xml:space="preserve"> since</w:t>
      </w:r>
      <w:r w:rsidR="00AE6784">
        <w:rPr>
          <w:sz w:val="22"/>
          <w:szCs w:val="22"/>
        </w:rPr>
        <w:t xml:space="preserve"> </w:t>
      </w:r>
      <w:r w:rsidR="00DC7EAB">
        <w:rPr>
          <w:sz w:val="22"/>
          <w:szCs w:val="22"/>
        </w:rPr>
        <w:t xml:space="preserve">it tends to </w:t>
      </w:r>
      <w:r w:rsidR="00C455A7">
        <w:rPr>
          <w:sz w:val="22"/>
          <w:szCs w:val="22"/>
        </w:rPr>
        <w:t>give</w:t>
      </w:r>
      <w:r w:rsidR="00DC7EAB">
        <w:rPr>
          <w:sz w:val="22"/>
          <w:szCs w:val="22"/>
        </w:rPr>
        <w:t xml:space="preserve"> </w:t>
      </w:r>
      <w:r w:rsidR="0076495B">
        <w:rPr>
          <w:sz w:val="22"/>
          <w:szCs w:val="22"/>
        </w:rPr>
        <w:t xml:space="preserve">outcomes </w:t>
      </w:r>
      <w:r w:rsidR="00DC7EAB">
        <w:rPr>
          <w:sz w:val="22"/>
          <w:szCs w:val="22"/>
        </w:rPr>
        <w:t>similar to</w:t>
      </w:r>
      <w:r w:rsidR="0076495B">
        <w:rPr>
          <w:sz w:val="22"/>
          <w:szCs w:val="22"/>
        </w:rPr>
        <w:t xml:space="preserve"> those from</w:t>
      </w:r>
      <w:r w:rsidR="00DC7EAB">
        <w:rPr>
          <w:sz w:val="22"/>
          <w:szCs w:val="22"/>
        </w:rPr>
        <w:t xml:space="preserve"> </w:t>
      </w:r>
      <w:r w:rsidR="00C455A7">
        <w:rPr>
          <w:sz w:val="22"/>
          <w:szCs w:val="22"/>
        </w:rPr>
        <w:t>the simple LQ</w:t>
      </w:r>
      <w:r w:rsidR="00DC7EAB">
        <w:rPr>
          <w:sz w:val="22"/>
          <w:szCs w:val="22"/>
        </w:rPr>
        <w:t xml:space="preserve">.  RAS is not examined because </w:t>
      </w:r>
      <w:r w:rsidR="00AE6784">
        <w:rPr>
          <w:sz w:val="22"/>
          <w:szCs w:val="22"/>
        </w:rPr>
        <w:t xml:space="preserve">the detailed regional data </w:t>
      </w:r>
      <w:r w:rsidR="00DC7EAB">
        <w:rPr>
          <w:sz w:val="22"/>
          <w:szCs w:val="22"/>
        </w:rPr>
        <w:t xml:space="preserve">it </w:t>
      </w:r>
      <w:r w:rsidR="00AE6784">
        <w:rPr>
          <w:sz w:val="22"/>
          <w:szCs w:val="22"/>
        </w:rPr>
        <w:t xml:space="preserve">requires are not </w:t>
      </w:r>
      <w:r w:rsidR="000D202D">
        <w:rPr>
          <w:sz w:val="22"/>
          <w:szCs w:val="22"/>
        </w:rPr>
        <w:t>normally available to analysts.</w:t>
      </w:r>
    </w:p>
    <w:p w:rsidR="00526BE4" w:rsidRDefault="00526BE4" w:rsidP="0004683F">
      <w:pPr>
        <w:tabs>
          <w:tab w:val="left" w:pos="426"/>
        </w:tabs>
        <w:spacing w:line="360" w:lineRule="auto"/>
        <w:ind w:left="425" w:hanging="425"/>
        <w:rPr>
          <w:sz w:val="22"/>
          <w:szCs w:val="22"/>
        </w:rPr>
      </w:pPr>
      <w:r>
        <w:rPr>
          <w:sz w:val="22"/>
          <w:szCs w:val="22"/>
        </w:rPr>
        <w:t>2.</w:t>
      </w:r>
      <w:r>
        <w:rPr>
          <w:sz w:val="22"/>
          <w:szCs w:val="22"/>
        </w:rPr>
        <w:tab/>
      </w:r>
      <w:r w:rsidR="00DC7EAB">
        <w:rPr>
          <w:sz w:val="22"/>
          <w:szCs w:val="22"/>
        </w:rPr>
        <w:t>See Flegg and Tohmo (2013a,</w:t>
      </w:r>
      <w:r w:rsidR="00D96B5A">
        <w:rPr>
          <w:sz w:val="22"/>
          <w:szCs w:val="22"/>
        </w:rPr>
        <w:t xml:space="preserve"> 2014</w:t>
      </w:r>
      <w:r w:rsidR="00DC7EAB">
        <w:rPr>
          <w:sz w:val="22"/>
          <w:szCs w:val="22"/>
        </w:rPr>
        <w:t>).</w:t>
      </w:r>
    </w:p>
    <w:p w:rsidR="0004683F" w:rsidRPr="002F0945" w:rsidRDefault="005A2481" w:rsidP="000D202D">
      <w:pPr>
        <w:widowControl w:val="0"/>
        <w:tabs>
          <w:tab w:val="left" w:pos="426"/>
        </w:tabs>
        <w:spacing w:line="360" w:lineRule="auto"/>
        <w:ind w:left="425" w:hanging="425"/>
        <w:rPr>
          <w:sz w:val="22"/>
          <w:szCs w:val="22"/>
          <w:lang w:val="en-US"/>
        </w:rPr>
      </w:pPr>
      <w:r>
        <w:rPr>
          <w:sz w:val="22"/>
          <w:szCs w:val="22"/>
        </w:rPr>
        <w:t>3</w:t>
      </w:r>
      <w:r w:rsidR="0004683F" w:rsidRPr="00FF1220">
        <w:rPr>
          <w:sz w:val="22"/>
          <w:szCs w:val="22"/>
        </w:rPr>
        <w:t>.</w:t>
      </w:r>
      <w:r w:rsidR="0004683F" w:rsidRPr="00FF1220">
        <w:rPr>
          <w:sz w:val="22"/>
          <w:szCs w:val="22"/>
        </w:rPr>
        <w:tab/>
      </w:r>
      <w:r w:rsidR="002D487E" w:rsidRPr="002F0945">
        <w:rPr>
          <w:sz w:val="22"/>
          <w:szCs w:val="22"/>
        </w:rPr>
        <w:t>Source:</w:t>
      </w:r>
      <w:r w:rsidR="002D487E" w:rsidRPr="002F0945">
        <w:rPr>
          <w:sz w:val="22"/>
          <w:szCs w:val="22"/>
          <w:lang w:val="en-US"/>
        </w:rPr>
        <w:t xml:space="preserve"> Instituto Nacional de Estadísticas y Censos and Ministerio de Economía de la Nación Argentina.</w:t>
      </w:r>
    </w:p>
    <w:p w:rsidR="002F0945" w:rsidRDefault="005A2481" w:rsidP="00FD321D">
      <w:pPr>
        <w:widowControl w:val="0"/>
        <w:tabs>
          <w:tab w:val="left" w:pos="426"/>
        </w:tabs>
        <w:spacing w:line="360" w:lineRule="auto"/>
        <w:ind w:left="426" w:hanging="426"/>
      </w:pPr>
      <w:r>
        <w:rPr>
          <w:sz w:val="22"/>
          <w:szCs w:val="22"/>
          <w:lang w:val="en-US"/>
        </w:rPr>
        <w:t>4</w:t>
      </w:r>
      <w:r w:rsidR="002F0945" w:rsidRPr="002F0945">
        <w:rPr>
          <w:sz w:val="22"/>
          <w:szCs w:val="22"/>
          <w:lang w:val="en-US"/>
        </w:rPr>
        <w:t>.</w:t>
      </w:r>
      <w:r w:rsidR="002F0945" w:rsidRPr="002F0945">
        <w:rPr>
          <w:sz w:val="22"/>
          <w:szCs w:val="22"/>
          <w:lang w:val="en-US"/>
        </w:rPr>
        <w:tab/>
        <w:t xml:space="preserve">The CEB worked </w:t>
      </w:r>
      <w:r w:rsidR="001D456A" w:rsidRPr="00301025">
        <w:rPr>
          <w:sz w:val="22"/>
          <w:szCs w:val="22"/>
          <w:lang w:val="en-US"/>
        </w:rPr>
        <w:t>with</w:t>
      </w:r>
      <w:r w:rsidR="002F0945" w:rsidRPr="002F0945">
        <w:rPr>
          <w:sz w:val="22"/>
          <w:szCs w:val="22"/>
          <w:lang w:val="en-US"/>
        </w:rPr>
        <w:t xml:space="preserve"> the World Bank and the Ministerio de Economia de Córdoba to construct the survey-based input</w:t>
      </w:r>
      <w:r w:rsidR="002F0945" w:rsidRPr="002F0945">
        <w:rPr>
          <w:sz w:val="22"/>
          <w:szCs w:val="22"/>
        </w:rPr>
        <w:sym w:font="Symbol" w:char="F02D"/>
      </w:r>
      <w:r w:rsidR="002F0945" w:rsidRPr="002F0945">
        <w:rPr>
          <w:sz w:val="22"/>
          <w:szCs w:val="22"/>
          <w:lang w:val="en-US"/>
        </w:rPr>
        <w:t>output matrix</w:t>
      </w:r>
      <w:r w:rsidR="00FD321D">
        <w:rPr>
          <w:sz w:val="22"/>
          <w:szCs w:val="22"/>
          <w:lang w:val="en-US"/>
        </w:rPr>
        <w:t xml:space="preserve"> for </w:t>
      </w:r>
      <w:r w:rsidR="00FD321D" w:rsidRPr="002F0945">
        <w:rPr>
          <w:sz w:val="22"/>
          <w:szCs w:val="22"/>
          <w:lang w:val="en-US"/>
        </w:rPr>
        <w:t>Córdoba</w:t>
      </w:r>
      <w:r w:rsidR="002F0945" w:rsidRPr="002F0945">
        <w:rPr>
          <w:sz w:val="22"/>
          <w:szCs w:val="22"/>
          <w:lang w:val="en-US"/>
        </w:rPr>
        <w:t xml:space="preserve">. </w:t>
      </w:r>
      <w:r w:rsidR="00FD321D">
        <w:rPr>
          <w:sz w:val="22"/>
          <w:szCs w:val="22"/>
          <w:lang w:val="en-US"/>
        </w:rPr>
        <w:t xml:space="preserve">For a discussion of </w:t>
      </w:r>
      <w:r w:rsidR="002F0945" w:rsidRPr="002F0945">
        <w:rPr>
          <w:sz w:val="22"/>
          <w:szCs w:val="22"/>
          <w:lang w:val="en-US"/>
        </w:rPr>
        <w:t>methodology</w:t>
      </w:r>
      <w:r w:rsidR="00FD321D">
        <w:rPr>
          <w:sz w:val="22"/>
          <w:szCs w:val="22"/>
          <w:lang w:val="en-US"/>
        </w:rPr>
        <w:t xml:space="preserve">, see </w:t>
      </w:r>
      <w:hyperlink r:id="rId93" w:history="1">
        <w:r w:rsidR="00FD321D" w:rsidRPr="003C3FE7">
          <w:rPr>
            <w:rStyle w:val="Hyperlink"/>
            <w:sz w:val="22"/>
            <w:szCs w:val="22"/>
          </w:rPr>
          <w:t>http://estadistica.cba.gov.ar/LinkClick.aspx?fileticket=xEa_WsSZLHo%3D&amp;tabid=413&amp;language=es-AR</w:t>
        </w:r>
      </w:hyperlink>
      <w:r w:rsidR="006A2D25">
        <w:rPr>
          <w:sz w:val="22"/>
          <w:szCs w:val="22"/>
        </w:rPr>
        <w:t>.</w:t>
      </w:r>
    </w:p>
    <w:p w:rsidR="00B37AA7" w:rsidRDefault="005A2481" w:rsidP="00B37AA7">
      <w:pPr>
        <w:tabs>
          <w:tab w:val="left" w:pos="426"/>
        </w:tabs>
        <w:spacing w:line="360" w:lineRule="auto"/>
        <w:ind w:left="425" w:hanging="425"/>
        <w:rPr>
          <w:sz w:val="22"/>
          <w:szCs w:val="22"/>
          <w:lang w:val="en-US"/>
        </w:rPr>
      </w:pPr>
      <w:r>
        <w:rPr>
          <w:sz w:val="22"/>
          <w:szCs w:val="22"/>
        </w:rPr>
        <w:t>5</w:t>
      </w:r>
      <w:r w:rsidR="001C3CA3" w:rsidRPr="001C3CA3">
        <w:rPr>
          <w:sz w:val="22"/>
          <w:szCs w:val="22"/>
        </w:rPr>
        <w:t>.</w:t>
      </w:r>
      <w:r w:rsidR="001C3CA3" w:rsidRPr="001C3CA3">
        <w:rPr>
          <w:sz w:val="22"/>
          <w:szCs w:val="22"/>
        </w:rPr>
        <w:tab/>
      </w:r>
      <w:r w:rsidR="00B37AA7">
        <w:rPr>
          <w:sz w:val="22"/>
          <w:szCs w:val="22"/>
        </w:rPr>
        <w:t xml:space="preserve">Source: </w:t>
      </w:r>
      <w:r w:rsidR="00B37AA7" w:rsidRPr="007262D7">
        <w:rPr>
          <w:sz w:val="22"/>
          <w:szCs w:val="22"/>
          <w:lang w:val="es-ES"/>
        </w:rPr>
        <w:t>Instituto Nacional de Estadísticas y Censos and Ministerio de Economía de la Nación Argentina</w:t>
      </w:r>
      <w:r w:rsidR="00B37AA7">
        <w:rPr>
          <w:sz w:val="22"/>
          <w:szCs w:val="22"/>
          <w:lang w:val="es-ES"/>
        </w:rPr>
        <w:t xml:space="preserve">. </w:t>
      </w:r>
      <w:proofErr w:type="gramStart"/>
      <w:r w:rsidR="00B37AA7" w:rsidRPr="0012615F">
        <w:rPr>
          <w:sz w:val="22"/>
          <w:szCs w:val="22"/>
          <w:lang w:val="en-US"/>
        </w:rPr>
        <w:t>Tablas Insumo-Producto para Argentina 1997.</w:t>
      </w:r>
      <w:proofErr w:type="gramEnd"/>
    </w:p>
    <w:p w:rsidR="00AC24C4" w:rsidRDefault="00AC24C4" w:rsidP="00AC24C4">
      <w:pPr>
        <w:widowControl w:val="0"/>
        <w:tabs>
          <w:tab w:val="left" w:pos="426"/>
        </w:tabs>
        <w:spacing w:line="360" w:lineRule="auto"/>
        <w:ind w:left="425" w:hanging="425"/>
        <w:rPr>
          <w:sz w:val="22"/>
          <w:szCs w:val="22"/>
        </w:rPr>
      </w:pPr>
      <w:r>
        <w:rPr>
          <w:sz w:val="22"/>
          <w:szCs w:val="22"/>
        </w:rPr>
        <w:t>6.</w:t>
      </w:r>
      <w:r>
        <w:rPr>
          <w:sz w:val="22"/>
          <w:szCs w:val="22"/>
        </w:rPr>
        <w:tab/>
        <w:t>Note that all of the LQs used in this paper are based on output rather than on the more usual employment.  Sectoral output data are not normally available, so that employment has to be used as a proxy.</w:t>
      </w:r>
    </w:p>
    <w:p w:rsidR="00AC24C4" w:rsidRDefault="00AC24C4" w:rsidP="00AC24C4">
      <w:pPr>
        <w:widowControl w:val="0"/>
        <w:tabs>
          <w:tab w:val="left" w:pos="426"/>
        </w:tabs>
        <w:spacing w:line="360" w:lineRule="auto"/>
        <w:ind w:left="425" w:hanging="425"/>
        <w:rPr>
          <w:sz w:val="22"/>
          <w:szCs w:val="22"/>
        </w:rPr>
      </w:pPr>
      <w:r>
        <w:rPr>
          <w:sz w:val="22"/>
          <w:szCs w:val="22"/>
        </w:rPr>
        <w:lastRenderedPageBreak/>
        <w:t>7.</w:t>
      </w:r>
      <w:r>
        <w:rPr>
          <w:sz w:val="22"/>
          <w:szCs w:val="22"/>
        </w:rPr>
        <w:tab/>
        <w:t xml:space="preserve">The unrounded shares of output for sectors 2 and 10 are </w:t>
      </w:r>
      <w:r w:rsidRPr="00DB3B6C">
        <w:rPr>
          <w:sz w:val="22"/>
          <w:szCs w:val="22"/>
        </w:rPr>
        <w:t>0.0000235</w:t>
      </w:r>
      <w:r>
        <w:rPr>
          <w:sz w:val="22"/>
          <w:szCs w:val="22"/>
        </w:rPr>
        <w:t xml:space="preserve"> </w:t>
      </w:r>
      <w:r w:rsidRPr="00DB3B6C">
        <w:rPr>
          <w:sz w:val="22"/>
          <w:szCs w:val="22"/>
        </w:rPr>
        <w:t>and 0.0009098</w:t>
      </w:r>
      <w:r>
        <w:rPr>
          <w:sz w:val="22"/>
          <w:szCs w:val="22"/>
        </w:rPr>
        <w:t>, respectively.</w:t>
      </w:r>
    </w:p>
    <w:p w:rsidR="00B41523" w:rsidRPr="0012615F" w:rsidRDefault="00AC24C4" w:rsidP="00B37AA7">
      <w:pPr>
        <w:tabs>
          <w:tab w:val="left" w:pos="426"/>
        </w:tabs>
        <w:spacing w:line="360" w:lineRule="auto"/>
        <w:ind w:left="425" w:hanging="425"/>
        <w:rPr>
          <w:sz w:val="22"/>
          <w:szCs w:val="22"/>
          <w:lang w:val="en-US"/>
        </w:rPr>
      </w:pPr>
      <w:r>
        <w:rPr>
          <w:sz w:val="22"/>
          <w:szCs w:val="22"/>
          <w:lang w:val="en-US"/>
        </w:rPr>
        <w:t>8</w:t>
      </w:r>
      <w:r w:rsidR="00B41523">
        <w:rPr>
          <w:sz w:val="22"/>
          <w:szCs w:val="22"/>
          <w:lang w:val="en-US"/>
        </w:rPr>
        <w:t>.</w:t>
      </w:r>
      <w:r w:rsidR="00B41523">
        <w:rPr>
          <w:sz w:val="22"/>
          <w:szCs w:val="22"/>
          <w:lang w:val="en-US"/>
        </w:rPr>
        <w:tab/>
        <w:t>GDP was measured in constant prices of 1993.  S</w:t>
      </w:r>
      <w:r w:rsidR="00AB47BE">
        <w:rPr>
          <w:sz w:val="22"/>
          <w:szCs w:val="22"/>
          <w:lang w:val="en-US"/>
        </w:rPr>
        <w:t>ource: INDEC.</w:t>
      </w:r>
    </w:p>
    <w:p w:rsidR="004C1DE9" w:rsidRPr="00211DA0" w:rsidRDefault="00AD53FA" w:rsidP="004C1DE9">
      <w:pPr>
        <w:tabs>
          <w:tab w:val="left" w:pos="426"/>
        </w:tabs>
        <w:spacing w:after="0" w:line="480" w:lineRule="auto"/>
        <w:ind w:left="420" w:hanging="420"/>
        <w:rPr>
          <w:sz w:val="22"/>
          <w:szCs w:val="22"/>
          <w:lang w:val="en-US"/>
        </w:rPr>
      </w:pPr>
      <w:r>
        <w:rPr>
          <w:sz w:val="22"/>
          <w:szCs w:val="22"/>
        </w:rPr>
        <w:t>9</w:t>
      </w:r>
      <w:r w:rsidR="004C1DE9">
        <w:rPr>
          <w:sz w:val="22"/>
          <w:szCs w:val="22"/>
        </w:rPr>
        <w:t>.</w:t>
      </w:r>
      <w:r w:rsidR="004C1DE9">
        <w:rPr>
          <w:sz w:val="22"/>
          <w:szCs w:val="22"/>
        </w:rPr>
        <w:tab/>
      </w:r>
      <w:r w:rsidR="004C1DE9" w:rsidRPr="00211DA0">
        <w:rPr>
          <w:sz w:val="22"/>
          <w:szCs w:val="22"/>
          <w:lang w:val="en-US"/>
        </w:rPr>
        <w:t xml:space="preserve">However, owing to a lack of disaggregated regional data, it is often impossible to compute the LQs needed to regionalize prior to aggregation.  This was the situation faced by Flegg and Tohmo (2014). </w:t>
      </w:r>
    </w:p>
    <w:p w:rsidR="004C1DE9" w:rsidRPr="004C1DE9" w:rsidRDefault="00AD53FA" w:rsidP="004C1DE9">
      <w:pPr>
        <w:tabs>
          <w:tab w:val="left" w:pos="426"/>
        </w:tabs>
        <w:spacing w:after="0" w:line="480" w:lineRule="auto"/>
        <w:ind w:firstLine="0"/>
        <w:rPr>
          <w:sz w:val="22"/>
          <w:szCs w:val="22"/>
          <w:lang w:val="en-US"/>
        </w:rPr>
      </w:pPr>
      <w:r>
        <w:rPr>
          <w:sz w:val="22"/>
          <w:szCs w:val="22"/>
          <w:lang w:val="en-US"/>
        </w:rPr>
        <w:t>10</w:t>
      </w:r>
      <w:r w:rsidR="004C1DE9">
        <w:rPr>
          <w:sz w:val="22"/>
          <w:szCs w:val="22"/>
          <w:lang w:val="en-US"/>
        </w:rPr>
        <w:t>.</w:t>
      </w:r>
      <w:r w:rsidR="004C1DE9">
        <w:rPr>
          <w:sz w:val="22"/>
          <w:szCs w:val="22"/>
          <w:lang w:val="en-US"/>
        </w:rPr>
        <w:tab/>
      </w:r>
      <w:r w:rsidR="004C1DE9" w:rsidRPr="00211DA0">
        <w:rPr>
          <w:sz w:val="22"/>
          <w:szCs w:val="22"/>
          <w:lang w:val="en-US"/>
        </w:rPr>
        <w:t xml:space="preserve">For an excellent treatment of the factors causing aggregation bias, see </w:t>
      </w:r>
      <w:r w:rsidR="004C1DE9" w:rsidRPr="00211DA0">
        <w:rPr>
          <w:sz w:val="22"/>
          <w:szCs w:val="22"/>
        </w:rPr>
        <w:t>Lahr and Stevens (2002</w:t>
      </w:r>
      <w:r w:rsidR="004C1DE9">
        <w:rPr>
          <w:sz w:val="22"/>
          <w:szCs w:val="22"/>
        </w:rPr>
        <w:t>).</w:t>
      </w:r>
    </w:p>
    <w:p w:rsidR="00A73228" w:rsidRDefault="00AD53FA" w:rsidP="00FF006A">
      <w:pPr>
        <w:widowControl w:val="0"/>
        <w:tabs>
          <w:tab w:val="left" w:pos="426"/>
        </w:tabs>
        <w:spacing w:line="360" w:lineRule="auto"/>
        <w:ind w:left="425" w:hanging="425"/>
        <w:rPr>
          <w:sz w:val="22"/>
          <w:szCs w:val="22"/>
        </w:rPr>
      </w:pPr>
      <w:r>
        <w:rPr>
          <w:sz w:val="22"/>
          <w:szCs w:val="22"/>
        </w:rPr>
        <w:t>11</w:t>
      </w:r>
      <w:r w:rsidR="00A73228">
        <w:rPr>
          <w:sz w:val="22"/>
          <w:szCs w:val="22"/>
        </w:rPr>
        <w:t>.</w:t>
      </w:r>
      <w:r w:rsidR="00A73228">
        <w:rPr>
          <w:sz w:val="22"/>
          <w:szCs w:val="22"/>
        </w:rPr>
        <w:tab/>
      </w:r>
      <w:r w:rsidR="00A73228" w:rsidRPr="00E45311">
        <w:rPr>
          <w:sz w:val="22"/>
          <w:szCs w:val="22"/>
        </w:rPr>
        <w:t>The</w:t>
      </w:r>
      <w:r w:rsidR="00A73228" w:rsidRPr="00E45311">
        <w:rPr>
          <w:color w:val="000000"/>
          <w:sz w:val="22"/>
          <w:szCs w:val="22"/>
        </w:rPr>
        <w:t xml:space="preserve"> minimum mean relative absolute distance was 19.1% for the FLQ</w:t>
      </w:r>
      <w:r w:rsidR="00A73228">
        <w:rPr>
          <w:color w:val="000000"/>
          <w:sz w:val="22"/>
          <w:szCs w:val="22"/>
        </w:rPr>
        <w:t xml:space="preserve"> (with </w:t>
      </w:r>
      <w:r w:rsidR="00A73228" w:rsidRPr="00E45311">
        <w:rPr>
          <w:i/>
          <w:color w:val="000000"/>
          <w:sz w:val="22"/>
          <w:szCs w:val="22"/>
        </w:rPr>
        <w:t>δ</w:t>
      </w:r>
      <w:r w:rsidR="00A73228" w:rsidRPr="00E45311">
        <w:rPr>
          <w:color w:val="000000"/>
          <w:sz w:val="22"/>
          <w:szCs w:val="22"/>
        </w:rPr>
        <w:t xml:space="preserve"> </w:t>
      </w:r>
      <w:r w:rsidR="00A73228">
        <w:rPr>
          <w:color w:val="000000"/>
          <w:sz w:val="22"/>
          <w:szCs w:val="22"/>
        </w:rPr>
        <w:t>=</w:t>
      </w:r>
      <w:r w:rsidR="00A73228" w:rsidRPr="00E45311">
        <w:rPr>
          <w:color w:val="000000"/>
          <w:sz w:val="22"/>
          <w:szCs w:val="22"/>
        </w:rPr>
        <w:t xml:space="preserve"> 0.3</w:t>
      </w:r>
      <w:r w:rsidR="00A73228">
        <w:rPr>
          <w:color w:val="000000"/>
          <w:sz w:val="22"/>
          <w:szCs w:val="22"/>
        </w:rPr>
        <w:t>)</w:t>
      </w:r>
      <w:r w:rsidR="00A73228" w:rsidRPr="00E45311">
        <w:rPr>
          <w:color w:val="000000"/>
          <w:sz w:val="22"/>
          <w:szCs w:val="22"/>
        </w:rPr>
        <w:t xml:space="preserve"> but 18.3% for the AFLQ</w:t>
      </w:r>
      <w:r w:rsidR="00A73228">
        <w:rPr>
          <w:color w:val="000000"/>
          <w:sz w:val="22"/>
          <w:szCs w:val="22"/>
        </w:rPr>
        <w:t xml:space="preserve"> (with </w:t>
      </w:r>
      <w:r w:rsidR="00A73228" w:rsidRPr="00E45311">
        <w:rPr>
          <w:i/>
          <w:color w:val="000000"/>
          <w:sz w:val="22"/>
          <w:szCs w:val="22"/>
        </w:rPr>
        <w:t>δ</w:t>
      </w:r>
      <w:r w:rsidR="00A73228" w:rsidRPr="00E45311">
        <w:rPr>
          <w:color w:val="000000"/>
          <w:sz w:val="22"/>
          <w:szCs w:val="22"/>
        </w:rPr>
        <w:t xml:space="preserve"> </w:t>
      </w:r>
      <w:r w:rsidR="00A73228">
        <w:rPr>
          <w:color w:val="000000"/>
          <w:sz w:val="22"/>
          <w:szCs w:val="22"/>
        </w:rPr>
        <w:t>=</w:t>
      </w:r>
      <w:r w:rsidR="00A73228" w:rsidRPr="00E45311">
        <w:rPr>
          <w:color w:val="000000"/>
          <w:sz w:val="22"/>
          <w:szCs w:val="22"/>
        </w:rPr>
        <w:t xml:space="preserve"> 0.</w:t>
      </w:r>
      <w:r w:rsidR="00A73228">
        <w:rPr>
          <w:color w:val="000000"/>
          <w:sz w:val="22"/>
          <w:szCs w:val="22"/>
        </w:rPr>
        <w:t>4)</w:t>
      </w:r>
      <w:r w:rsidR="00A73228" w:rsidRPr="00E45311">
        <w:rPr>
          <w:color w:val="000000"/>
          <w:sz w:val="22"/>
          <w:szCs w:val="22"/>
        </w:rPr>
        <w:t>.</w:t>
      </w:r>
      <w:r w:rsidR="00A73228" w:rsidRPr="00E45311">
        <w:rPr>
          <w:sz w:val="22"/>
          <w:szCs w:val="22"/>
        </w:rPr>
        <w:t xml:space="preserve"> </w:t>
      </w:r>
      <w:r w:rsidR="00A73228">
        <w:rPr>
          <w:sz w:val="22"/>
          <w:szCs w:val="22"/>
        </w:rPr>
        <w:t xml:space="preserve"> See </w:t>
      </w:r>
      <w:r w:rsidR="00A73228" w:rsidRPr="00E45311">
        <w:rPr>
          <w:sz w:val="22"/>
          <w:szCs w:val="22"/>
        </w:rPr>
        <w:t xml:space="preserve">Bonfiglio and Chelli (2008, </w:t>
      </w:r>
      <w:r w:rsidR="002505E3">
        <w:rPr>
          <w:sz w:val="22"/>
          <w:szCs w:val="22"/>
        </w:rPr>
        <w:t>t</w:t>
      </w:r>
      <w:r w:rsidR="00A73228" w:rsidRPr="00E45311">
        <w:rPr>
          <w:sz w:val="22"/>
          <w:szCs w:val="22"/>
        </w:rPr>
        <w:t>able 1)</w:t>
      </w:r>
      <w:r w:rsidR="00A73228">
        <w:rPr>
          <w:sz w:val="22"/>
          <w:szCs w:val="22"/>
        </w:rPr>
        <w:t>.</w:t>
      </w:r>
    </w:p>
    <w:p w:rsidR="0080461C" w:rsidRDefault="004C1DE9" w:rsidP="0080461C">
      <w:pPr>
        <w:tabs>
          <w:tab w:val="left" w:pos="426"/>
        </w:tabs>
        <w:spacing w:line="360" w:lineRule="auto"/>
        <w:ind w:left="425" w:hanging="425"/>
        <w:rPr>
          <w:sz w:val="22"/>
          <w:szCs w:val="22"/>
        </w:rPr>
      </w:pPr>
      <w:r>
        <w:rPr>
          <w:sz w:val="22"/>
          <w:szCs w:val="22"/>
        </w:rPr>
        <w:t>1</w:t>
      </w:r>
      <w:r w:rsidR="00AD53FA">
        <w:rPr>
          <w:sz w:val="22"/>
          <w:szCs w:val="22"/>
        </w:rPr>
        <w:t>2</w:t>
      </w:r>
      <w:r w:rsidR="0080461C">
        <w:rPr>
          <w:sz w:val="22"/>
          <w:szCs w:val="22"/>
        </w:rPr>
        <w:t>.</w:t>
      </w:r>
      <w:r w:rsidR="0080461C">
        <w:rPr>
          <w:sz w:val="22"/>
          <w:szCs w:val="22"/>
        </w:rPr>
        <w:tab/>
      </w:r>
      <w:r w:rsidR="00735B47" w:rsidRPr="00FF1220">
        <w:rPr>
          <w:position w:val="-14"/>
          <w:sz w:val="22"/>
          <w:szCs w:val="22"/>
        </w:rPr>
        <w:object w:dxaOrig="6800" w:dyaOrig="420">
          <v:shape id="_x0000_i1068" type="#_x0000_t75" style="width:342.75pt;height:20.8pt" o:ole="">
            <v:imagedata r:id="rId94" o:title=""/>
          </v:shape>
          <o:OLEObject Type="Embed" ProgID="Equation.3" ShapeID="_x0000_i1068" DrawAspect="Content" ObjectID="_1494569121" r:id="rId95"/>
        </w:object>
      </w:r>
      <w:r w:rsidR="0080461C">
        <w:rPr>
          <w:sz w:val="22"/>
          <w:szCs w:val="22"/>
        </w:rPr>
        <w:t xml:space="preserve"> </w:t>
      </w:r>
      <w:proofErr w:type="gramStart"/>
      <w:r w:rsidR="0080461C" w:rsidRPr="00FF1220">
        <w:rPr>
          <w:sz w:val="22"/>
          <w:szCs w:val="22"/>
        </w:rPr>
        <w:t>where</w:t>
      </w:r>
      <w:proofErr w:type="gramEnd"/>
      <w:r w:rsidR="0080461C" w:rsidRPr="00FF1220">
        <w:rPr>
          <w:sz w:val="22"/>
          <w:szCs w:val="22"/>
        </w:rPr>
        <w:t xml:space="preserve"> </w:t>
      </w:r>
      <w:r w:rsidR="00735B47" w:rsidRPr="00735B47">
        <w:rPr>
          <w:position w:val="-10"/>
          <w:sz w:val="22"/>
          <w:szCs w:val="22"/>
        </w:rPr>
        <w:object w:dxaOrig="240" w:dyaOrig="340">
          <v:shape id="_x0000_i1069" type="#_x0000_t75" style="width:13.2pt;height:17.25pt" o:ole="">
            <v:imagedata r:id="rId96" o:title=""/>
          </v:shape>
          <o:OLEObject Type="Embed" ProgID="Equation.3" ShapeID="_x0000_i1069" DrawAspect="Content" ObjectID="_1494569122" r:id="rId97"/>
        </w:object>
      </w:r>
      <w:r w:rsidR="0080461C" w:rsidRPr="00FF1220">
        <w:rPr>
          <w:sz w:val="22"/>
          <w:szCs w:val="22"/>
        </w:rPr>
        <w:t xml:space="preserve"> is the </w:t>
      </w:r>
      <w:r w:rsidR="00735B47">
        <w:rPr>
          <w:sz w:val="22"/>
          <w:szCs w:val="22"/>
        </w:rPr>
        <w:t xml:space="preserve">sample </w:t>
      </w:r>
      <w:r w:rsidR="0080461C" w:rsidRPr="00FF1220">
        <w:rPr>
          <w:sz w:val="22"/>
          <w:szCs w:val="22"/>
        </w:rPr>
        <w:t xml:space="preserve">correlation coefficient between </w:t>
      </w:r>
      <w:r w:rsidR="00735B47" w:rsidRPr="00FF1220">
        <w:rPr>
          <w:position w:val="-14"/>
          <w:sz w:val="22"/>
          <w:szCs w:val="22"/>
        </w:rPr>
        <w:object w:dxaOrig="240" w:dyaOrig="380">
          <v:shape id="_x0000_i1070" type="#_x0000_t75" style="width:13.2pt;height:19.25pt" o:ole="">
            <v:imagedata r:id="rId98" o:title=""/>
          </v:shape>
          <o:OLEObject Type="Embed" ProgID="Equation.3" ShapeID="_x0000_i1070" DrawAspect="Content" ObjectID="_1494569123" r:id="rId99"/>
        </w:object>
      </w:r>
      <w:r w:rsidR="0080461C" w:rsidRPr="00FF1220">
        <w:rPr>
          <w:sz w:val="22"/>
          <w:szCs w:val="22"/>
        </w:rPr>
        <w:t xml:space="preserve">and </w:t>
      </w:r>
      <w:r w:rsidR="00735B47">
        <w:rPr>
          <w:i/>
          <w:sz w:val="22"/>
          <w:szCs w:val="22"/>
        </w:rPr>
        <w:t>r</w:t>
      </w:r>
      <w:r w:rsidR="00735B47" w:rsidRPr="00735B47">
        <w:rPr>
          <w:i/>
          <w:sz w:val="22"/>
          <w:szCs w:val="22"/>
          <w:vertAlign w:val="subscript"/>
        </w:rPr>
        <w:t>i</w:t>
      </w:r>
      <w:r w:rsidR="0080461C" w:rsidRPr="00E401B3">
        <w:rPr>
          <w:i/>
          <w:sz w:val="22"/>
          <w:szCs w:val="22"/>
          <w:vertAlign w:val="subscript"/>
        </w:rPr>
        <w:t>j</w:t>
      </w:r>
      <w:r w:rsidR="0080461C" w:rsidRPr="00FF1220">
        <w:rPr>
          <w:sz w:val="22"/>
          <w:szCs w:val="22"/>
        </w:rPr>
        <w:t>.  Cf. T</w:t>
      </w:r>
      <w:r w:rsidR="0080461C" w:rsidRPr="00BF3F05">
        <w:rPr>
          <w:sz w:val="22"/>
          <w:szCs w:val="22"/>
        </w:rPr>
        <w:t>heil</w:t>
      </w:r>
      <w:r w:rsidR="0080461C" w:rsidRPr="00FF1220">
        <w:rPr>
          <w:sz w:val="22"/>
          <w:szCs w:val="22"/>
        </w:rPr>
        <w:t xml:space="preserve"> </w:t>
      </w:r>
      <w:r w:rsidR="0080461C" w:rsidRPr="001C3CA3">
        <w:rPr>
          <w:sz w:val="22"/>
          <w:szCs w:val="22"/>
        </w:rPr>
        <w:t>et al.,</w:t>
      </w:r>
      <w:r w:rsidR="0080461C" w:rsidRPr="00FF1220">
        <w:rPr>
          <w:sz w:val="22"/>
          <w:szCs w:val="22"/>
        </w:rPr>
        <w:t xml:space="preserve"> 1966, pp. 29</w:t>
      </w:r>
      <w:r w:rsidR="0080461C" w:rsidRPr="00FF1220">
        <w:rPr>
          <w:sz w:val="22"/>
          <w:szCs w:val="22"/>
        </w:rPr>
        <w:sym w:font="Symbol" w:char="F02D"/>
      </w:r>
      <w:r w:rsidR="0080461C" w:rsidRPr="00FF1220">
        <w:rPr>
          <w:sz w:val="22"/>
          <w:szCs w:val="22"/>
        </w:rPr>
        <w:t>30.</w:t>
      </w:r>
    </w:p>
    <w:p w:rsidR="0060223D" w:rsidRDefault="004C1DE9" w:rsidP="00FF006A">
      <w:pPr>
        <w:widowControl w:val="0"/>
        <w:tabs>
          <w:tab w:val="left" w:pos="426"/>
        </w:tabs>
        <w:spacing w:line="360" w:lineRule="auto"/>
        <w:ind w:left="425" w:hanging="425"/>
        <w:rPr>
          <w:sz w:val="22"/>
          <w:szCs w:val="22"/>
        </w:rPr>
      </w:pPr>
      <w:r>
        <w:rPr>
          <w:sz w:val="22"/>
          <w:szCs w:val="22"/>
        </w:rPr>
        <w:t>1</w:t>
      </w:r>
      <w:r w:rsidR="00AD53FA">
        <w:rPr>
          <w:sz w:val="22"/>
          <w:szCs w:val="22"/>
        </w:rPr>
        <w:t>3</w:t>
      </w:r>
      <w:r w:rsidR="0060223D">
        <w:rPr>
          <w:sz w:val="22"/>
          <w:szCs w:val="22"/>
        </w:rPr>
        <w:t>.</w:t>
      </w:r>
      <w:r w:rsidR="0060223D">
        <w:rPr>
          <w:sz w:val="22"/>
          <w:szCs w:val="22"/>
        </w:rPr>
        <w:tab/>
      </w:r>
      <w:r>
        <w:rPr>
          <w:sz w:val="22"/>
          <w:szCs w:val="22"/>
        </w:rPr>
        <w:t>When sectors 2 and 10 were included</w:t>
      </w:r>
      <w:r w:rsidR="00B239A1">
        <w:rPr>
          <w:sz w:val="22"/>
          <w:szCs w:val="22"/>
        </w:rPr>
        <w:t xml:space="preserve"> as separate sectors</w:t>
      </w:r>
      <w:r>
        <w:rPr>
          <w:sz w:val="22"/>
          <w:szCs w:val="22"/>
        </w:rPr>
        <w:t xml:space="preserve">, </w:t>
      </w:r>
      <w:r w:rsidR="009F34B8">
        <w:rPr>
          <w:sz w:val="22"/>
          <w:szCs w:val="22"/>
        </w:rPr>
        <w:t>big</w:t>
      </w:r>
      <w:r>
        <w:rPr>
          <w:sz w:val="22"/>
          <w:szCs w:val="22"/>
        </w:rPr>
        <w:t xml:space="preserve"> changes occurred in the </w:t>
      </w:r>
      <w:r w:rsidR="00D11221">
        <w:rPr>
          <w:sz w:val="22"/>
          <w:szCs w:val="22"/>
        </w:rPr>
        <w:t>outcomes</w:t>
      </w:r>
      <w:r>
        <w:rPr>
          <w:sz w:val="22"/>
          <w:szCs w:val="22"/>
        </w:rPr>
        <w:t xml:space="preserve"> for all statistical criteria </w:t>
      </w:r>
      <w:r w:rsidR="000B5B10">
        <w:rPr>
          <w:sz w:val="22"/>
          <w:szCs w:val="22"/>
        </w:rPr>
        <w:t>except</w:t>
      </w:r>
      <w:r>
        <w:rPr>
          <w:sz w:val="22"/>
          <w:szCs w:val="22"/>
        </w:rPr>
        <w:t xml:space="preserve"> </w:t>
      </w:r>
      <w:r w:rsidR="00B014C0">
        <w:rPr>
          <w:sz w:val="22"/>
          <w:szCs w:val="22"/>
        </w:rPr>
        <w:t xml:space="preserve">for </w:t>
      </w:r>
      <w:r>
        <w:rPr>
          <w:sz w:val="22"/>
          <w:szCs w:val="22"/>
        </w:rPr>
        <w:t>the WMAE</w:t>
      </w:r>
      <w:r w:rsidR="00041EA1">
        <w:rPr>
          <w:sz w:val="22"/>
          <w:szCs w:val="22"/>
        </w:rPr>
        <w:t>, leading to changes in t</w:t>
      </w:r>
      <w:r w:rsidR="00197BE7">
        <w:rPr>
          <w:sz w:val="22"/>
          <w:szCs w:val="22"/>
        </w:rPr>
        <w:t>he ranking of methods</w:t>
      </w:r>
      <w:r w:rsidR="00041EA1">
        <w:rPr>
          <w:sz w:val="22"/>
          <w:szCs w:val="22"/>
        </w:rPr>
        <w:t xml:space="preserve">.  </w:t>
      </w:r>
      <w:r w:rsidR="00181228">
        <w:rPr>
          <w:sz w:val="22"/>
          <w:szCs w:val="22"/>
        </w:rPr>
        <w:t>T</w:t>
      </w:r>
      <w:r w:rsidR="00A101C2">
        <w:rPr>
          <w:sz w:val="22"/>
          <w:szCs w:val="22"/>
        </w:rPr>
        <w:t xml:space="preserve">he </w:t>
      </w:r>
      <w:r w:rsidR="008A7A51">
        <w:rPr>
          <w:sz w:val="22"/>
          <w:szCs w:val="22"/>
        </w:rPr>
        <w:t xml:space="preserve">WMAE </w:t>
      </w:r>
      <w:r w:rsidR="00B239A1">
        <w:rPr>
          <w:sz w:val="22"/>
          <w:szCs w:val="22"/>
        </w:rPr>
        <w:t>still ranked</w:t>
      </w:r>
      <w:r w:rsidR="008A7A51">
        <w:rPr>
          <w:sz w:val="22"/>
          <w:szCs w:val="22"/>
        </w:rPr>
        <w:t xml:space="preserve"> the </w:t>
      </w:r>
      <w:r w:rsidR="00A101C2">
        <w:rPr>
          <w:sz w:val="22"/>
          <w:szCs w:val="22"/>
        </w:rPr>
        <w:t xml:space="preserve">FLQ </w:t>
      </w:r>
      <w:r w:rsidR="00B239A1">
        <w:rPr>
          <w:sz w:val="22"/>
          <w:szCs w:val="22"/>
        </w:rPr>
        <w:t>as superior to</w:t>
      </w:r>
      <w:r w:rsidR="008A7A51">
        <w:rPr>
          <w:sz w:val="22"/>
          <w:szCs w:val="22"/>
        </w:rPr>
        <w:t xml:space="preserve"> the SLQ</w:t>
      </w:r>
      <w:r w:rsidR="00181228">
        <w:rPr>
          <w:sz w:val="22"/>
          <w:szCs w:val="22"/>
        </w:rPr>
        <w:t>, whereas</w:t>
      </w:r>
      <w:r w:rsidR="00A101C2">
        <w:rPr>
          <w:sz w:val="22"/>
          <w:szCs w:val="22"/>
        </w:rPr>
        <w:t xml:space="preserve"> the </w:t>
      </w:r>
      <w:r w:rsidR="008A7A51">
        <w:rPr>
          <w:sz w:val="22"/>
          <w:szCs w:val="22"/>
        </w:rPr>
        <w:t>STPE and U</w:t>
      </w:r>
      <w:r w:rsidR="00A101C2">
        <w:rPr>
          <w:sz w:val="22"/>
          <w:szCs w:val="22"/>
        </w:rPr>
        <w:t>, which do not take the relative size of sectors into account</w:t>
      </w:r>
      <w:r w:rsidR="00181228">
        <w:rPr>
          <w:sz w:val="22"/>
          <w:szCs w:val="22"/>
        </w:rPr>
        <w:t xml:space="preserve">, </w:t>
      </w:r>
      <w:r w:rsidR="00B239A1">
        <w:rPr>
          <w:sz w:val="22"/>
          <w:szCs w:val="22"/>
        </w:rPr>
        <w:t>gave the opposite ranking</w:t>
      </w:r>
      <w:r w:rsidR="00197BE7">
        <w:rPr>
          <w:sz w:val="22"/>
          <w:szCs w:val="22"/>
        </w:rPr>
        <w:t>.</w:t>
      </w:r>
      <w:r w:rsidR="005448C1">
        <w:rPr>
          <w:sz w:val="22"/>
          <w:szCs w:val="22"/>
        </w:rPr>
        <w:t xml:space="preserve">  To </w:t>
      </w:r>
      <w:r w:rsidR="00181228">
        <w:rPr>
          <w:sz w:val="22"/>
          <w:szCs w:val="22"/>
        </w:rPr>
        <w:t>obtain more robust results</w:t>
      </w:r>
      <w:r w:rsidR="005448C1">
        <w:rPr>
          <w:sz w:val="22"/>
          <w:szCs w:val="22"/>
        </w:rPr>
        <w:t xml:space="preserve">, we </w:t>
      </w:r>
      <w:r w:rsidR="00D11221">
        <w:rPr>
          <w:sz w:val="22"/>
          <w:szCs w:val="22"/>
        </w:rPr>
        <w:t>thought</w:t>
      </w:r>
      <w:r w:rsidR="005448C1">
        <w:rPr>
          <w:sz w:val="22"/>
          <w:szCs w:val="22"/>
        </w:rPr>
        <w:t xml:space="preserve"> it best</w:t>
      </w:r>
      <w:r w:rsidR="008079FB">
        <w:rPr>
          <w:sz w:val="22"/>
          <w:szCs w:val="22"/>
        </w:rPr>
        <w:t xml:space="preserve"> to exclude these atypical sectors.</w:t>
      </w:r>
      <w:r w:rsidR="00167F1D">
        <w:rPr>
          <w:sz w:val="22"/>
          <w:szCs w:val="22"/>
        </w:rPr>
        <w:t xml:space="preserve">  For multipliers, the same ranking of methods occurred regardless of whether the</w:t>
      </w:r>
      <w:r w:rsidR="000B5B10">
        <w:rPr>
          <w:sz w:val="22"/>
          <w:szCs w:val="22"/>
        </w:rPr>
        <w:t>se</w:t>
      </w:r>
      <w:r w:rsidR="00167F1D">
        <w:rPr>
          <w:sz w:val="22"/>
          <w:szCs w:val="22"/>
        </w:rPr>
        <w:t xml:space="preserve"> two sectors were included or not.</w:t>
      </w:r>
    </w:p>
    <w:p w:rsidR="00AC24C4" w:rsidRDefault="00AC24C4" w:rsidP="00FF006A">
      <w:pPr>
        <w:widowControl w:val="0"/>
        <w:tabs>
          <w:tab w:val="left" w:pos="426"/>
        </w:tabs>
        <w:spacing w:line="360" w:lineRule="auto"/>
        <w:ind w:left="425" w:hanging="425"/>
        <w:rPr>
          <w:sz w:val="22"/>
          <w:szCs w:val="22"/>
        </w:rPr>
      </w:pPr>
      <w:r>
        <w:rPr>
          <w:sz w:val="22"/>
          <w:szCs w:val="22"/>
        </w:rPr>
        <w:t>14.</w:t>
      </w:r>
      <w:r>
        <w:rPr>
          <w:sz w:val="22"/>
          <w:szCs w:val="22"/>
        </w:rPr>
        <w:tab/>
      </w:r>
      <w:r w:rsidR="00DE30A4">
        <w:rPr>
          <w:sz w:val="22"/>
          <w:szCs w:val="22"/>
        </w:rPr>
        <w:t xml:space="preserve">For a given </w:t>
      </w:r>
      <w:r w:rsidR="00DE30A4" w:rsidRPr="004870B7">
        <w:rPr>
          <w:i/>
          <w:sz w:val="22"/>
          <w:szCs w:val="22"/>
        </w:rPr>
        <w:t>SLQ</w:t>
      </w:r>
      <w:r w:rsidR="00DE30A4" w:rsidRPr="004870B7">
        <w:rPr>
          <w:i/>
          <w:sz w:val="22"/>
          <w:szCs w:val="22"/>
          <w:vertAlign w:val="subscript"/>
        </w:rPr>
        <w:t>j</w:t>
      </w:r>
      <w:r w:rsidR="00DE30A4" w:rsidRPr="004870B7">
        <w:rPr>
          <w:sz w:val="22"/>
          <w:szCs w:val="22"/>
        </w:rPr>
        <w:t xml:space="preserve"> &gt; 1, </w:t>
      </w:r>
      <w:r w:rsidR="00DE30A4" w:rsidRPr="004870B7">
        <w:rPr>
          <w:i/>
          <w:sz w:val="22"/>
          <w:szCs w:val="22"/>
        </w:rPr>
        <w:t>SLQ</w:t>
      </w:r>
      <w:r w:rsidR="00DE30A4" w:rsidRPr="004870B7">
        <w:rPr>
          <w:i/>
          <w:sz w:val="22"/>
          <w:szCs w:val="22"/>
          <w:vertAlign w:val="subscript"/>
        </w:rPr>
        <w:t>i</w:t>
      </w:r>
      <w:r w:rsidR="00DE30A4" w:rsidRPr="004870B7">
        <w:rPr>
          <w:sz w:val="22"/>
          <w:szCs w:val="22"/>
        </w:rPr>
        <w:t xml:space="preserve">, </w:t>
      </w:r>
      <w:r w:rsidR="004870B7" w:rsidRPr="00E45311">
        <w:rPr>
          <w:i/>
          <w:color w:val="000000"/>
          <w:sz w:val="22"/>
          <w:szCs w:val="22"/>
        </w:rPr>
        <w:t>δ</w:t>
      </w:r>
      <w:r w:rsidR="004870B7">
        <w:rPr>
          <w:color w:val="000000"/>
          <w:sz w:val="22"/>
          <w:szCs w:val="22"/>
        </w:rPr>
        <w:t xml:space="preserve"> and regional size,</w:t>
      </w:r>
      <w:r w:rsidR="00A77A72">
        <w:rPr>
          <w:color w:val="000000"/>
          <w:sz w:val="22"/>
          <w:szCs w:val="22"/>
        </w:rPr>
        <w:t xml:space="preserve"> </w:t>
      </w:r>
      <w:r w:rsidR="00A77A72" w:rsidRPr="00A77A72">
        <w:rPr>
          <w:i/>
          <w:color w:val="000000"/>
          <w:sz w:val="22"/>
          <w:szCs w:val="22"/>
        </w:rPr>
        <w:t>A</w:t>
      </w:r>
      <w:r w:rsidR="00A77A72" w:rsidRPr="00A77A72">
        <w:rPr>
          <w:i/>
          <w:sz w:val="22"/>
          <w:szCs w:val="22"/>
        </w:rPr>
        <w:t>FLQ</w:t>
      </w:r>
      <w:r w:rsidR="00A77A72" w:rsidRPr="00A77A72">
        <w:rPr>
          <w:i/>
          <w:sz w:val="22"/>
          <w:szCs w:val="22"/>
          <w:vertAlign w:val="subscript"/>
        </w:rPr>
        <w:t>ij</w:t>
      </w:r>
      <w:r w:rsidR="00A77A72" w:rsidRPr="00A77A72">
        <w:rPr>
          <w:sz w:val="22"/>
          <w:szCs w:val="22"/>
        </w:rPr>
        <w:t xml:space="preserve"> &gt; </w:t>
      </w:r>
      <w:r w:rsidR="00A77A72" w:rsidRPr="00A77A72">
        <w:rPr>
          <w:i/>
          <w:sz w:val="22"/>
          <w:szCs w:val="22"/>
        </w:rPr>
        <w:t>FLQ</w:t>
      </w:r>
      <w:r w:rsidR="00A77A72" w:rsidRPr="00A77A72">
        <w:rPr>
          <w:i/>
          <w:sz w:val="22"/>
          <w:szCs w:val="22"/>
          <w:vertAlign w:val="subscript"/>
        </w:rPr>
        <w:t>ij</w:t>
      </w:r>
      <w:r w:rsidR="00A77A72" w:rsidRPr="00A77A72">
        <w:rPr>
          <w:sz w:val="22"/>
          <w:szCs w:val="22"/>
        </w:rPr>
        <w:t>.  Therefore,</w:t>
      </w:r>
      <w:r w:rsidR="004870B7">
        <w:rPr>
          <w:color w:val="000000"/>
          <w:sz w:val="22"/>
          <w:szCs w:val="22"/>
        </w:rPr>
        <w:t xml:space="preserve"> </w:t>
      </w:r>
      <w:r w:rsidR="00A77A72">
        <w:rPr>
          <w:color w:val="000000"/>
          <w:sz w:val="22"/>
          <w:szCs w:val="22"/>
        </w:rPr>
        <w:t xml:space="preserve">a larger </w:t>
      </w:r>
      <w:r w:rsidR="00A77A72" w:rsidRPr="00E45311">
        <w:rPr>
          <w:i/>
          <w:color w:val="000000"/>
          <w:sz w:val="22"/>
          <w:szCs w:val="22"/>
        </w:rPr>
        <w:t>δ</w:t>
      </w:r>
      <w:r w:rsidR="00A77A72">
        <w:rPr>
          <w:color w:val="000000"/>
          <w:sz w:val="22"/>
          <w:szCs w:val="22"/>
        </w:rPr>
        <w:t xml:space="preserve"> is required to achieve the same adjustment for regional imports as before.</w:t>
      </w:r>
    </w:p>
    <w:p w:rsidR="0004683F" w:rsidRDefault="005A2481" w:rsidP="0004683F">
      <w:pPr>
        <w:widowControl w:val="0"/>
        <w:tabs>
          <w:tab w:val="left" w:pos="426"/>
        </w:tabs>
        <w:spacing w:line="360" w:lineRule="auto"/>
        <w:ind w:left="425" w:hanging="425"/>
        <w:rPr>
          <w:spacing w:val="-2"/>
          <w:sz w:val="22"/>
          <w:szCs w:val="22"/>
        </w:rPr>
      </w:pPr>
      <w:r>
        <w:rPr>
          <w:sz w:val="22"/>
          <w:szCs w:val="22"/>
        </w:rPr>
        <w:t>1</w:t>
      </w:r>
      <w:r w:rsidR="00AC24C4">
        <w:rPr>
          <w:sz w:val="22"/>
          <w:szCs w:val="22"/>
        </w:rPr>
        <w:t>5</w:t>
      </w:r>
      <w:r w:rsidR="0004683F">
        <w:rPr>
          <w:sz w:val="22"/>
          <w:szCs w:val="22"/>
        </w:rPr>
        <w:t>.</w:t>
      </w:r>
      <w:r w:rsidR="0004683F">
        <w:rPr>
          <w:sz w:val="22"/>
          <w:szCs w:val="22"/>
        </w:rPr>
        <w:tab/>
      </w:r>
      <w:r w:rsidR="0004683F">
        <w:rPr>
          <w:spacing w:val="-2"/>
          <w:sz w:val="22"/>
          <w:szCs w:val="22"/>
        </w:rPr>
        <w:t xml:space="preserve">A demerit of the MPE, in the context of coefficients, is that it is inflated in cases where </w:t>
      </w:r>
      <w:r w:rsidR="0004683F">
        <w:rPr>
          <w:i/>
          <w:spacing w:val="-2"/>
          <w:sz w:val="22"/>
          <w:szCs w:val="22"/>
        </w:rPr>
        <w:t>r</w:t>
      </w:r>
      <w:r w:rsidR="0004683F">
        <w:rPr>
          <w:i/>
          <w:spacing w:val="-2"/>
          <w:sz w:val="22"/>
          <w:szCs w:val="22"/>
          <w:vertAlign w:val="subscript"/>
        </w:rPr>
        <w:t>ij</w:t>
      </w:r>
      <w:r w:rsidR="0004683F">
        <w:rPr>
          <w:spacing w:val="-2"/>
          <w:sz w:val="22"/>
          <w:szCs w:val="22"/>
        </w:rPr>
        <w:t xml:space="preserve"> is close to zero.  Hence results for this measure are not displayed in Table </w:t>
      </w:r>
      <w:r w:rsidR="00D15AC8">
        <w:rPr>
          <w:spacing w:val="-2"/>
          <w:sz w:val="22"/>
          <w:szCs w:val="22"/>
        </w:rPr>
        <w:t>2</w:t>
      </w:r>
      <w:r w:rsidR="0004683F">
        <w:rPr>
          <w:spacing w:val="-2"/>
          <w:sz w:val="22"/>
          <w:szCs w:val="22"/>
        </w:rPr>
        <w:t>.</w:t>
      </w:r>
    </w:p>
    <w:p w:rsidR="0060223D" w:rsidRDefault="00AF0028" w:rsidP="0004683F">
      <w:pPr>
        <w:widowControl w:val="0"/>
        <w:tabs>
          <w:tab w:val="left" w:pos="426"/>
        </w:tabs>
        <w:spacing w:line="360" w:lineRule="auto"/>
        <w:ind w:left="425" w:hanging="425"/>
        <w:rPr>
          <w:spacing w:val="-2"/>
          <w:sz w:val="22"/>
          <w:szCs w:val="22"/>
        </w:rPr>
      </w:pPr>
      <w:r>
        <w:rPr>
          <w:spacing w:val="-2"/>
          <w:sz w:val="22"/>
          <w:szCs w:val="22"/>
        </w:rPr>
        <w:t>1</w:t>
      </w:r>
      <w:r w:rsidR="00DD4D9F">
        <w:rPr>
          <w:spacing w:val="-2"/>
          <w:sz w:val="22"/>
          <w:szCs w:val="22"/>
        </w:rPr>
        <w:t>6</w:t>
      </w:r>
      <w:r w:rsidR="0060223D">
        <w:rPr>
          <w:spacing w:val="-2"/>
          <w:sz w:val="22"/>
          <w:szCs w:val="22"/>
        </w:rPr>
        <w:t>.</w:t>
      </w:r>
      <w:r w:rsidR="0060223D">
        <w:rPr>
          <w:spacing w:val="-2"/>
          <w:sz w:val="22"/>
          <w:szCs w:val="22"/>
        </w:rPr>
        <w:tab/>
      </w:r>
      <w:r w:rsidR="0080461C" w:rsidRPr="007B56BB">
        <w:rPr>
          <w:sz w:val="22"/>
          <w:szCs w:val="22"/>
        </w:rPr>
        <w:t>See Miller and Blair (2009, pp. 324</w:t>
      </w:r>
      <w:r w:rsidR="0080461C" w:rsidRPr="007B56BB">
        <w:rPr>
          <w:sz w:val="22"/>
          <w:szCs w:val="22"/>
        </w:rPr>
        <w:sym w:font="Symbol" w:char="F02D"/>
      </w:r>
      <w:r w:rsidR="0080461C" w:rsidRPr="007B56BB">
        <w:rPr>
          <w:sz w:val="22"/>
          <w:szCs w:val="22"/>
        </w:rPr>
        <w:t>327) for a numerical example.  The detailed results of Sawyer and Miller (1983) provide a very clear illustration of the point that errors in coefficients are likely to be far greater than those in multipliers.</w:t>
      </w:r>
    </w:p>
    <w:p w:rsidR="0060223D" w:rsidRPr="003B1C78" w:rsidRDefault="00AF0028" w:rsidP="0004683F">
      <w:pPr>
        <w:widowControl w:val="0"/>
        <w:tabs>
          <w:tab w:val="left" w:pos="426"/>
        </w:tabs>
        <w:spacing w:line="360" w:lineRule="auto"/>
        <w:ind w:left="425" w:hanging="425"/>
        <w:rPr>
          <w:spacing w:val="-2"/>
          <w:sz w:val="22"/>
          <w:szCs w:val="22"/>
        </w:rPr>
      </w:pPr>
      <w:r>
        <w:rPr>
          <w:spacing w:val="-2"/>
          <w:sz w:val="22"/>
          <w:szCs w:val="22"/>
        </w:rPr>
        <w:t>1</w:t>
      </w:r>
      <w:r w:rsidR="00DD4D9F">
        <w:rPr>
          <w:spacing w:val="-2"/>
          <w:sz w:val="22"/>
          <w:szCs w:val="22"/>
        </w:rPr>
        <w:t>7</w:t>
      </w:r>
      <w:r w:rsidR="0060223D">
        <w:rPr>
          <w:spacing w:val="-2"/>
          <w:sz w:val="22"/>
          <w:szCs w:val="22"/>
        </w:rPr>
        <w:t>.</w:t>
      </w:r>
      <w:r w:rsidR="0060223D">
        <w:rPr>
          <w:spacing w:val="-2"/>
          <w:sz w:val="22"/>
          <w:szCs w:val="22"/>
        </w:rPr>
        <w:tab/>
      </w:r>
      <w:r w:rsidR="003B1C78" w:rsidRPr="003B1C78">
        <w:rPr>
          <w:sz w:val="22"/>
          <w:szCs w:val="22"/>
        </w:rPr>
        <w:t>For instance, Bonfiglio and Chelli (2008, p. 248) generated their regional input and import coefficients randomly in the interval 0 to 1, yet that range does not represent a realistic representation of a real regional table, where input coefficients tend to be small, except for those along the principal diagonal.</w:t>
      </w:r>
    </w:p>
    <w:p w:rsidR="0060223D" w:rsidRPr="003B1C78" w:rsidRDefault="0060223D" w:rsidP="0004683F">
      <w:pPr>
        <w:widowControl w:val="0"/>
        <w:tabs>
          <w:tab w:val="left" w:pos="426"/>
        </w:tabs>
        <w:spacing w:line="360" w:lineRule="auto"/>
        <w:ind w:left="425" w:hanging="425"/>
        <w:rPr>
          <w:spacing w:val="-2"/>
          <w:sz w:val="22"/>
          <w:szCs w:val="22"/>
        </w:rPr>
      </w:pPr>
      <w:r w:rsidRPr="003B1C78">
        <w:rPr>
          <w:spacing w:val="-2"/>
          <w:sz w:val="22"/>
          <w:szCs w:val="22"/>
        </w:rPr>
        <w:t>1</w:t>
      </w:r>
      <w:r w:rsidR="00DD4D9F">
        <w:rPr>
          <w:spacing w:val="-2"/>
          <w:sz w:val="22"/>
          <w:szCs w:val="22"/>
        </w:rPr>
        <w:t>8</w:t>
      </w:r>
      <w:r w:rsidRPr="003B1C78">
        <w:rPr>
          <w:spacing w:val="-2"/>
          <w:sz w:val="22"/>
          <w:szCs w:val="22"/>
        </w:rPr>
        <w:t>.</w:t>
      </w:r>
      <w:r w:rsidRPr="003B1C78">
        <w:rPr>
          <w:spacing w:val="-2"/>
          <w:sz w:val="22"/>
          <w:szCs w:val="22"/>
        </w:rPr>
        <w:tab/>
      </w:r>
      <w:r w:rsidR="003B1C78" w:rsidRPr="003B1C78">
        <w:rPr>
          <w:sz w:val="22"/>
          <w:szCs w:val="22"/>
        </w:rPr>
        <w:t xml:space="preserve">See Flegg and Tohmo (2013a, table 4).  The FLQ with </w:t>
      </w:r>
      <w:r w:rsidR="003B1C78" w:rsidRPr="003B1C78">
        <w:rPr>
          <w:i/>
          <w:color w:val="000000"/>
          <w:sz w:val="22"/>
          <w:szCs w:val="22"/>
        </w:rPr>
        <w:t>δ</w:t>
      </w:r>
      <w:r w:rsidR="003B1C78" w:rsidRPr="003B1C78">
        <w:rPr>
          <w:color w:val="000000"/>
          <w:sz w:val="22"/>
          <w:szCs w:val="22"/>
        </w:rPr>
        <w:t xml:space="preserve"> = 0</w:t>
      </w:r>
      <w:r w:rsidR="003B1C78" w:rsidRPr="003B1C78">
        <w:rPr>
          <w:sz w:val="22"/>
          <w:szCs w:val="22"/>
        </w:rPr>
        <w:t xml:space="preserve"> </w:t>
      </w:r>
      <w:r w:rsidR="003B1C78" w:rsidRPr="003B1C78">
        <w:rPr>
          <w:color w:val="000000"/>
          <w:sz w:val="22"/>
          <w:szCs w:val="22"/>
        </w:rPr>
        <w:t>is equivalent to the CILQ with the SLQ along the principal diagonal of the adjustment matrix.</w:t>
      </w:r>
    </w:p>
    <w:p w:rsidR="00D11B5B" w:rsidRPr="003B1C78" w:rsidRDefault="00AF0028" w:rsidP="0004683F">
      <w:pPr>
        <w:widowControl w:val="0"/>
        <w:tabs>
          <w:tab w:val="left" w:pos="426"/>
        </w:tabs>
        <w:spacing w:line="360" w:lineRule="auto"/>
        <w:ind w:left="425" w:hanging="425"/>
        <w:rPr>
          <w:spacing w:val="-2"/>
          <w:sz w:val="22"/>
          <w:szCs w:val="22"/>
        </w:rPr>
      </w:pPr>
      <w:r>
        <w:rPr>
          <w:spacing w:val="-2"/>
          <w:sz w:val="22"/>
          <w:szCs w:val="22"/>
        </w:rPr>
        <w:t>1</w:t>
      </w:r>
      <w:r w:rsidR="00DD4D9F">
        <w:rPr>
          <w:spacing w:val="-2"/>
          <w:sz w:val="22"/>
          <w:szCs w:val="22"/>
        </w:rPr>
        <w:t>9</w:t>
      </w:r>
      <w:r w:rsidR="00D11B5B" w:rsidRPr="003B1C78">
        <w:rPr>
          <w:spacing w:val="-2"/>
          <w:sz w:val="22"/>
          <w:szCs w:val="22"/>
        </w:rPr>
        <w:t>.</w:t>
      </w:r>
      <w:r w:rsidR="00D11B5B" w:rsidRPr="003B1C78">
        <w:rPr>
          <w:spacing w:val="-2"/>
          <w:sz w:val="22"/>
          <w:szCs w:val="22"/>
        </w:rPr>
        <w:tab/>
      </w:r>
      <w:proofErr w:type="gramStart"/>
      <w:r w:rsidR="003B1C78" w:rsidRPr="003B1C78">
        <w:rPr>
          <w:sz w:val="22"/>
          <w:szCs w:val="22"/>
        </w:rPr>
        <w:t>For</w:t>
      </w:r>
      <w:proofErr w:type="gramEnd"/>
      <w:r w:rsidR="003B1C78" w:rsidRPr="003B1C78">
        <w:rPr>
          <w:sz w:val="22"/>
          <w:szCs w:val="22"/>
        </w:rPr>
        <w:t xml:space="preserve"> example, Bonfiglio (2009, table 5) shows that the Marche region accounted for 2.7% of total Italian employment and 2.6% of intermediate costs in 1974.</w:t>
      </w:r>
    </w:p>
    <w:p w:rsidR="007B56BB" w:rsidRDefault="00DD4D9F" w:rsidP="0004683F">
      <w:pPr>
        <w:widowControl w:val="0"/>
        <w:tabs>
          <w:tab w:val="left" w:pos="426"/>
        </w:tabs>
        <w:spacing w:line="360" w:lineRule="auto"/>
        <w:ind w:left="425" w:hanging="425"/>
        <w:rPr>
          <w:sz w:val="22"/>
          <w:szCs w:val="22"/>
        </w:rPr>
      </w:pPr>
      <w:r>
        <w:rPr>
          <w:spacing w:val="-2"/>
          <w:sz w:val="22"/>
          <w:szCs w:val="22"/>
        </w:rPr>
        <w:lastRenderedPageBreak/>
        <w:t>20</w:t>
      </w:r>
      <w:r w:rsidR="007B56BB" w:rsidRPr="003B1C78">
        <w:rPr>
          <w:spacing w:val="-2"/>
          <w:sz w:val="22"/>
          <w:szCs w:val="22"/>
        </w:rPr>
        <w:t>.</w:t>
      </w:r>
      <w:r w:rsidR="007B56BB" w:rsidRPr="003B1C78">
        <w:rPr>
          <w:spacing w:val="-2"/>
          <w:sz w:val="22"/>
          <w:szCs w:val="22"/>
        </w:rPr>
        <w:tab/>
      </w:r>
      <w:r w:rsidR="003B1C78" w:rsidRPr="003B1C78">
        <w:rPr>
          <w:sz w:val="22"/>
          <w:szCs w:val="22"/>
        </w:rPr>
        <w:t>Furthermore, in an analysis (as yet unpublished) of survey-based data for six Korean regions, we found that the regression generated sensible results, again consistent with a positive relationship.</w:t>
      </w:r>
    </w:p>
    <w:p w:rsidR="000D202D" w:rsidRPr="00224688" w:rsidRDefault="000D202D" w:rsidP="0004683F">
      <w:pPr>
        <w:widowControl w:val="0"/>
        <w:tabs>
          <w:tab w:val="left" w:pos="426"/>
        </w:tabs>
        <w:spacing w:line="360" w:lineRule="auto"/>
        <w:ind w:left="425" w:hanging="425"/>
        <w:rPr>
          <w:sz w:val="22"/>
          <w:szCs w:val="22"/>
        </w:rPr>
      </w:pPr>
      <w:r>
        <w:rPr>
          <w:sz w:val="22"/>
          <w:szCs w:val="22"/>
        </w:rPr>
        <w:t>2</w:t>
      </w:r>
      <w:r w:rsidR="00DD4D9F">
        <w:rPr>
          <w:sz w:val="22"/>
          <w:szCs w:val="22"/>
        </w:rPr>
        <w:t>1</w:t>
      </w:r>
      <w:r>
        <w:rPr>
          <w:sz w:val="22"/>
          <w:szCs w:val="22"/>
        </w:rPr>
        <w:t>.</w:t>
      </w:r>
      <w:r>
        <w:rPr>
          <w:sz w:val="22"/>
          <w:szCs w:val="22"/>
        </w:rPr>
        <w:tab/>
      </w:r>
      <w:r w:rsidRPr="007B56BB">
        <w:rPr>
          <w:sz w:val="22"/>
          <w:szCs w:val="22"/>
        </w:rPr>
        <w:t>Sawyer and Miller (1983</w:t>
      </w:r>
      <w:r w:rsidR="00224688">
        <w:rPr>
          <w:sz w:val="22"/>
          <w:szCs w:val="22"/>
        </w:rPr>
        <w:t>, p. 1509</w:t>
      </w:r>
      <w:r w:rsidRPr="007B56BB">
        <w:rPr>
          <w:sz w:val="22"/>
          <w:szCs w:val="22"/>
        </w:rPr>
        <w:t>)</w:t>
      </w:r>
      <w:r>
        <w:rPr>
          <w:sz w:val="22"/>
          <w:szCs w:val="22"/>
        </w:rPr>
        <w:t xml:space="preserve"> </w:t>
      </w:r>
      <w:r w:rsidR="00224688">
        <w:rPr>
          <w:sz w:val="22"/>
          <w:szCs w:val="22"/>
        </w:rPr>
        <w:t xml:space="preserve">report </w:t>
      </w:r>
      <w:r>
        <w:rPr>
          <w:sz w:val="22"/>
          <w:szCs w:val="22"/>
        </w:rPr>
        <w:t xml:space="preserve">that </w:t>
      </w:r>
      <w:r w:rsidR="00224688">
        <w:rPr>
          <w:sz w:val="22"/>
          <w:szCs w:val="22"/>
        </w:rPr>
        <w:t>‘</w:t>
      </w:r>
      <w:r>
        <w:rPr>
          <w:sz w:val="22"/>
          <w:szCs w:val="22"/>
        </w:rPr>
        <w:t xml:space="preserve">adjustment </w:t>
      </w:r>
      <w:r w:rsidR="00224688">
        <w:rPr>
          <w:sz w:val="22"/>
          <w:szCs w:val="22"/>
        </w:rPr>
        <w:t>of</w:t>
      </w:r>
      <w:r>
        <w:rPr>
          <w:sz w:val="22"/>
          <w:szCs w:val="22"/>
        </w:rPr>
        <w:t xml:space="preserve"> SLQ </w:t>
      </w:r>
      <w:r w:rsidR="00224688">
        <w:rPr>
          <w:sz w:val="22"/>
          <w:szCs w:val="22"/>
        </w:rPr>
        <w:t>coefficients to reflect the regional ‘fabrication effect’ provides substantially improved estimates of the survey-based coefficients’</w:t>
      </w:r>
      <w:r>
        <w:rPr>
          <w:sz w:val="22"/>
          <w:szCs w:val="22"/>
        </w:rPr>
        <w:t>.</w:t>
      </w:r>
      <w:r w:rsidR="00224688">
        <w:rPr>
          <w:sz w:val="22"/>
          <w:szCs w:val="22"/>
        </w:rPr>
        <w:t xml:space="preserve">  However, unlike the procedure adopted here, their adjustments were applied after regionalization (</w:t>
      </w:r>
      <w:r w:rsidR="00224688">
        <w:rPr>
          <w:i/>
          <w:sz w:val="22"/>
          <w:szCs w:val="22"/>
        </w:rPr>
        <w:t xml:space="preserve">ibid., </w:t>
      </w:r>
      <w:r w:rsidR="00224688">
        <w:rPr>
          <w:sz w:val="22"/>
          <w:szCs w:val="22"/>
        </w:rPr>
        <w:t>p. 1507).</w:t>
      </w:r>
    </w:p>
    <w:p w:rsidR="00A443B0" w:rsidRDefault="00AD53FA" w:rsidP="0004683F">
      <w:pPr>
        <w:widowControl w:val="0"/>
        <w:tabs>
          <w:tab w:val="left" w:pos="426"/>
        </w:tabs>
        <w:spacing w:line="360" w:lineRule="auto"/>
        <w:ind w:left="425" w:hanging="425"/>
        <w:rPr>
          <w:sz w:val="22"/>
          <w:szCs w:val="22"/>
        </w:rPr>
      </w:pPr>
      <w:r>
        <w:rPr>
          <w:sz w:val="22"/>
          <w:szCs w:val="22"/>
        </w:rPr>
        <w:t>2</w:t>
      </w:r>
      <w:r w:rsidR="00DD4D9F">
        <w:rPr>
          <w:sz w:val="22"/>
          <w:szCs w:val="22"/>
        </w:rPr>
        <w:t>2</w:t>
      </w:r>
      <w:r w:rsidR="00A443B0">
        <w:rPr>
          <w:sz w:val="22"/>
          <w:szCs w:val="22"/>
        </w:rPr>
        <w:t>.</w:t>
      </w:r>
      <w:r w:rsidR="00A443B0">
        <w:rPr>
          <w:sz w:val="22"/>
          <w:szCs w:val="22"/>
        </w:rPr>
        <w:tab/>
        <w:t>For more discussion of the hybrid approach, see Jackson (1998) and Lahr (1993, 2001).</w:t>
      </w:r>
    </w:p>
    <w:p w:rsidR="0004683F" w:rsidRPr="000D202D" w:rsidRDefault="0004683F" w:rsidP="0004683F">
      <w:pPr>
        <w:widowControl w:val="0"/>
        <w:ind w:firstLine="0"/>
        <w:rPr>
          <w:sz w:val="22"/>
          <w:szCs w:val="22"/>
          <w:lang w:val="en-US"/>
        </w:rPr>
      </w:pPr>
    </w:p>
    <w:p w:rsidR="008B0E17" w:rsidRPr="00AD1157" w:rsidRDefault="008B0E17">
      <w:pPr>
        <w:spacing w:after="0"/>
        <w:ind w:firstLine="0"/>
        <w:jc w:val="left"/>
        <w:rPr>
          <w:lang w:val="en-US"/>
        </w:rPr>
      </w:pPr>
      <w:r>
        <w:rPr>
          <w:b/>
          <w:i/>
          <w:lang w:val="en-US"/>
        </w:rPr>
        <w:br w:type="page"/>
      </w:r>
    </w:p>
    <w:p w:rsidR="0004683F" w:rsidRPr="00D6793C" w:rsidRDefault="0004683F" w:rsidP="0004683F">
      <w:pPr>
        <w:widowControl w:val="0"/>
        <w:spacing w:line="360" w:lineRule="auto"/>
        <w:ind w:firstLine="0"/>
        <w:rPr>
          <w:lang w:val="en-US"/>
        </w:rPr>
      </w:pPr>
      <w:r w:rsidRPr="0093342E">
        <w:rPr>
          <w:b/>
          <w:i/>
          <w:lang w:val="en-US"/>
        </w:rPr>
        <w:lastRenderedPageBreak/>
        <w:t>References</w:t>
      </w:r>
    </w:p>
    <w:p w:rsidR="008357D7" w:rsidRPr="008357D7" w:rsidRDefault="008357D7" w:rsidP="00AA28C5">
      <w:pPr>
        <w:spacing w:line="360" w:lineRule="auto"/>
        <w:ind w:left="284" w:hanging="284"/>
        <w:rPr>
          <w:sz w:val="22"/>
          <w:szCs w:val="22"/>
        </w:rPr>
      </w:pPr>
      <w:r w:rsidRPr="008357D7">
        <w:rPr>
          <w:sz w:val="22"/>
          <w:szCs w:val="22"/>
        </w:rPr>
        <w:t>Bonfiglio</w:t>
      </w:r>
      <w:r>
        <w:rPr>
          <w:sz w:val="22"/>
          <w:szCs w:val="22"/>
        </w:rPr>
        <w:t>,</w:t>
      </w:r>
      <w:r w:rsidRPr="008357D7">
        <w:rPr>
          <w:sz w:val="22"/>
          <w:szCs w:val="22"/>
        </w:rPr>
        <w:t xml:space="preserve"> A. (2009) On the </w:t>
      </w:r>
      <w:r>
        <w:rPr>
          <w:sz w:val="22"/>
          <w:szCs w:val="22"/>
        </w:rPr>
        <w:t>P</w:t>
      </w:r>
      <w:r w:rsidRPr="008357D7">
        <w:rPr>
          <w:sz w:val="22"/>
          <w:szCs w:val="22"/>
        </w:rPr>
        <w:t xml:space="preserve">arameterization of </w:t>
      </w:r>
      <w:r>
        <w:rPr>
          <w:sz w:val="22"/>
          <w:szCs w:val="22"/>
        </w:rPr>
        <w:t>T</w:t>
      </w:r>
      <w:r w:rsidRPr="008357D7">
        <w:rPr>
          <w:sz w:val="22"/>
          <w:szCs w:val="22"/>
        </w:rPr>
        <w:t xml:space="preserve">echniques for </w:t>
      </w:r>
      <w:r>
        <w:rPr>
          <w:sz w:val="22"/>
          <w:szCs w:val="22"/>
        </w:rPr>
        <w:t>R</w:t>
      </w:r>
      <w:r w:rsidRPr="008357D7">
        <w:rPr>
          <w:sz w:val="22"/>
          <w:szCs w:val="22"/>
        </w:rPr>
        <w:t xml:space="preserve">epresenting </w:t>
      </w:r>
      <w:r>
        <w:rPr>
          <w:sz w:val="22"/>
          <w:szCs w:val="22"/>
        </w:rPr>
        <w:t>R</w:t>
      </w:r>
      <w:r w:rsidRPr="008357D7">
        <w:rPr>
          <w:sz w:val="22"/>
          <w:szCs w:val="22"/>
        </w:rPr>
        <w:t xml:space="preserve">egional </w:t>
      </w:r>
      <w:r>
        <w:rPr>
          <w:sz w:val="22"/>
          <w:szCs w:val="22"/>
        </w:rPr>
        <w:t>E</w:t>
      </w:r>
      <w:r w:rsidRPr="008357D7">
        <w:rPr>
          <w:sz w:val="22"/>
          <w:szCs w:val="22"/>
        </w:rPr>
        <w:t xml:space="preserve">conomic </w:t>
      </w:r>
      <w:r>
        <w:rPr>
          <w:sz w:val="22"/>
          <w:szCs w:val="22"/>
        </w:rPr>
        <w:t>S</w:t>
      </w:r>
      <w:r w:rsidRPr="008357D7">
        <w:rPr>
          <w:sz w:val="22"/>
          <w:szCs w:val="22"/>
        </w:rPr>
        <w:t>tructures</w:t>
      </w:r>
      <w:r w:rsidR="009F762B">
        <w:rPr>
          <w:sz w:val="22"/>
          <w:szCs w:val="22"/>
        </w:rPr>
        <w:t>.</w:t>
      </w:r>
      <w:r w:rsidRPr="008357D7">
        <w:rPr>
          <w:sz w:val="22"/>
          <w:szCs w:val="22"/>
        </w:rPr>
        <w:t xml:space="preserve"> </w:t>
      </w:r>
      <w:r w:rsidRPr="008357D7">
        <w:rPr>
          <w:i/>
          <w:sz w:val="22"/>
          <w:szCs w:val="22"/>
        </w:rPr>
        <w:t>Economic Systems Research</w:t>
      </w:r>
      <w:r>
        <w:rPr>
          <w:sz w:val="22"/>
          <w:szCs w:val="22"/>
        </w:rPr>
        <w:t>,</w:t>
      </w:r>
      <w:r w:rsidRPr="008357D7">
        <w:rPr>
          <w:i/>
          <w:sz w:val="22"/>
          <w:szCs w:val="22"/>
        </w:rPr>
        <w:t xml:space="preserve"> </w:t>
      </w:r>
      <w:r w:rsidRPr="008357D7">
        <w:rPr>
          <w:sz w:val="22"/>
          <w:szCs w:val="22"/>
        </w:rPr>
        <w:t>21, 115</w:t>
      </w:r>
      <w:r w:rsidRPr="008357D7">
        <w:rPr>
          <w:sz w:val="22"/>
          <w:szCs w:val="22"/>
        </w:rPr>
        <w:sym w:font="Symbol" w:char="F02D"/>
      </w:r>
      <w:r w:rsidRPr="008357D7">
        <w:rPr>
          <w:sz w:val="22"/>
          <w:szCs w:val="22"/>
        </w:rPr>
        <w:t>127.</w:t>
      </w:r>
    </w:p>
    <w:p w:rsidR="008357D7" w:rsidRDefault="008357D7" w:rsidP="00AA28C5">
      <w:pPr>
        <w:widowControl w:val="0"/>
        <w:spacing w:line="360" w:lineRule="auto"/>
        <w:ind w:left="284" w:hanging="284"/>
        <w:rPr>
          <w:sz w:val="22"/>
          <w:szCs w:val="22"/>
        </w:rPr>
      </w:pPr>
      <w:r w:rsidRPr="008357D7">
        <w:rPr>
          <w:sz w:val="22"/>
          <w:szCs w:val="22"/>
        </w:rPr>
        <w:t>Bonfiglio</w:t>
      </w:r>
      <w:r>
        <w:rPr>
          <w:sz w:val="22"/>
          <w:szCs w:val="22"/>
        </w:rPr>
        <w:t>,</w:t>
      </w:r>
      <w:r w:rsidRPr="008357D7">
        <w:rPr>
          <w:sz w:val="22"/>
          <w:szCs w:val="22"/>
        </w:rPr>
        <w:t xml:space="preserve"> A. and </w:t>
      </w:r>
      <w:r>
        <w:rPr>
          <w:sz w:val="22"/>
          <w:szCs w:val="22"/>
        </w:rPr>
        <w:t xml:space="preserve">F. </w:t>
      </w:r>
      <w:r w:rsidRPr="008357D7">
        <w:rPr>
          <w:sz w:val="22"/>
          <w:szCs w:val="22"/>
        </w:rPr>
        <w:t xml:space="preserve">Chelli (2008) Assessing the </w:t>
      </w:r>
      <w:r>
        <w:rPr>
          <w:sz w:val="22"/>
          <w:szCs w:val="22"/>
        </w:rPr>
        <w:t>B</w:t>
      </w:r>
      <w:r w:rsidRPr="008357D7">
        <w:rPr>
          <w:sz w:val="22"/>
          <w:szCs w:val="22"/>
        </w:rPr>
        <w:t xml:space="preserve">ehaviour of </w:t>
      </w:r>
      <w:r>
        <w:rPr>
          <w:sz w:val="22"/>
          <w:szCs w:val="22"/>
        </w:rPr>
        <w:t>N</w:t>
      </w:r>
      <w:r w:rsidRPr="008357D7">
        <w:rPr>
          <w:sz w:val="22"/>
          <w:szCs w:val="22"/>
        </w:rPr>
        <w:t>on-</w:t>
      </w:r>
      <w:r>
        <w:rPr>
          <w:sz w:val="22"/>
          <w:szCs w:val="22"/>
        </w:rPr>
        <w:t>S</w:t>
      </w:r>
      <w:r w:rsidRPr="008357D7">
        <w:rPr>
          <w:sz w:val="22"/>
          <w:szCs w:val="22"/>
        </w:rPr>
        <w:t xml:space="preserve">urvey </w:t>
      </w:r>
      <w:r>
        <w:rPr>
          <w:sz w:val="22"/>
          <w:szCs w:val="22"/>
        </w:rPr>
        <w:t>M</w:t>
      </w:r>
      <w:r w:rsidRPr="008357D7">
        <w:rPr>
          <w:sz w:val="22"/>
          <w:szCs w:val="22"/>
        </w:rPr>
        <w:t xml:space="preserve">ethods for </w:t>
      </w:r>
      <w:r>
        <w:rPr>
          <w:sz w:val="22"/>
          <w:szCs w:val="22"/>
        </w:rPr>
        <w:t>C</w:t>
      </w:r>
      <w:r w:rsidRPr="008357D7">
        <w:rPr>
          <w:sz w:val="22"/>
          <w:szCs w:val="22"/>
        </w:rPr>
        <w:t xml:space="preserve">onstructing </w:t>
      </w:r>
      <w:r>
        <w:rPr>
          <w:sz w:val="22"/>
          <w:szCs w:val="22"/>
        </w:rPr>
        <w:t>R</w:t>
      </w:r>
      <w:r w:rsidRPr="008357D7">
        <w:rPr>
          <w:sz w:val="22"/>
          <w:szCs w:val="22"/>
        </w:rPr>
        <w:t xml:space="preserve">egional </w:t>
      </w:r>
      <w:r>
        <w:rPr>
          <w:sz w:val="22"/>
          <w:szCs w:val="22"/>
        </w:rPr>
        <w:t>I</w:t>
      </w:r>
      <w:r w:rsidRPr="008357D7">
        <w:rPr>
          <w:sz w:val="22"/>
          <w:szCs w:val="22"/>
        </w:rPr>
        <w:t>nput</w:t>
      </w:r>
      <w:r w:rsidRPr="008357D7">
        <w:rPr>
          <w:sz w:val="22"/>
          <w:szCs w:val="22"/>
        </w:rPr>
        <w:sym w:font="Symbol" w:char="F02D"/>
      </w:r>
      <w:r>
        <w:rPr>
          <w:sz w:val="22"/>
          <w:szCs w:val="22"/>
        </w:rPr>
        <w:t>O</w:t>
      </w:r>
      <w:r w:rsidRPr="008357D7">
        <w:rPr>
          <w:sz w:val="22"/>
          <w:szCs w:val="22"/>
        </w:rPr>
        <w:t xml:space="preserve">utput </w:t>
      </w:r>
      <w:r>
        <w:rPr>
          <w:sz w:val="22"/>
          <w:szCs w:val="22"/>
        </w:rPr>
        <w:t>T</w:t>
      </w:r>
      <w:r w:rsidRPr="008357D7">
        <w:rPr>
          <w:sz w:val="22"/>
          <w:szCs w:val="22"/>
        </w:rPr>
        <w:t>ables through</w:t>
      </w:r>
      <w:r w:rsidR="0023317C">
        <w:rPr>
          <w:sz w:val="22"/>
          <w:szCs w:val="22"/>
        </w:rPr>
        <w:t xml:space="preserve"> a</w:t>
      </w:r>
      <w:r w:rsidRPr="008357D7">
        <w:rPr>
          <w:sz w:val="22"/>
          <w:szCs w:val="22"/>
        </w:rPr>
        <w:t xml:space="preserve"> Monte Carlo </w:t>
      </w:r>
      <w:r>
        <w:rPr>
          <w:sz w:val="22"/>
          <w:szCs w:val="22"/>
        </w:rPr>
        <w:t>S</w:t>
      </w:r>
      <w:r w:rsidRPr="008357D7">
        <w:rPr>
          <w:sz w:val="22"/>
          <w:szCs w:val="22"/>
        </w:rPr>
        <w:t>imulation</w:t>
      </w:r>
      <w:r w:rsidR="009F762B">
        <w:rPr>
          <w:sz w:val="22"/>
          <w:szCs w:val="22"/>
        </w:rPr>
        <w:t>.</w:t>
      </w:r>
      <w:r w:rsidRPr="008357D7">
        <w:rPr>
          <w:sz w:val="22"/>
          <w:szCs w:val="22"/>
        </w:rPr>
        <w:t xml:space="preserve"> </w:t>
      </w:r>
      <w:r w:rsidRPr="008357D7">
        <w:rPr>
          <w:i/>
          <w:sz w:val="22"/>
          <w:szCs w:val="22"/>
        </w:rPr>
        <w:t>Economic Systems Research</w:t>
      </w:r>
      <w:r>
        <w:rPr>
          <w:sz w:val="22"/>
          <w:szCs w:val="22"/>
        </w:rPr>
        <w:t>,</w:t>
      </w:r>
      <w:r w:rsidRPr="008357D7">
        <w:rPr>
          <w:i/>
          <w:sz w:val="22"/>
          <w:szCs w:val="22"/>
        </w:rPr>
        <w:t xml:space="preserve"> </w:t>
      </w:r>
      <w:r w:rsidRPr="008357D7">
        <w:rPr>
          <w:sz w:val="22"/>
          <w:szCs w:val="22"/>
        </w:rPr>
        <w:t>20, 243</w:t>
      </w:r>
      <w:r w:rsidRPr="008357D7">
        <w:rPr>
          <w:sz w:val="22"/>
          <w:szCs w:val="22"/>
        </w:rPr>
        <w:sym w:font="Symbol" w:char="F02D"/>
      </w:r>
      <w:r w:rsidRPr="008357D7">
        <w:rPr>
          <w:sz w:val="22"/>
          <w:szCs w:val="22"/>
        </w:rPr>
        <w:t>258.</w:t>
      </w:r>
    </w:p>
    <w:p w:rsidR="0053360D" w:rsidRDefault="0053360D" w:rsidP="00AA28C5">
      <w:pPr>
        <w:widowControl w:val="0"/>
        <w:spacing w:line="360" w:lineRule="auto"/>
        <w:ind w:left="284" w:hanging="284"/>
        <w:rPr>
          <w:sz w:val="22"/>
          <w:szCs w:val="22"/>
        </w:rPr>
      </w:pPr>
      <w:r w:rsidRPr="00443C5A">
        <w:rPr>
          <w:sz w:val="22"/>
          <w:szCs w:val="22"/>
          <w:lang w:val="en-US"/>
        </w:rPr>
        <w:t>Chisari,</w:t>
      </w:r>
      <w:r w:rsidR="009F762B" w:rsidRPr="00443C5A">
        <w:rPr>
          <w:sz w:val="22"/>
          <w:szCs w:val="22"/>
          <w:lang w:val="en-US"/>
        </w:rPr>
        <w:t xml:space="preserve"> O.</w:t>
      </w:r>
      <w:r w:rsidR="005265B4" w:rsidRPr="00443C5A">
        <w:rPr>
          <w:sz w:val="22"/>
          <w:szCs w:val="22"/>
          <w:lang w:val="en-US"/>
        </w:rPr>
        <w:t>O., C.A. Romero, G. Ferro et al.</w:t>
      </w:r>
      <w:r w:rsidRPr="00443C5A">
        <w:rPr>
          <w:sz w:val="22"/>
          <w:szCs w:val="22"/>
          <w:lang w:val="en-US"/>
        </w:rPr>
        <w:t xml:space="preserve"> (2009)</w:t>
      </w:r>
      <w:r w:rsidR="009F762B" w:rsidRPr="009F762B">
        <w:rPr>
          <w:sz w:val="20"/>
          <w:szCs w:val="20"/>
        </w:rPr>
        <w:t xml:space="preserve"> </w:t>
      </w:r>
      <w:r w:rsidR="009F762B" w:rsidRPr="009F762B">
        <w:rPr>
          <w:sz w:val="22"/>
          <w:szCs w:val="22"/>
        </w:rPr>
        <w:t xml:space="preserve">Un </w:t>
      </w:r>
      <w:r w:rsidR="009F762B">
        <w:rPr>
          <w:sz w:val="22"/>
          <w:szCs w:val="22"/>
        </w:rPr>
        <w:t>M</w:t>
      </w:r>
      <w:r w:rsidR="009F762B" w:rsidRPr="009F762B">
        <w:rPr>
          <w:sz w:val="22"/>
          <w:szCs w:val="22"/>
        </w:rPr>
        <w:t xml:space="preserve">odelo de </w:t>
      </w:r>
      <w:r w:rsidR="009F762B">
        <w:rPr>
          <w:sz w:val="22"/>
          <w:szCs w:val="22"/>
        </w:rPr>
        <w:t>E</w:t>
      </w:r>
      <w:r w:rsidR="009F762B" w:rsidRPr="009F762B">
        <w:rPr>
          <w:sz w:val="22"/>
          <w:szCs w:val="22"/>
        </w:rPr>
        <w:t xml:space="preserve">quilibrio </w:t>
      </w:r>
      <w:r w:rsidR="009F762B">
        <w:rPr>
          <w:sz w:val="22"/>
          <w:szCs w:val="22"/>
        </w:rPr>
        <w:t>G</w:t>
      </w:r>
      <w:r w:rsidR="009F762B" w:rsidRPr="009F762B">
        <w:rPr>
          <w:sz w:val="22"/>
          <w:szCs w:val="22"/>
        </w:rPr>
        <w:t xml:space="preserve">eneral </w:t>
      </w:r>
      <w:r w:rsidR="009F762B">
        <w:rPr>
          <w:sz w:val="22"/>
          <w:szCs w:val="22"/>
        </w:rPr>
        <w:t>C</w:t>
      </w:r>
      <w:r w:rsidR="009F762B" w:rsidRPr="009F762B">
        <w:rPr>
          <w:sz w:val="22"/>
          <w:szCs w:val="22"/>
        </w:rPr>
        <w:t>omputable para la Argentina</w:t>
      </w:r>
      <w:r w:rsidR="009F762B">
        <w:rPr>
          <w:sz w:val="22"/>
          <w:szCs w:val="22"/>
        </w:rPr>
        <w:t>.</w:t>
      </w:r>
      <w:r w:rsidR="009F762B" w:rsidRPr="009F762B">
        <w:rPr>
          <w:sz w:val="22"/>
          <w:szCs w:val="22"/>
        </w:rPr>
        <w:t xml:space="preserve"> </w:t>
      </w:r>
      <w:proofErr w:type="gramStart"/>
      <w:r w:rsidR="009F762B" w:rsidRPr="009F762B">
        <w:rPr>
          <w:sz w:val="22"/>
          <w:szCs w:val="22"/>
        </w:rPr>
        <w:t>P</w:t>
      </w:r>
      <w:r w:rsidR="005265B4">
        <w:rPr>
          <w:sz w:val="22"/>
          <w:szCs w:val="22"/>
        </w:rPr>
        <w:t xml:space="preserve">rograma de las </w:t>
      </w:r>
      <w:r w:rsidR="009F762B" w:rsidRPr="009F762B">
        <w:rPr>
          <w:sz w:val="22"/>
          <w:szCs w:val="22"/>
        </w:rPr>
        <w:t>N</w:t>
      </w:r>
      <w:r w:rsidR="005265B4">
        <w:rPr>
          <w:sz w:val="22"/>
          <w:szCs w:val="22"/>
        </w:rPr>
        <w:t xml:space="preserve">aciones </w:t>
      </w:r>
      <w:r w:rsidR="009F762B" w:rsidRPr="009F762B">
        <w:rPr>
          <w:sz w:val="22"/>
          <w:szCs w:val="22"/>
        </w:rPr>
        <w:t>U</w:t>
      </w:r>
      <w:r w:rsidR="005265B4">
        <w:rPr>
          <w:sz w:val="22"/>
          <w:szCs w:val="22"/>
        </w:rPr>
        <w:t xml:space="preserve">nidas para el Desarrollo </w:t>
      </w:r>
      <w:r w:rsidR="005265B4" w:rsidRPr="008357D7">
        <w:rPr>
          <w:sz w:val="22"/>
          <w:szCs w:val="22"/>
        </w:rPr>
        <w:sym w:font="Symbol" w:char="F02D"/>
      </w:r>
      <w:r w:rsidR="005265B4">
        <w:rPr>
          <w:sz w:val="22"/>
          <w:szCs w:val="22"/>
        </w:rPr>
        <w:t xml:space="preserve"> Argentina</w:t>
      </w:r>
      <w:r w:rsidR="009F762B" w:rsidRPr="009F762B">
        <w:rPr>
          <w:sz w:val="22"/>
          <w:szCs w:val="22"/>
        </w:rPr>
        <w:t>, Buenos Aires.</w:t>
      </w:r>
      <w:proofErr w:type="gramEnd"/>
    </w:p>
    <w:p w:rsidR="00EA5D3F" w:rsidRDefault="00EA5D3F" w:rsidP="006D2DF9">
      <w:pPr>
        <w:widowControl w:val="0"/>
        <w:spacing w:line="360" w:lineRule="auto"/>
        <w:ind w:left="284" w:hanging="284"/>
        <w:rPr>
          <w:color w:val="000000"/>
          <w:sz w:val="22"/>
          <w:szCs w:val="22"/>
        </w:rPr>
      </w:pPr>
      <w:r w:rsidRPr="007C14AB">
        <w:rPr>
          <w:color w:val="000000"/>
          <w:sz w:val="22"/>
          <w:szCs w:val="22"/>
        </w:rPr>
        <w:t>Flegg, A.T. and T. Tohmo</w:t>
      </w:r>
      <w:r w:rsidRPr="007C14AB">
        <w:rPr>
          <w:sz w:val="22"/>
          <w:szCs w:val="22"/>
        </w:rPr>
        <w:t xml:space="preserve"> (201</w:t>
      </w:r>
      <w:r>
        <w:rPr>
          <w:sz w:val="22"/>
          <w:szCs w:val="22"/>
        </w:rPr>
        <w:t>3a</w:t>
      </w:r>
      <w:r w:rsidRPr="007C14AB">
        <w:rPr>
          <w:sz w:val="22"/>
          <w:szCs w:val="22"/>
        </w:rPr>
        <w:t>) Regional Input</w:t>
      </w:r>
      <w:r w:rsidRPr="008357D7">
        <w:rPr>
          <w:sz w:val="22"/>
          <w:szCs w:val="22"/>
        </w:rPr>
        <w:sym w:font="Symbol" w:char="F02D"/>
      </w:r>
      <w:r w:rsidRPr="007C14AB">
        <w:rPr>
          <w:sz w:val="22"/>
          <w:szCs w:val="22"/>
        </w:rPr>
        <w:t>Output Tables and the FLQ Formula: A Case Study of Finland</w:t>
      </w:r>
      <w:r>
        <w:rPr>
          <w:sz w:val="22"/>
          <w:szCs w:val="22"/>
        </w:rPr>
        <w:t>.</w:t>
      </w:r>
      <w:r w:rsidRPr="007C14AB">
        <w:rPr>
          <w:sz w:val="22"/>
          <w:szCs w:val="22"/>
        </w:rPr>
        <w:t xml:space="preserve"> </w:t>
      </w:r>
      <w:r w:rsidRPr="007C14AB">
        <w:rPr>
          <w:i/>
          <w:sz w:val="22"/>
          <w:szCs w:val="22"/>
        </w:rPr>
        <w:t>Regional Studies</w:t>
      </w:r>
      <w:r w:rsidRPr="007C14AB">
        <w:rPr>
          <w:sz w:val="22"/>
          <w:szCs w:val="22"/>
        </w:rPr>
        <w:t>,</w:t>
      </w:r>
      <w:r>
        <w:rPr>
          <w:sz w:val="22"/>
          <w:szCs w:val="22"/>
        </w:rPr>
        <w:t xml:space="preserve"> 47</w:t>
      </w:r>
      <w:r w:rsidRPr="008357D7">
        <w:rPr>
          <w:sz w:val="22"/>
          <w:szCs w:val="22"/>
        </w:rPr>
        <w:t xml:space="preserve">, </w:t>
      </w:r>
      <w:r>
        <w:rPr>
          <w:sz w:val="22"/>
          <w:szCs w:val="22"/>
        </w:rPr>
        <w:t>70</w:t>
      </w:r>
      <w:r w:rsidRPr="008357D7">
        <w:rPr>
          <w:sz w:val="22"/>
          <w:szCs w:val="22"/>
        </w:rPr>
        <w:t>3</w:t>
      </w:r>
      <w:r w:rsidRPr="008357D7">
        <w:rPr>
          <w:sz w:val="22"/>
          <w:szCs w:val="22"/>
        </w:rPr>
        <w:sym w:font="Symbol" w:char="F02D"/>
      </w:r>
      <w:r>
        <w:rPr>
          <w:sz w:val="22"/>
          <w:szCs w:val="22"/>
        </w:rPr>
        <w:t>721,</w:t>
      </w:r>
      <w:r w:rsidRPr="007C14AB">
        <w:rPr>
          <w:sz w:val="22"/>
          <w:szCs w:val="22"/>
        </w:rPr>
        <w:t xml:space="preserve"> first published on </w:t>
      </w:r>
      <w:r>
        <w:rPr>
          <w:sz w:val="22"/>
          <w:szCs w:val="22"/>
        </w:rPr>
        <w:t>25 August</w:t>
      </w:r>
      <w:r w:rsidRPr="007C14AB">
        <w:rPr>
          <w:sz w:val="22"/>
          <w:szCs w:val="22"/>
        </w:rPr>
        <w:t xml:space="preserve"> 201</w:t>
      </w:r>
      <w:r>
        <w:rPr>
          <w:sz w:val="22"/>
          <w:szCs w:val="22"/>
        </w:rPr>
        <w:t>1</w:t>
      </w:r>
      <w:r w:rsidRPr="007C14AB">
        <w:rPr>
          <w:rStyle w:val="slug-metadata-note3"/>
          <w:bCs/>
          <w:color w:val="333300"/>
          <w:sz w:val="22"/>
          <w:szCs w:val="22"/>
        </w:rPr>
        <w:t xml:space="preserve">, </w:t>
      </w:r>
      <w:r>
        <w:rPr>
          <w:sz w:val="22"/>
          <w:szCs w:val="22"/>
        </w:rPr>
        <w:t>doi</w:t>
      </w:r>
      <w:r w:rsidRPr="007C14AB">
        <w:rPr>
          <w:sz w:val="22"/>
          <w:szCs w:val="22"/>
        </w:rPr>
        <w:t>:10.1080/00343404.2011.592138.</w:t>
      </w:r>
    </w:p>
    <w:p w:rsidR="003D07A2" w:rsidRDefault="003D07A2" w:rsidP="006D2DF9">
      <w:pPr>
        <w:widowControl w:val="0"/>
        <w:spacing w:line="360" w:lineRule="auto"/>
        <w:ind w:left="284" w:hanging="284"/>
        <w:rPr>
          <w:sz w:val="22"/>
          <w:szCs w:val="22"/>
        </w:rPr>
      </w:pPr>
      <w:r w:rsidRPr="007C14AB">
        <w:rPr>
          <w:color w:val="000000"/>
          <w:sz w:val="22"/>
          <w:szCs w:val="22"/>
        </w:rPr>
        <w:t>Flegg, A.T. and T. Tohmo</w:t>
      </w:r>
      <w:r w:rsidRPr="007C14AB">
        <w:rPr>
          <w:sz w:val="22"/>
          <w:szCs w:val="22"/>
        </w:rPr>
        <w:t xml:space="preserve"> (201</w:t>
      </w:r>
      <w:r>
        <w:rPr>
          <w:sz w:val="22"/>
          <w:szCs w:val="22"/>
        </w:rPr>
        <w:t>3b</w:t>
      </w:r>
      <w:r w:rsidRPr="007C14AB">
        <w:rPr>
          <w:sz w:val="22"/>
          <w:szCs w:val="22"/>
        </w:rPr>
        <w:t xml:space="preserve">) A Comment on Tobias Kronenberg’s “Construction of </w:t>
      </w:r>
      <w:r>
        <w:rPr>
          <w:sz w:val="22"/>
          <w:szCs w:val="22"/>
        </w:rPr>
        <w:t>R</w:t>
      </w:r>
      <w:r w:rsidRPr="007C14AB">
        <w:rPr>
          <w:sz w:val="22"/>
          <w:szCs w:val="22"/>
        </w:rPr>
        <w:t xml:space="preserve">egional </w:t>
      </w:r>
      <w:r>
        <w:rPr>
          <w:sz w:val="22"/>
          <w:szCs w:val="22"/>
        </w:rPr>
        <w:t>I</w:t>
      </w:r>
      <w:r w:rsidRPr="007C14AB">
        <w:rPr>
          <w:sz w:val="22"/>
          <w:szCs w:val="22"/>
        </w:rPr>
        <w:t>nput</w:t>
      </w:r>
      <w:r w:rsidRPr="007C14AB">
        <w:rPr>
          <w:sz w:val="22"/>
          <w:szCs w:val="22"/>
        </w:rPr>
        <w:sym w:font="Symbol" w:char="F02D"/>
      </w:r>
      <w:r>
        <w:rPr>
          <w:sz w:val="22"/>
          <w:szCs w:val="22"/>
        </w:rPr>
        <w:t>O</w:t>
      </w:r>
      <w:r w:rsidRPr="007C14AB">
        <w:rPr>
          <w:sz w:val="22"/>
          <w:szCs w:val="22"/>
        </w:rPr>
        <w:t xml:space="preserve">utput </w:t>
      </w:r>
      <w:r>
        <w:rPr>
          <w:sz w:val="22"/>
          <w:szCs w:val="22"/>
        </w:rPr>
        <w:t>T</w:t>
      </w:r>
      <w:r w:rsidRPr="007C14AB">
        <w:rPr>
          <w:sz w:val="22"/>
          <w:szCs w:val="22"/>
        </w:rPr>
        <w:t xml:space="preserve">ables </w:t>
      </w:r>
      <w:r>
        <w:rPr>
          <w:sz w:val="22"/>
          <w:szCs w:val="22"/>
        </w:rPr>
        <w:t>U</w:t>
      </w:r>
      <w:r w:rsidRPr="007C14AB">
        <w:rPr>
          <w:sz w:val="22"/>
          <w:szCs w:val="22"/>
        </w:rPr>
        <w:t xml:space="preserve">sing </w:t>
      </w:r>
      <w:r>
        <w:rPr>
          <w:sz w:val="22"/>
          <w:szCs w:val="22"/>
        </w:rPr>
        <w:t>N</w:t>
      </w:r>
      <w:r w:rsidRPr="007C14AB">
        <w:rPr>
          <w:sz w:val="22"/>
          <w:szCs w:val="22"/>
        </w:rPr>
        <w:t xml:space="preserve">onsurvey </w:t>
      </w:r>
      <w:r>
        <w:rPr>
          <w:sz w:val="22"/>
          <w:szCs w:val="22"/>
        </w:rPr>
        <w:t>M</w:t>
      </w:r>
      <w:r w:rsidRPr="007C14AB">
        <w:rPr>
          <w:sz w:val="22"/>
          <w:szCs w:val="22"/>
        </w:rPr>
        <w:t xml:space="preserve">ethods: </w:t>
      </w:r>
      <w:r>
        <w:rPr>
          <w:sz w:val="22"/>
          <w:szCs w:val="22"/>
        </w:rPr>
        <w:t>T</w:t>
      </w:r>
      <w:r w:rsidRPr="007C14AB">
        <w:rPr>
          <w:sz w:val="22"/>
          <w:szCs w:val="22"/>
        </w:rPr>
        <w:t xml:space="preserve">he </w:t>
      </w:r>
      <w:r>
        <w:rPr>
          <w:sz w:val="22"/>
          <w:szCs w:val="22"/>
        </w:rPr>
        <w:t>R</w:t>
      </w:r>
      <w:r w:rsidRPr="007C14AB">
        <w:rPr>
          <w:sz w:val="22"/>
          <w:szCs w:val="22"/>
        </w:rPr>
        <w:t xml:space="preserve">ole of </w:t>
      </w:r>
      <w:r>
        <w:rPr>
          <w:sz w:val="22"/>
          <w:szCs w:val="22"/>
        </w:rPr>
        <w:t>C</w:t>
      </w:r>
      <w:r w:rsidRPr="007C14AB">
        <w:rPr>
          <w:sz w:val="22"/>
          <w:szCs w:val="22"/>
        </w:rPr>
        <w:t>ross-</w:t>
      </w:r>
      <w:r>
        <w:rPr>
          <w:sz w:val="22"/>
          <w:szCs w:val="22"/>
        </w:rPr>
        <w:t>H</w:t>
      </w:r>
      <w:r w:rsidRPr="007C14AB">
        <w:rPr>
          <w:sz w:val="22"/>
          <w:szCs w:val="22"/>
        </w:rPr>
        <w:t>auling”</w:t>
      </w:r>
      <w:r>
        <w:rPr>
          <w:sz w:val="22"/>
          <w:szCs w:val="22"/>
        </w:rPr>
        <w:t>.</w:t>
      </w:r>
      <w:r w:rsidRPr="007C14AB">
        <w:rPr>
          <w:sz w:val="22"/>
          <w:szCs w:val="22"/>
        </w:rPr>
        <w:t xml:space="preserve"> </w:t>
      </w:r>
      <w:r w:rsidRPr="007C14AB">
        <w:rPr>
          <w:i/>
          <w:sz w:val="22"/>
          <w:szCs w:val="22"/>
        </w:rPr>
        <w:t>International Regional Science Review</w:t>
      </w:r>
      <w:r w:rsidRPr="007C14AB">
        <w:rPr>
          <w:sz w:val="22"/>
          <w:szCs w:val="22"/>
        </w:rPr>
        <w:t>,</w:t>
      </w:r>
      <w:r w:rsidRPr="003D07A2">
        <w:rPr>
          <w:sz w:val="22"/>
          <w:szCs w:val="22"/>
        </w:rPr>
        <w:t xml:space="preserve"> </w:t>
      </w:r>
      <w:r>
        <w:rPr>
          <w:sz w:val="22"/>
          <w:szCs w:val="22"/>
        </w:rPr>
        <w:t>36</w:t>
      </w:r>
      <w:r w:rsidRPr="008357D7">
        <w:rPr>
          <w:sz w:val="22"/>
          <w:szCs w:val="22"/>
        </w:rPr>
        <w:t>, 23</w:t>
      </w:r>
      <w:r>
        <w:rPr>
          <w:sz w:val="22"/>
          <w:szCs w:val="22"/>
        </w:rPr>
        <w:t>5</w:t>
      </w:r>
      <w:r w:rsidRPr="008357D7">
        <w:rPr>
          <w:sz w:val="22"/>
          <w:szCs w:val="22"/>
        </w:rPr>
        <w:sym w:font="Symbol" w:char="F02D"/>
      </w:r>
      <w:r>
        <w:rPr>
          <w:sz w:val="22"/>
          <w:szCs w:val="22"/>
        </w:rPr>
        <w:t>2</w:t>
      </w:r>
      <w:r w:rsidRPr="008357D7">
        <w:rPr>
          <w:sz w:val="22"/>
          <w:szCs w:val="22"/>
        </w:rPr>
        <w:t>5</w:t>
      </w:r>
      <w:r>
        <w:rPr>
          <w:sz w:val="22"/>
          <w:szCs w:val="22"/>
        </w:rPr>
        <w:t>7,</w:t>
      </w:r>
      <w:r w:rsidRPr="007C14AB">
        <w:rPr>
          <w:sz w:val="22"/>
          <w:szCs w:val="22"/>
        </w:rPr>
        <w:t xml:space="preserve"> first published on 13 June 2012</w:t>
      </w:r>
      <w:r w:rsidRPr="007C14AB">
        <w:rPr>
          <w:rStyle w:val="slug-metadata-note3"/>
          <w:bCs/>
          <w:color w:val="333300"/>
          <w:sz w:val="22"/>
          <w:szCs w:val="22"/>
        </w:rPr>
        <w:t xml:space="preserve">, doi: </w:t>
      </w:r>
      <w:r w:rsidRPr="007C14AB">
        <w:rPr>
          <w:sz w:val="22"/>
          <w:szCs w:val="22"/>
        </w:rPr>
        <w:t>10.1177/0160017612446371.</w:t>
      </w:r>
    </w:p>
    <w:p w:rsidR="00EA5D3F" w:rsidRPr="001A50F6" w:rsidRDefault="00EA5D3F" w:rsidP="00EA5D3F">
      <w:pPr>
        <w:widowControl w:val="0"/>
        <w:spacing w:line="360" w:lineRule="auto"/>
        <w:ind w:left="284" w:hanging="284"/>
        <w:rPr>
          <w:b/>
          <w:sz w:val="22"/>
          <w:szCs w:val="22"/>
        </w:rPr>
      </w:pPr>
      <w:r w:rsidRPr="007C14AB">
        <w:rPr>
          <w:color w:val="000000"/>
          <w:sz w:val="22"/>
          <w:szCs w:val="22"/>
        </w:rPr>
        <w:t>Flegg, A.T. and T. Tohmo</w:t>
      </w:r>
      <w:r w:rsidRPr="007C14AB">
        <w:rPr>
          <w:sz w:val="22"/>
          <w:szCs w:val="22"/>
        </w:rPr>
        <w:t xml:space="preserve"> (201</w:t>
      </w:r>
      <w:r w:rsidR="00DF7266">
        <w:rPr>
          <w:sz w:val="22"/>
          <w:szCs w:val="22"/>
        </w:rPr>
        <w:t>4</w:t>
      </w:r>
      <w:r w:rsidRPr="007C14AB">
        <w:rPr>
          <w:sz w:val="22"/>
          <w:szCs w:val="22"/>
        </w:rPr>
        <w:t>)</w:t>
      </w:r>
      <w:r w:rsidRPr="00831C5A">
        <w:rPr>
          <w:sz w:val="22"/>
          <w:szCs w:val="22"/>
        </w:rPr>
        <w:t xml:space="preserve"> </w:t>
      </w:r>
      <w:r w:rsidRPr="00A14CD5">
        <w:rPr>
          <w:sz w:val="22"/>
          <w:szCs w:val="22"/>
        </w:rPr>
        <w:t xml:space="preserve">Estimating Regional Input Coefficients and Multipliers: The Use of FLQ is </w:t>
      </w:r>
      <w:r w:rsidR="0061346F">
        <w:rPr>
          <w:sz w:val="22"/>
          <w:szCs w:val="22"/>
        </w:rPr>
        <w:t>N</w:t>
      </w:r>
      <w:r w:rsidRPr="00A14CD5">
        <w:rPr>
          <w:sz w:val="22"/>
          <w:szCs w:val="22"/>
        </w:rPr>
        <w:t>ot a Gamble</w:t>
      </w:r>
      <w:r w:rsidR="00085437">
        <w:rPr>
          <w:sz w:val="22"/>
          <w:szCs w:val="22"/>
        </w:rPr>
        <w:t>.</w:t>
      </w:r>
      <w:r w:rsidR="0076495B">
        <w:rPr>
          <w:sz w:val="22"/>
          <w:szCs w:val="22"/>
        </w:rPr>
        <w:t xml:space="preserve"> </w:t>
      </w:r>
      <w:r>
        <w:rPr>
          <w:i/>
          <w:sz w:val="22"/>
          <w:szCs w:val="22"/>
        </w:rPr>
        <w:t>Regional Studies</w:t>
      </w:r>
      <w:r w:rsidR="001A50F6">
        <w:rPr>
          <w:sz w:val="22"/>
          <w:szCs w:val="22"/>
        </w:rPr>
        <w:t xml:space="preserve">, </w:t>
      </w:r>
      <w:r w:rsidR="00444E43">
        <w:rPr>
          <w:sz w:val="22"/>
          <w:szCs w:val="22"/>
        </w:rPr>
        <w:t xml:space="preserve">first published on 30 May 2014, </w:t>
      </w:r>
      <w:r w:rsidR="001A50F6">
        <w:rPr>
          <w:sz w:val="22"/>
          <w:szCs w:val="22"/>
        </w:rPr>
        <w:t>doi</w:t>
      </w:r>
      <w:r w:rsidR="001A50F6" w:rsidRPr="007C14AB">
        <w:rPr>
          <w:sz w:val="22"/>
          <w:szCs w:val="22"/>
        </w:rPr>
        <w:t>:10.1080/00343404.201</w:t>
      </w:r>
      <w:r w:rsidR="001A50F6">
        <w:rPr>
          <w:sz w:val="22"/>
          <w:szCs w:val="22"/>
        </w:rPr>
        <w:t>4</w:t>
      </w:r>
      <w:r w:rsidR="001A50F6" w:rsidRPr="007C14AB">
        <w:rPr>
          <w:sz w:val="22"/>
          <w:szCs w:val="22"/>
        </w:rPr>
        <w:t>.</w:t>
      </w:r>
      <w:r w:rsidR="001A50F6">
        <w:rPr>
          <w:sz w:val="22"/>
          <w:szCs w:val="22"/>
        </w:rPr>
        <w:t>901499</w:t>
      </w:r>
      <w:r w:rsidR="001A50F6" w:rsidRPr="007C14AB">
        <w:rPr>
          <w:sz w:val="22"/>
          <w:szCs w:val="22"/>
        </w:rPr>
        <w:t>.</w:t>
      </w:r>
    </w:p>
    <w:p w:rsidR="008357D7" w:rsidRPr="008357D7" w:rsidRDefault="008357D7" w:rsidP="00AA28C5">
      <w:pPr>
        <w:pStyle w:val="Normaali1"/>
        <w:tabs>
          <w:tab w:val="left" w:pos="426"/>
        </w:tabs>
        <w:spacing w:after="120"/>
        <w:ind w:left="284" w:hanging="284"/>
        <w:rPr>
          <w:rFonts w:ascii="Times New Roman" w:hAnsi="Times New Roman"/>
          <w:sz w:val="22"/>
          <w:szCs w:val="22"/>
          <w:lang w:val="en-GB"/>
        </w:rPr>
      </w:pPr>
      <w:r w:rsidRPr="008357D7">
        <w:rPr>
          <w:rFonts w:ascii="Times New Roman" w:hAnsi="Times New Roman"/>
          <w:sz w:val="22"/>
          <w:szCs w:val="22"/>
          <w:lang w:val="en-GB"/>
        </w:rPr>
        <w:t>Flegg</w:t>
      </w:r>
      <w:r>
        <w:rPr>
          <w:rFonts w:ascii="Times New Roman" w:hAnsi="Times New Roman"/>
          <w:sz w:val="22"/>
          <w:szCs w:val="22"/>
          <w:lang w:val="en-GB"/>
        </w:rPr>
        <w:t>,</w:t>
      </w:r>
      <w:r w:rsidRPr="008357D7">
        <w:rPr>
          <w:rFonts w:ascii="Times New Roman" w:hAnsi="Times New Roman"/>
          <w:sz w:val="22"/>
          <w:szCs w:val="22"/>
          <w:lang w:val="en-GB"/>
        </w:rPr>
        <w:t xml:space="preserve"> A.T. and </w:t>
      </w:r>
      <w:r w:rsidR="002234B0" w:rsidRPr="008357D7">
        <w:rPr>
          <w:rFonts w:ascii="Times New Roman" w:hAnsi="Times New Roman"/>
          <w:sz w:val="22"/>
          <w:szCs w:val="22"/>
          <w:lang w:val="en-GB"/>
        </w:rPr>
        <w:t xml:space="preserve">C.D. </w:t>
      </w:r>
      <w:r w:rsidRPr="008357D7">
        <w:rPr>
          <w:rFonts w:ascii="Times New Roman" w:hAnsi="Times New Roman"/>
          <w:sz w:val="22"/>
          <w:szCs w:val="22"/>
          <w:lang w:val="en-GB"/>
        </w:rPr>
        <w:t xml:space="preserve">Webber (1997) On the </w:t>
      </w:r>
      <w:r>
        <w:rPr>
          <w:rFonts w:ascii="Times New Roman" w:hAnsi="Times New Roman"/>
          <w:sz w:val="22"/>
          <w:szCs w:val="22"/>
          <w:lang w:val="en-GB"/>
        </w:rPr>
        <w:t>A</w:t>
      </w:r>
      <w:r w:rsidRPr="008357D7">
        <w:rPr>
          <w:rFonts w:ascii="Times New Roman" w:hAnsi="Times New Roman"/>
          <w:sz w:val="22"/>
          <w:szCs w:val="22"/>
          <w:lang w:val="en-GB"/>
        </w:rPr>
        <w:t xml:space="preserve">ppropriate </w:t>
      </w:r>
      <w:r>
        <w:rPr>
          <w:rFonts w:ascii="Times New Roman" w:hAnsi="Times New Roman"/>
          <w:sz w:val="22"/>
          <w:szCs w:val="22"/>
          <w:lang w:val="en-GB"/>
        </w:rPr>
        <w:t>U</w:t>
      </w:r>
      <w:r w:rsidRPr="008357D7">
        <w:rPr>
          <w:rFonts w:ascii="Times New Roman" w:hAnsi="Times New Roman"/>
          <w:sz w:val="22"/>
          <w:szCs w:val="22"/>
          <w:lang w:val="en-GB"/>
        </w:rPr>
        <w:t xml:space="preserve">se of </w:t>
      </w:r>
      <w:r>
        <w:rPr>
          <w:rFonts w:ascii="Times New Roman" w:hAnsi="Times New Roman"/>
          <w:sz w:val="22"/>
          <w:szCs w:val="22"/>
          <w:lang w:val="en-GB"/>
        </w:rPr>
        <w:t>L</w:t>
      </w:r>
      <w:r w:rsidRPr="008357D7">
        <w:rPr>
          <w:rFonts w:ascii="Times New Roman" w:hAnsi="Times New Roman"/>
          <w:sz w:val="22"/>
          <w:szCs w:val="22"/>
          <w:lang w:val="en-GB"/>
        </w:rPr>
        <w:t xml:space="preserve">ocation </w:t>
      </w:r>
      <w:r>
        <w:rPr>
          <w:rFonts w:ascii="Times New Roman" w:hAnsi="Times New Roman"/>
          <w:sz w:val="22"/>
          <w:szCs w:val="22"/>
          <w:lang w:val="en-GB"/>
        </w:rPr>
        <w:t>Q</w:t>
      </w:r>
      <w:r w:rsidRPr="008357D7">
        <w:rPr>
          <w:rFonts w:ascii="Times New Roman" w:hAnsi="Times New Roman"/>
          <w:sz w:val="22"/>
          <w:szCs w:val="22"/>
          <w:lang w:val="en-GB"/>
        </w:rPr>
        <w:t xml:space="preserve">uotients in </w:t>
      </w:r>
      <w:r>
        <w:rPr>
          <w:rFonts w:ascii="Times New Roman" w:hAnsi="Times New Roman"/>
          <w:sz w:val="22"/>
          <w:szCs w:val="22"/>
          <w:lang w:val="en-GB"/>
        </w:rPr>
        <w:t>G</w:t>
      </w:r>
      <w:r w:rsidRPr="008357D7">
        <w:rPr>
          <w:rFonts w:ascii="Times New Roman" w:hAnsi="Times New Roman"/>
          <w:sz w:val="22"/>
          <w:szCs w:val="22"/>
          <w:lang w:val="en-GB"/>
        </w:rPr>
        <w:t xml:space="preserve">enerating </w:t>
      </w:r>
      <w:r>
        <w:rPr>
          <w:rFonts w:ascii="Times New Roman" w:hAnsi="Times New Roman"/>
          <w:sz w:val="22"/>
          <w:szCs w:val="22"/>
          <w:lang w:val="en-GB"/>
        </w:rPr>
        <w:t>R</w:t>
      </w:r>
      <w:r w:rsidRPr="008357D7">
        <w:rPr>
          <w:rFonts w:ascii="Times New Roman" w:hAnsi="Times New Roman"/>
          <w:sz w:val="22"/>
          <w:szCs w:val="22"/>
          <w:lang w:val="en-GB"/>
        </w:rPr>
        <w:t xml:space="preserve">egional </w:t>
      </w:r>
      <w:r>
        <w:rPr>
          <w:rFonts w:ascii="Times New Roman" w:hAnsi="Times New Roman"/>
          <w:sz w:val="22"/>
          <w:szCs w:val="22"/>
          <w:lang w:val="en-GB"/>
        </w:rPr>
        <w:t>I</w:t>
      </w:r>
      <w:r w:rsidRPr="008357D7">
        <w:rPr>
          <w:rFonts w:ascii="Times New Roman" w:hAnsi="Times New Roman"/>
          <w:sz w:val="22"/>
          <w:szCs w:val="22"/>
          <w:lang w:val="en-GB"/>
        </w:rPr>
        <w:t>nput</w:t>
      </w:r>
      <w:r w:rsidRPr="008357D7">
        <w:rPr>
          <w:rFonts w:ascii="Times New Roman" w:hAnsi="Times New Roman"/>
          <w:sz w:val="22"/>
          <w:szCs w:val="22"/>
          <w:lang w:val="en-GB"/>
        </w:rPr>
        <w:sym w:font="Symbol" w:char="F02D"/>
      </w:r>
      <w:r>
        <w:rPr>
          <w:rFonts w:ascii="Times New Roman" w:hAnsi="Times New Roman"/>
          <w:sz w:val="22"/>
          <w:szCs w:val="22"/>
          <w:lang w:val="en-GB"/>
        </w:rPr>
        <w:t>O</w:t>
      </w:r>
      <w:r w:rsidRPr="008357D7">
        <w:rPr>
          <w:rFonts w:ascii="Times New Roman" w:hAnsi="Times New Roman"/>
          <w:sz w:val="22"/>
          <w:szCs w:val="22"/>
          <w:lang w:val="en-GB"/>
        </w:rPr>
        <w:t xml:space="preserve">utput </w:t>
      </w:r>
      <w:r>
        <w:rPr>
          <w:rFonts w:ascii="Times New Roman" w:hAnsi="Times New Roman"/>
          <w:sz w:val="22"/>
          <w:szCs w:val="22"/>
          <w:lang w:val="en-GB"/>
        </w:rPr>
        <w:t>T</w:t>
      </w:r>
      <w:r w:rsidRPr="008357D7">
        <w:rPr>
          <w:rFonts w:ascii="Times New Roman" w:hAnsi="Times New Roman"/>
          <w:sz w:val="22"/>
          <w:szCs w:val="22"/>
          <w:lang w:val="en-GB"/>
        </w:rPr>
        <w:t xml:space="preserve">ables: </w:t>
      </w:r>
      <w:r>
        <w:rPr>
          <w:rFonts w:ascii="Times New Roman" w:hAnsi="Times New Roman"/>
          <w:sz w:val="22"/>
          <w:szCs w:val="22"/>
          <w:lang w:val="en-GB"/>
        </w:rPr>
        <w:t>R</w:t>
      </w:r>
      <w:r w:rsidRPr="008357D7">
        <w:rPr>
          <w:rFonts w:ascii="Times New Roman" w:hAnsi="Times New Roman"/>
          <w:sz w:val="22"/>
          <w:szCs w:val="22"/>
          <w:lang w:val="en-GB"/>
        </w:rPr>
        <w:t>eply</w:t>
      </w:r>
      <w:r>
        <w:rPr>
          <w:rFonts w:ascii="Times New Roman" w:hAnsi="Times New Roman"/>
          <w:sz w:val="22"/>
          <w:szCs w:val="22"/>
          <w:lang w:val="en-GB"/>
        </w:rPr>
        <w:t>.</w:t>
      </w:r>
      <w:r w:rsidRPr="008357D7">
        <w:rPr>
          <w:rFonts w:ascii="Times New Roman" w:hAnsi="Times New Roman"/>
          <w:sz w:val="22"/>
          <w:szCs w:val="22"/>
          <w:lang w:val="en-GB"/>
        </w:rPr>
        <w:t xml:space="preserve"> </w:t>
      </w:r>
      <w:proofErr w:type="gramStart"/>
      <w:r w:rsidRPr="008357D7">
        <w:rPr>
          <w:rFonts w:ascii="Times New Roman" w:hAnsi="Times New Roman"/>
          <w:i/>
          <w:sz w:val="22"/>
          <w:szCs w:val="22"/>
          <w:lang w:val="en-GB"/>
        </w:rPr>
        <w:t>Regional Studies</w:t>
      </w:r>
      <w:r>
        <w:rPr>
          <w:rFonts w:ascii="Times New Roman" w:hAnsi="Times New Roman"/>
          <w:sz w:val="22"/>
          <w:szCs w:val="22"/>
          <w:lang w:val="en-GB"/>
        </w:rPr>
        <w:t>,</w:t>
      </w:r>
      <w:r w:rsidRPr="008357D7">
        <w:rPr>
          <w:rFonts w:ascii="Times New Roman" w:hAnsi="Times New Roman"/>
          <w:sz w:val="22"/>
          <w:szCs w:val="22"/>
          <w:lang w:val="en-GB"/>
        </w:rPr>
        <w:t xml:space="preserve"> 31, 795</w:t>
      </w:r>
      <w:r w:rsidRPr="008357D7">
        <w:rPr>
          <w:rFonts w:ascii="Times New Roman" w:hAnsi="Times New Roman"/>
          <w:sz w:val="22"/>
          <w:szCs w:val="22"/>
          <w:lang w:val="en-GB"/>
        </w:rPr>
        <w:sym w:font="Symbol" w:char="F02D"/>
      </w:r>
      <w:r w:rsidRPr="008357D7">
        <w:rPr>
          <w:rFonts w:ascii="Times New Roman" w:hAnsi="Times New Roman"/>
          <w:sz w:val="22"/>
          <w:szCs w:val="22"/>
          <w:lang w:val="en-GB"/>
        </w:rPr>
        <w:t>805.</w:t>
      </w:r>
      <w:proofErr w:type="gramEnd"/>
    </w:p>
    <w:p w:rsidR="0093342E" w:rsidRDefault="008357D7" w:rsidP="00AA2B5A">
      <w:pPr>
        <w:spacing w:line="360" w:lineRule="auto"/>
        <w:ind w:left="284" w:hanging="284"/>
        <w:rPr>
          <w:sz w:val="22"/>
          <w:szCs w:val="22"/>
        </w:rPr>
      </w:pPr>
      <w:proofErr w:type="gramStart"/>
      <w:r w:rsidRPr="008357D7">
        <w:rPr>
          <w:sz w:val="22"/>
          <w:szCs w:val="22"/>
        </w:rPr>
        <w:t>Flegg</w:t>
      </w:r>
      <w:r>
        <w:rPr>
          <w:sz w:val="22"/>
          <w:szCs w:val="22"/>
        </w:rPr>
        <w:t>,</w:t>
      </w:r>
      <w:r w:rsidRPr="008357D7">
        <w:rPr>
          <w:sz w:val="22"/>
          <w:szCs w:val="22"/>
        </w:rPr>
        <w:t xml:space="preserve"> A.T. and </w:t>
      </w:r>
      <w:r>
        <w:rPr>
          <w:sz w:val="22"/>
          <w:szCs w:val="22"/>
        </w:rPr>
        <w:t xml:space="preserve">C.D. </w:t>
      </w:r>
      <w:r w:rsidRPr="008357D7">
        <w:rPr>
          <w:sz w:val="22"/>
          <w:szCs w:val="22"/>
        </w:rPr>
        <w:t xml:space="preserve">Webber (2000) Regional </w:t>
      </w:r>
      <w:r>
        <w:rPr>
          <w:sz w:val="22"/>
          <w:szCs w:val="22"/>
        </w:rPr>
        <w:t>S</w:t>
      </w:r>
      <w:r w:rsidRPr="008357D7">
        <w:rPr>
          <w:sz w:val="22"/>
          <w:szCs w:val="22"/>
        </w:rPr>
        <w:t xml:space="preserve">ize, </w:t>
      </w:r>
      <w:r>
        <w:rPr>
          <w:sz w:val="22"/>
          <w:szCs w:val="22"/>
        </w:rPr>
        <w:t>R</w:t>
      </w:r>
      <w:r w:rsidRPr="008357D7">
        <w:rPr>
          <w:sz w:val="22"/>
          <w:szCs w:val="22"/>
        </w:rPr>
        <w:t xml:space="preserve">egional </w:t>
      </w:r>
      <w:r>
        <w:rPr>
          <w:sz w:val="22"/>
          <w:szCs w:val="22"/>
        </w:rPr>
        <w:t>S</w:t>
      </w:r>
      <w:r w:rsidRPr="008357D7">
        <w:rPr>
          <w:sz w:val="22"/>
          <w:szCs w:val="22"/>
        </w:rPr>
        <w:t xml:space="preserve">pecialization and the FLQ </w:t>
      </w:r>
      <w:r>
        <w:rPr>
          <w:sz w:val="22"/>
          <w:szCs w:val="22"/>
        </w:rPr>
        <w:t>F</w:t>
      </w:r>
      <w:r w:rsidRPr="008357D7">
        <w:rPr>
          <w:sz w:val="22"/>
          <w:szCs w:val="22"/>
        </w:rPr>
        <w:t>ormula</w:t>
      </w:r>
      <w:r>
        <w:rPr>
          <w:sz w:val="22"/>
          <w:szCs w:val="22"/>
        </w:rPr>
        <w:t>.</w:t>
      </w:r>
      <w:proofErr w:type="gramEnd"/>
      <w:r w:rsidRPr="008357D7">
        <w:rPr>
          <w:sz w:val="22"/>
          <w:szCs w:val="22"/>
        </w:rPr>
        <w:t xml:space="preserve"> </w:t>
      </w:r>
      <w:proofErr w:type="gramStart"/>
      <w:r w:rsidRPr="008357D7">
        <w:rPr>
          <w:i/>
          <w:sz w:val="22"/>
          <w:szCs w:val="22"/>
        </w:rPr>
        <w:t>Regional Studies</w:t>
      </w:r>
      <w:r w:rsidR="00D708B3">
        <w:rPr>
          <w:sz w:val="22"/>
          <w:szCs w:val="22"/>
        </w:rPr>
        <w:t>,</w:t>
      </w:r>
      <w:r w:rsidRPr="008357D7">
        <w:rPr>
          <w:sz w:val="22"/>
          <w:szCs w:val="22"/>
        </w:rPr>
        <w:t xml:space="preserve"> 34, 563</w:t>
      </w:r>
      <w:r w:rsidRPr="008357D7">
        <w:rPr>
          <w:sz w:val="22"/>
          <w:szCs w:val="22"/>
        </w:rPr>
        <w:sym w:font="Symbol" w:char="F02D"/>
      </w:r>
      <w:r w:rsidRPr="008357D7">
        <w:rPr>
          <w:sz w:val="22"/>
          <w:szCs w:val="22"/>
        </w:rPr>
        <w:t>569.</w:t>
      </w:r>
      <w:proofErr w:type="gramEnd"/>
    </w:p>
    <w:p w:rsidR="00834536" w:rsidRDefault="00834536" w:rsidP="00834536">
      <w:pPr>
        <w:pStyle w:val="Normaali1"/>
        <w:tabs>
          <w:tab w:val="left" w:pos="426"/>
        </w:tabs>
        <w:spacing w:after="120"/>
        <w:ind w:left="284" w:hanging="284"/>
        <w:rPr>
          <w:rFonts w:ascii="Times New Roman" w:hAnsi="Times New Roman"/>
          <w:sz w:val="22"/>
          <w:szCs w:val="22"/>
          <w:lang w:val="en-GB"/>
        </w:rPr>
      </w:pPr>
      <w:proofErr w:type="gramStart"/>
      <w:r w:rsidRPr="008357D7">
        <w:rPr>
          <w:rFonts w:ascii="Times New Roman" w:hAnsi="Times New Roman"/>
          <w:sz w:val="22"/>
          <w:szCs w:val="22"/>
          <w:lang w:val="en-GB"/>
        </w:rPr>
        <w:t>Flegg</w:t>
      </w:r>
      <w:r>
        <w:rPr>
          <w:rFonts w:ascii="Times New Roman" w:hAnsi="Times New Roman"/>
          <w:sz w:val="22"/>
          <w:szCs w:val="22"/>
          <w:lang w:val="en-GB"/>
        </w:rPr>
        <w:t>,</w:t>
      </w:r>
      <w:r w:rsidRPr="008357D7">
        <w:rPr>
          <w:rFonts w:ascii="Times New Roman" w:hAnsi="Times New Roman"/>
          <w:sz w:val="22"/>
          <w:szCs w:val="22"/>
          <w:lang w:val="en-GB"/>
        </w:rPr>
        <w:t xml:space="preserve"> A.T., </w:t>
      </w:r>
      <w:r>
        <w:rPr>
          <w:rFonts w:ascii="Times New Roman" w:hAnsi="Times New Roman"/>
          <w:sz w:val="22"/>
          <w:szCs w:val="22"/>
          <w:lang w:val="en-GB"/>
        </w:rPr>
        <w:t xml:space="preserve">C.D. </w:t>
      </w:r>
      <w:r w:rsidRPr="008357D7">
        <w:rPr>
          <w:rFonts w:ascii="Times New Roman" w:hAnsi="Times New Roman"/>
          <w:sz w:val="22"/>
          <w:szCs w:val="22"/>
          <w:lang w:val="en-GB"/>
        </w:rPr>
        <w:t xml:space="preserve">Webber and </w:t>
      </w:r>
      <w:r>
        <w:rPr>
          <w:rFonts w:ascii="Times New Roman" w:hAnsi="Times New Roman"/>
          <w:sz w:val="22"/>
          <w:szCs w:val="22"/>
          <w:lang w:val="en-GB"/>
        </w:rPr>
        <w:t xml:space="preserve">M.V. </w:t>
      </w:r>
      <w:r w:rsidRPr="008357D7">
        <w:rPr>
          <w:rFonts w:ascii="Times New Roman" w:hAnsi="Times New Roman"/>
          <w:sz w:val="22"/>
          <w:szCs w:val="22"/>
          <w:lang w:val="en-GB"/>
        </w:rPr>
        <w:t>Elliott</w:t>
      </w:r>
      <w:r>
        <w:rPr>
          <w:rFonts w:ascii="Times New Roman" w:hAnsi="Times New Roman"/>
          <w:sz w:val="22"/>
          <w:szCs w:val="22"/>
          <w:lang w:val="en-GB"/>
        </w:rPr>
        <w:t xml:space="preserve"> </w:t>
      </w:r>
      <w:r w:rsidRPr="008357D7">
        <w:rPr>
          <w:rFonts w:ascii="Times New Roman" w:hAnsi="Times New Roman"/>
          <w:sz w:val="22"/>
          <w:szCs w:val="22"/>
          <w:lang w:val="en-GB"/>
        </w:rPr>
        <w:t xml:space="preserve">(1995) On the </w:t>
      </w:r>
      <w:r>
        <w:rPr>
          <w:rFonts w:ascii="Times New Roman" w:hAnsi="Times New Roman"/>
          <w:sz w:val="22"/>
          <w:szCs w:val="22"/>
          <w:lang w:val="en-GB"/>
        </w:rPr>
        <w:t>A</w:t>
      </w:r>
      <w:r w:rsidRPr="008357D7">
        <w:rPr>
          <w:rFonts w:ascii="Times New Roman" w:hAnsi="Times New Roman"/>
          <w:sz w:val="22"/>
          <w:szCs w:val="22"/>
          <w:lang w:val="en-GB"/>
        </w:rPr>
        <w:t xml:space="preserve">ppropriate </w:t>
      </w:r>
      <w:r>
        <w:rPr>
          <w:rFonts w:ascii="Times New Roman" w:hAnsi="Times New Roman"/>
          <w:sz w:val="22"/>
          <w:szCs w:val="22"/>
          <w:lang w:val="en-GB"/>
        </w:rPr>
        <w:t>U</w:t>
      </w:r>
      <w:r w:rsidRPr="008357D7">
        <w:rPr>
          <w:rFonts w:ascii="Times New Roman" w:hAnsi="Times New Roman"/>
          <w:sz w:val="22"/>
          <w:szCs w:val="22"/>
          <w:lang w:val="en-GB"/>
        </w:rPr>
        <w:t xml:space="preserve">se of </w:t>
      </w:r>
      <w:r>
        <w:rPr>
          <w:rFonts w:ascii="Times New Roman" w:hAnsi="Times New Roman"/>
          <w:sz w:val="22"/>
          <w:szCs w:val="22"/>
          <w:lang w:val="en-GB"/>
        </w:rPr>
        <w:t>L</w:t>
      </w:r>
      <w:r w:rsidRPr="008357D7">
        <w:rPr>
          <w:rFonts w:ascii="Times New Roman" w:hAnsi="Times New Roman"/>
          <w:sz w:val="22"/>
          <w:szCs w:val="22"/>
          <w:lang w:val="en-GB"/>
        </w:rPr>
        <w:t xml:space="preserve">ocation </w:t>
      </w:r>
      <w:r>
        <w:rPr>
          <w:rFonts w:ascii="Times New Roman" w:hAnsi="Times New Roman"/>
          <w:sz w:val="22"/>
          <w:szCs w:val="22"/>
          <w:lang w:val="en-GB"/>
        </w:rPr>
        <w:t>Q</w:t>
      </w:r>
      <w:r w:rsidRPr="008357D7">
        <w:rPr>
          <w:rFonts w:ascii="Times New Roman" w:hAnsi="Times New Roman"/>
          <w:sz w:val="22"/>
          <w:szCs w:val="22"/>
          <w:lang w:val="en-GB"/>
        </w:rPr>
        <w:t xml:space="preserve">uotients in </w:t>
      </w:r>
      <w:r>
        <w:rPr>
          <w:rFonts w:ascii="Times New Roman" w:hAnsi="Times New Roman"/>
          <w:sz w:val="22"/>
          <w:szCs w:val="22"/>
          <w:lang w:val="en-GB"/>
        </w:rPr>
        <w:t>G</w:t>
      </w:r>
      <w:r w:rsidRPr="008357D7">
        <w:rPr>
          <w:rFonts w:ascii="Times New Roman" w:hAnsi="Times New Roman"/>
          <w:sz w:val="22"/>
          <w:szCs w:val="22"/>
          <w:lang w:val="en-GB"/>
        </w:rPr>
        <w:t xml:space="preserve">enerating </w:t>
      </w:r>
      <w:r>
        <w:rPr>
          <w:rFonts w:ascii="Times New Roman" w:hAnsi="Times New Roman"/>
          <w:sz w:val="22"/>
          <w:szCs w:val="22"/>
          <w:lang w:val="en-GB"/>
        </w:rPr>
        <w:t>R</w:t>
      </w:r>
      <w:r w:rsidRPr="008357D7">
        <w:rPr>
          <w:rFonts w:ascii="Times New Roman" w:hAnsi="Times New Roman"/>
          <w:sz w:val="22"/>
          <w:szCs w:val="22"/>
          <w:lang w:val="en-GB"/>
        </w:rPr>
        <w:t xml:space="preserve">egional </w:t>
      </w:r>
      <w:r>
        <w:rPr>
          <w:rFonts w:ascii="Times New Roman" w:hAnsi="Times New Roman"/>
          <w:sz w:val="22"/>
          <w:szCs w:val="22"/>
          <w:lang w:val="en-GB"/>
        </w:rPr>
        <w:t>I</w:t>
      </w:r>
      <w:r w:rsidRPr="008357D7">
        <w:rPr>
          <w:rFonts w:ascii="Times New Roman" w:hAnsi="Times New Roman"/>
          <w:sz w:val="22"/>
          <w:szCs w:val="22"/>
          <w:lang w:val="en-GB"/>
        </w:rPr>
        <w:t>nput</w:t>
      </w:r>
      <w:r w:rsidRPr="008357D7">
        <w:rPr>
          <w:rFonts w:ascii="Times New Roman" w:hAnsi="Times New Roman"/>
          <w:sz w:val="22"/>
          <w:szCs w:val="22"/>
          <w:lang w:val="en-GB"/>
        </w:rPr>
        <w:sym w:font="Symbol" w:char="F02D"/>
      </w:r>
      <w:r>
        <w:rPr>
          <w:rFonts w:ascii="Times New Roman" w:hAnsi="Times New Roman"/>
          <w:sz w:val="22"/>
          <w:szCs w:val="22"/>
          <w:lang w:val="en-GB"/>
        </w:rPr>
        <w:t>O</w:t>
      </w:r>
      <w:r w:rsidRPr="008357D7">
        <w:rPr>
          <w:rFonts w:ascii="Times New Roman" w:hAnsi="Times New Roman"/>
          <w:sz w:val="22"/>
          <w:szCs w:val="22"/>
          <w:lang w:val="en-GB"/>
        </w:rPr>
        <w:t xml:space="preserve">utput </w:t>
      </w:r>
      <w:r>
        <w:rPr>
          <w:rFonts w:ascii="Times New Roman" w:hAnsi="Times New Roman"/>
          <w:sz w:val="22"/>
          <w:szCs w:val="22"/>
          <w:lang w:val="en-GB"/>
        </w:rPr>
        <w:t>T</w:t>
      </w:r>
      <w:r w:rsidRPr="008357D7">
        <w:rPr>
          <w:rFonts w:ascii="Times New Roman" w:hAnsi="Times New Roman"/>
          <w:sz w:val="22"/>
          <w:szCs w:val="22"/>
          <w:lang w:val="en-GB"/>
        </w:rPr>
        <w:t>ables</w:t>
      </w:r>
      <w:r>
        <w:rPr>
          <w:rFonts w:ascii="Times New Roman" w:hAnsi="Times New Roman"/>
          <w:sz w:val="22"/>
          <w:szCs w:val="22"/>
          <w:lang w:val="en-GB"/>
        </w:rPr>
        <w:t>.</w:t>
      </w:r>
      <w:proofErr w:type="gramEnd"/>
      <w:r w:rsidRPr="008357D7">
        <w:rPr>
          <w:rFonts w:ascii="Times New Roman" w:hAnsi="Times New Roman"/>
          <w:sz w:val="22"/>
          <w:szCs w:val="22"/>
          <w:lang w:val="en-GB"/>
        </w:rPr>
        <w:t xml:space="preserve"> </w:t>
      </w:r>
      <w:proofErr w:type="gramStart"/>
      <w:r w:rsidRPr="008357D7">
        <w:rPr>
          <w:rFonts w:ascii="Times New Roman" w:hAnsi="Times New Roman"/>
          <w:i/>
          <w:sz w:val="22"/>
          <w:szCs w:val="22"/>
          <w:lang w:val="en-GB"/>
        </w:rPr>
        <w:t>Regional Studies</w:t>
      </w:r>
      <w:r>
        <w:rPr>
          <w:rFonts w:ascii="Times New Roman" w:hAnsi="Times New Roman"/>
          <w:sz w:val="22"/>
          <w:szCs w:val="22"/>
          <w:lang w:val="en-GB"/>
        </w:rPr>
        <w:t>,</w:t>
      </w:r>
      <w:r w:rsidRPr="008357D7">
        <w:rPr>
          <w:rFonts w:ascii="Times New Roman" w:hAnsi="Times New Roman"/>
          <w:sz w:val="22"/>
          <w:szCs w:val="22"/>
          <w:lang w:val="en-GB"/>
        </w:rPr>
        <w:t xml:space="preserve"> 29, 547</w:t>
      </w:r>
      <w:r w:rsidRPr="008357D7">
        <w:rPr>
          <w:rFonts w:ascii="Times New Roman" w:hAnsi="Times New Roman"/>
          <w:sz w:val="22"/>
          <w:szCs w:val="22"/>
          <w:lang w:val="en-GB"/>
        </w:rPr>
        <w:sym w:font="Symbol" w:char="F02D"/>
      </w:r>
      <w:r w:rsidRPr="008357D7">
        <w:rPr>
          <w:rFonts w:ascii="Times New Roman" w:hAnsi="Times New Roman"/>
          <w:sz w:val="22"/>
          <w:szCs w:val="22"/>
          <w:lang w:val="en-GB"/>
        </w:rPr>
        <w:t>561.</w:t>
      </w:r>
      <w:proofErr w:type="gramEnd"/>
    </w:p>
    <w:p w:rsidR="00C15E03" w:rsidRPr="00C15E03" w:rsidRDefault="00C15E03" w:rsidP="00834536">
      <w:pPr>
        <w:pStyle w:val="Normaali1"/>
        <w:tabs>
          <w:tab w:val="left" w:pos="426"/>
        </w:tabs>
        <w:spacing w:after="120"/>
        <w:ind w:left="284" w:hanging="284"/>
        <w:rPr>
          <w:rFonts w:ascii="Times New Roman" w:hAnsi="Times New Roman"/>
          <w:sz w:val="22"/>
          <w:szCs w:val="22"/>
          <w:lang w:val="en-GB"/>
        </w:rPr>
      </w:pPr>
      <w:r w:rsidRPr="00C15E03">
        <w:rPr>
          <w:rFonts w:ascii="Times New Roman" w:hAnsi="Times New Roman"/>
          <w:sz w:val="22"/>
          <w:szCs w:val="22"/>
        </w:rPr>
        <w:t xml:space="preserve">Jackson, R.W. (1998) Regionalizing National Commodity-by-Industry Accounts. </w:t>
      </w:r>
      <w:r w:rsidRPr="00C15E03">
        <w:rPr>
          <w:rFonts w:ascii="Times New Roman" w:hAnsi="Times New Roman"/>
          <w:i/>
          <w:sz w:val="22"/>
          <w:szCs w:val="22"/>
        </w:rPr>
        <w:t>Economic Systems Research</w:t>
      </w:r>
      <w:r w:rsidRPr="00C15E03">
        <w:rPr>
          <w:rFonts w:ascii="Times New Roman" w:hAnsi="Times New Roman"/>
          <w:sz w:val="22"/>
          <w:szCs w:val="22"/>
        </w:rPr>
        <w:t>,</w:t>
      </w:r>
      <w:r w:rsidRPr="00C15E03">
        <w:rPr>
          <w:rFonts w:ascii="Times New Roman" w:hAnsi="Times New Roman"/>
          <w:i/>
          <w:sz w:val="22"/>
          <w:szCs w:val="22"/>
        </w:rPr>
        <w:t xml:space="preserve"> </w:t>
      </w:r>
      <w:r w:rsidRPr="00C15E03">
        <w:rPr>
          <w:rFonts w:ascii="Times New Roman" w:hAnsi="Times New Roman"/>
          <w:sz w:val="22"/>
          <w:szCs w:val="22"/>
        </w:rPr>
        <w:t>10</w:t>
      </w:r>
      <w:r>
        <w:rPr>
          <w:rFonts w:ascii="Times New Roman" w:hAnsi="Times New Roman"/>
          <w:sz w:val="22"/>
          <w:szCs w:val="22"/>
        </w:rPr>
        <w:t>,</w:t>
      </w:r>
      <w:r w:rsidRPr="00C15E03">
        <w:rPr>
          <w:rFonts w:ascii="Times New Roman" w:hAnsi="Times New Roman"/>
          <w:sz w:val="22"/>
          <w:szCs w:val="22"/>
        </w:rPr>
        <w:t xml:space="preserve"> 223</w:t>
      </w:r>
      <w:r w:rsidRPr="00C15E03">
        <w:rPr>
          <w:rFonts w:ascii="Times New Roman" w:hAnsi="Times New Roman"/>
          <w:sz w:val="22"/>
          <w:szCs w:val="22"/>
        </w:rPr>
        <w:sym w:font="Symbol" w:char="F02D"/>
      </w:r>
      <w:r>
        <w:rPr>
          <w:rFonts w:ascii="Times New Roman" w:hAnsi="Times New Roman"/>
          <w:sz w:val="22"/>
          <w:szCs w:val="22"/>
        </w:rPr>
        <w:t>2</w:t>
      </w:r>
      <w:r w:rsidRPr="00C15E03">
        <w:rPr>
          <w:rFonts w:ascii="Times New Roman" w:hAnsi="Times New Roman"/>
          <w:sz w:val="22"/>
          <w:szCs w:val="22"/>
        </w:rPr>
        <w:t>38.</w:t>
      </w:r>
    </w:p>
    <w:p w:rsidR="00691BE6" w:rsidRPr="00691BE6" w:rsidRDefault="00691BE6" w:rsidP="00372603">
      <w:pPr>
        <w:widowControl w:val="0"/>
        <w:spacing w:line="360" w:lineRule="auto"/>
        <w:ind w:left="284" w:hanging="284"/>
        <w:rPr>
          <w:sz w:val="22"/>
          <w:szCs w:val="22"/>
          <w:lang w:val="en-US"/>
        </w:rPr>
      </w:pPr>
      <w:r w:rsidRPr="00691BE6">
        <w:rPr>
          <w:color w:val="000000"/>
          <w:sz w:val="22"/>
          <w:szCs w:val="22"/>
        </w:rPr>
        <w:t>Kowalewski,</w:t>
      </w:r>
      <w:r>
        <w:rPr>
          <w:color w:val="000000"/>
          <w:sz w:val="22"/>
          <w:szCs w:val="22"/>
        </w:rPr>
        <w:t xml:space="preserve"> J.</w:t>
      </w:r>
      <w:r w:rsidRPr="00691BE6">
        <w:rPr>
          <w:color w:val="000000"/>
          <w:sz w:val="22"/>
          <w:szCs w:val="22"/>
        </w:rPr>
        <w:t xml:space="preserve"> </w:t>
      </w:r>
      <w:r>
        <w:rPr>
          <w:color w:val="000000"/>
          <w:sz w:val="22"/>
          <w:szCs w:val="22"/>
        </w:rPr>
        <w:t>(</w:t>
      </w:r>
      <w:r w:rsidRPr="00691BE6">
        <w:rPr>
          <w:color w:val="000000"/>
          <w:sz w:val="22"/>
          <w:szCs w:val="22"/>
        </w:rPr>
        <w:t>201</w:t>
      </w:r>
      <w:r w:rsidR="00215B92">
        <w:rPr>
          <w:color w:val="000000"/>
          <w:sz w:val="22"/>
          <w:szCs w:val="22"/>
        </w:rPr>
        <w:t>5</w:t>
      </w:r>
      <w:r w:rsidRPr="00691BE6">
        <w:rPr>
          <w:color w:val="000000"/>
          <w:sz w:val="22"/>
          <w:szCs w:val="22"/>
        </w:rPr>
        <w:t>)</w:t>
      </w:r>
      <w:r w:rsidR="00D74BF9">
        <w:rPr>
          <w:color w:val="000000"/>
          <w:sz w:val="22"/>
          <w:szCs w:val="22"/>
        </w:rPr>
        <w:t xml:space="preserve"> </w:t>
      </w:r>
      <w:r w:rsidR="00D74BF9" w:rsidRPr="007C14AB">
        <w:rPr>
          <w:sz w:val="22"/>
          <w:szCs w:val="22"/>
        </w:rPr>
        <w:t>Regional</w:t>
      </w:r>
      <w:r w:rsidR="00D74BF9">
        <w:rPr>
          <w:sz w:val="22"/>
          <w:szCs w:val="22"/>
        </w:rPr>
        <w:t xml:space="preserve">ization of National </w:t>
      </w:r>
      <w:r w:rsidR="00D74BF9" w:rsidRPr="007C14AB">
        <w:rPr>
          <w:sz w:val="22"/>
          <w:szCs w:val="22"/>
        </w:rPr>
        <w:t>Input</w:t>
      </w:r>
      <w:r w:rsidR="00D74BF9" w:rsidRPr="008357D7">
        <w:rPr>
          <w:sz w:val="22"/>
          <w:szCs w:val="22"/>
        </w:rPr>
        <w:sym w:font="Symbol" w:char="F02D"/>
      </w:r>
      <w:r w:rsidR="00D74BF9" w:rsidRPr="007C14AB">
        <w:rPr>
          <w:sz w:val="22"/>
          <w:szCs w:val="22"/>
        </w:rPr>
        <w:t>Output Tables</w:t>
      </w:r>
      <w:r w:rsidR="00D74BF9">
        <w:rPr>
          <w:sz w:val="22"/>
          <w:szCs w:val="22"/>
        </w:rPr>
        <w:t>: Empirical Evidence on</w:t>
      </w:r>
      <w:r w:rsidR="00D74BF9" w:rsidRPr="007C14AB">
        <w:rPr>
          <w:sz w:val="22"/>
          <w:szCs w:val="22"/>
        </w:rPr>
        <w:t xml:space="preserve"> the </w:t>
      </w:r>
      <w:r w:rsidR="00D74BF9">
        <w:rPr>
          <w:sz w:val="22"/>
          <w:szCs w:val="22"/>
        </w:rPr>
        <w:t xml:space="preserve">Use of the </w:t>
      </w:r>
      <w:r w:rsidR="00D74BF9" w:rsidRPr="007C14AB">
        <w:rPr>
          <w:sz w:val="22"/>
          <w:szCs w:val="22"/>
        </w:rPr>
        <w:t>FLQ Formula</w:t>
      </w:r>
      <w:r w:rsidR="00D74BF9">
        <w:rPr>
          <w:sz w:val="22"/>
          <w:szCs w:val="22"/>
        </w:rPr>
        <w:t xml:space="preserve">. </w:t>
      </w:r>
      <w:r w:rsidR="00831C5A" w:rsidRPr="008357D7">
        <w:rPr>
          <w:i/>
          <w:sz w:val="22"/>
          <w:szCs w:val="22"/>
        </w:rPr>
        <w:t>Regional Studies</w:t>
      </w:r>
      <w:r w:rsidR="00443C5A" w:rsidRPr="007C14AB">
        <w:rPr>
          <w:sz w:val="22"/>
          <w:szCs w:val="22"/>
        </w:rPr>
        <w:t>,</w:t>
      </w:r>
      <w:r w:rsidR="00215B92" w:rsidRPr="00215B92">
        <w:rPr>
          <w:sz w:val="22"/>
          <w:szCs w:val="22"/>
        </w:rPr>
        <w:t xml:space="preserve"> </w:t>
      </w:r>
      <w:r w:rsidR="00215B92">
        <w:rPr>
          <w:sz w:val="22"/>
          <w:szCs w:val="22"/>
        </w:rPr>
        <w:t>49</w:t>
      </w:r>
      <w:r w:rsidR="00215B92" w:rsidRPr="008357D7">
        <w:rPr>
          <w:sz w:val="22"/>
          <w:szCs w:val="22"/>
        </w:rPr>
        <w:t xml:space="preserve">, </w:t>
      </w:r>
      <w:r w:rsidR="00E3779C">
        <w:rPr>
          <w:sz w:val="22"/>
          <w:szCs w:val="22"/>
        </w:rPr>
        <w:t>240</w:t>
      </w:r>
      <w:r w:rsidR="00215B92" w:rsidRPr="008357D7">
        <w:rPr>
          <w:sz w:val="22"/>
          <w:szCs w:val="22"/>
        </w:rPr>
        <w:sym w:font="Symbol" w:char="F02D"/>
      </w:r>
      <w:r w:rsidR="00E3779C">
        <w:rPr>
          <w:sz w:val="22"/>
          <w:szCs w:val="22"/>
        </w:rPr>
        <w:t>250,</w:t>
      </w:r>
      <w:r w:rsidR="00443C5A" w:rsidRPr="007C14AB">
        <w:rPr>
          <w:sz w:val="22"/>
          <w:szCs w:val="22"/>
        </w:rPr>
        <w:t xml:space="preserve"> first published on </w:t>
      </w:r>
      <w:r w:rsidR="00443C5A">
        <w:rPr>
          <w:sz w:val="22"/>
          <w:szCs w:val="22"/>
        </w:rPr>
        <w:t>25 February</w:t>
      </w:r>
      <w:r w:rsidR="00443C5A" w:rsidRPr="007C14AB">
        <w:rPr>
          <w:sz w:val="22"/>
          <w:szCs w:val="22"/>
        </w:rPr>
        <w:t xml:space="preserve"> 201</w:t>
      </w:r>
      <w:r w:rsidR="00443C5A">
        <w:rPr>
          <w:sz w:val="22"/>
          <w:szCs w:val="22"/>
        </w:rPr>
        <w:t>3</w:t>
      </w:r>
      <w:r w:rsidR="00443C5A" w:rsidRPr="007C14AB">
        <w:rPr>
          <w:rStyle w:val="slug-metadata-note3"/>
          <w:bCs/>
          <w:color w:val="333300"/>
          <w:sz w:val="22"/>
          <w:szCs w:val="22"/>
        </w:rPr>
        <w:t xml:space="preserve">, </w:t>
      </w:r>
      <w:r w:rsidR="00443C5A">
        <w:rPr>
          <w:sz w:val="22"/>
          <w:szCs w:val="22"/>
        </w:rPr>
        <w:t>doi</w:t>
      </w:r>
      <w:r w:rsidR="00443C5A" w:rsidRPr="007C14AB">
        <w:rPr>
          <w:sz w:val="22"/>
          <w:szCs w:val="22"/>
        </w:rPr>
        <w:t>:10.1080/00343404.201</w:t>
      </w:r>
      <w:r w:rsidR="00443C5A">
        <w:rPr>
          <w:sz w:val="22"/>
          <w:szCs w:val="22"/>
        </w:rPr>
        <w:t>3</w:t>
      </w:r>
      <w:r w:rsidR="00443C5A" w:rsidRPr="007C14AB">
        <w:rPr>
          <w:sz w:val="22"/>
          <w:szCs w:val="22"/>
        </w:rPr>
        <w:t>.</w:t>
      </w:r>
      <w:r w:rsidR="00443C5A">
        <w:rPr>
          <w:sz w:val="22"/>
          <w:szCs w:val="22"/>
        </w:rPr>
        <w:t>766318</w:t>
      </w:r>
      <w:r w:rsidR="00443C5A" w:rsidRPr="007C14AB">
        <w:rPr>
          <w:sz w:val="22"/>
          <w:szCs w:val="22"/>
        </w:rPr>
        <w:t>.</w:t>
      </w:r>
    </w:p>
    <w:p w:rsidR="00372603" w:rsidRPr="00100B39" w:rsidRDefault="00372603" w:rsidP="00372603">
      <w:pPr>
        <w:widowControl w:val="0"/>
        <w:spacing w:line="360" w:lineRule="auto"/>
        <w:ind w:left="284" w:hanging="284"/>
        <w:rPr>
          <w:sz w:val="22"/>
          <w:szCs w:val="22"/>
        </w:rPr>
      </w:pPr>
      <w:r w:rsidRPr="00100B39">
        <w:rPr>
          <w:sz w:val="22"/>
          <w:szCs w:val="22"/>
        </w:rPr>
        <w:t>Kronenberg</w:t>
      </w:r>
      <w:r>
        <w:rPr>
          <w:sz w:val="22"/>
          <w:szCs w:val="22"/>
        </w:rPr>
        <w:t>,</w:t>
      </w:r>
      <w:r w:rsidRPr="00100B39">
        <w:rPr>
          <w:sz w:val="22"/>
          <w:szCs w:val="22"/>
        </w:rPr>
        <w:t xml:space="preserve"> T. (2009) Construction of </w:t>
      </w:r>
      <w:r>
        <w:rPr>
          <w:sz w:val="22"/>
          <w:szCs w:val="22"/>
        </w:rPr>
        <w:t>R</w:t>
      </w:r>
      <w:r w:rsidRPr="00100B39">
        <w:rPr>
          <w:sz w:val="22"/>
          <w:szCs w:val="22"/>
        </w:rPr>
        <w:t xml:space="preserve">egional </w:t>
      </w:r>
      <w:r>
        <w:rPr>
          <w:sz w:val="22"/>
          <w:szCs w:val="22"/>
        </w:rPr>
        <w:t>I</w:t>
      </w:r>
      <w:r w:rsidRPr="00100B39">
        <w:rPr>
          <w:sz w:val="22"/>
          <w:szCs w:val="22"/>
        </w:rPr>
        <w:t>nput</w:t>
      </w:r>
      <w:r w:rsidRPr="00100B39">
        <w:rPr>
          <w:sz w:val="22"/>
          <w:szCs w:val="22"/>
        </w:rPr>
        <w:sym w:font="Symbol" w:char="F02D"/>
      </w:r>
      <w:r>
        <w:rPr>
          <w:sz w:val="22"/>
          <w:szCs w:val="22"/>
        </w:rPr>
        <w:t>O</w:t>
      </w:r>
      <w:r w:rsidRPr="00100B39">
        <w:rPr>
          <w:sz w:val="22"/>
          <w:szCs w:val="22"/>
        </w:rPr>
        <w:t xml:space="preserve">utput </w:t>
      </w:r>
      <w:r>
        <w:rPr>
          <w:sz w:val="22"/>
          <w:szCs w:val="22"/>
        </w:rPr>
        <w:t>T</w:t>
      </w:r>
      <w:r w:rsidRPr="00100B39">
        <w:rPr>
          <w:sz w:val="22"/>
          <w:szCs w:val="22"/>
        </w:rPr>
        <w:t xml:space="preserve">ables </w:t>
      </w:r>
      <w:r>
        <w:rPr>
          <w:sz w:val="22"/>
          <w:szCs w:val="22"/>
        </w:rPr>
        <w:t>U</w:t>
      </w:r>
      <w:r w:rsidRPr="00100B39">
        <w:rPr>
          <w:sz w:val="22"/>
          <w:szCs w:val="22"/>
        </w:rPr>
        <w:t xml:space="preserve">sing </w:t>
      </w:r>
      <w:r>
        <w:rPr>
          <w:sz w:val="22"/>
          <w:szCs w:val="22"/>
        </w:rPr>
        <w:t>N</w:t>
      </w:r>
      <w:r w:rsidRPr="00100B39">
        <w:rPr>
          <w:sz w:val="22"/>
          <w:szCs w:val="22"/>
        </w:rPr>
        <w:t xml:space="preserve">onsurvey </w:t>
      </w:r>
      <w:r>
        <w:rPr>
          <w:sz w:val="22"/>
          <w:szCs w:val="22"/>
        </w:rPr>
        <w:t>M</w:t>
      </w:r>
      <w:r w:rsidRPr="00100B39">
        <w:rPr>
          <w:sz w:val="22"/>
          <w:szCs w:val="22"/>
        </w:rPr>
        <w:t xml:space="preserve">ethods: </w:t>
      </w:r>
      <w:r>
        <w:rPr>
          <w:sz w:val="22"/>
          <w:szCs w:val="22"/>
        </w:rPr>
        <w:t>T</w:t>
      </w:r>
      <w:r w:rsidRPr="00100B39">
        <w:rPr>
          <w:sz w:val="22"/>
          <w:szCs w:val="22"/>
        </w:rPr>
        <w:t xml:space="preserve">he </w:t>
      </w:r>
      <w:r>
        <w:rPr>
          <w:sz w:val="22"/>
          <w:szCs w:val="22"/>
        </w:rPr>
        <w:t>R</w:t>
      </w:r>
      <w:r w:rsidRPr="00100B39">
        <w:rPr>
          <w:sz w:val="22"/>
          <w:szCs w:val="22"/>
        </w:rPr>
        <w:t xml:space="preserve">ole of </w:t>
      </w:r>
      <w:r>
        <w:rPr>
          <w:sz w:val="22"/>
          <w:szCs w:val="22"/>
        </w:rPr>
        <w:t>C</w:t>
      </w:r>
      <w:r w:rsidRPr="00100B39">
        <w:rPr>
          <w:sz w:val="22"/>
          <w:szCs w:val="22"/>
        </w:rPr>
        <w:t>ross-</w:t>
      </w:r>
      <w:r>
        <w:rPr>
          <w:sz w:val="22"/>
          <w:szCs w:val="22"/>
        </w:rPr>
        <w:t>H</w:t>
      </w:r>
      <w:r w:rsidRPr="00100B39">
        <w:rPr>
          <w:sz w:val="22"/>
          <w:szCs w:val="22"/>
        </w:rPr>
        <w:t>auling</w:t>
      </w:r>
      <w:r>
        <w:rPr>
          <w:sz w:val="22"/>
          <w:szCs w:val="22"/>
        </w:rPr>
        <w:t>.</w:t>
      </w:r>
      <w:r w:rsidRPr="00100B39">
        <w:rPr>
          <w:sz w:val="22"/>
          <w:szCs w:val="22"/>
        </w:rPr>
        <w:t xml:space="preserve"> </w:t>
      </w:r>
      <w:proofErr w:type="gramStart"/>
      <w:r w:rsidRPr="00100B39">
        <w:rPr>
          <w:i/>
          <w:sz w:val="22"/>
          <w:szCs w:val="22"/>
        </w:rPr>
        <w:t>International Regional Science Review</w:t>
      </w:r>
      <w:r>
        <w:rPr>
          <w:sz w:val="22"/>
          <w:szCs w:val="22"/>
        </w:rPr>
        <w:t>,</w:t>
      </w:r>
      <w:r w:rsidRPr="00100B39">
        <w:rPr>
          <w:i/>
          <w:sz w:val="22"/>
          <w:szCs w:val="22"/>
        </w:rPr>
        <w:t xml:space="preserve"> </w:t>
      </w:r>
      <w:r w:rsidRPr="00100B39">
        <w:rPr>
          <w:sz w:val="22"/>
          <w:szCs w:val="22"/>
        </w:rPr>
        <w:t>32, 40</w:t>
      </w:r>
      <w:r w:rsidRPr="00100B39">
        <w:rPr>
          <w:sz w:val="22"/>
          <w:szCs w:val="22"/>
        </w:rPr>
        <w:sym w:font="Symbol" w:char="F02D"/>
      </w:r>
      <w:r w:rsidRPr="00100B39">
        <w:rPr>
          <w:sz w:val="22"/>
          <w:szCs w:val="22"/>
        </w:rPr>
        <w:t>64.</w:t>
      </w:r>
      <w:proofErr w:type="gramEnd"/>
    </w:p>
    <w:p w:rsidR="008A1FC9" w:rsidRDefault="00372603" w:rsidP="00372603">
      <w:pPr>
        <w:widowControl w:val="0"/>
        <w:spacing w:line="360" w:lineRule="auto"/>
        <w:ind w:left="284" w:hanging="284"/>
        <w:rPr>
          <w:sz w:val="22"/>
          <w:szCs w:val="22"/>
        </w:rPr>
      </w:pPr>
      <w:r w:rsidRPr="00100B39">
        <w:rPr>
          <w:sz w:val="22"/>
          <w:szCs w:val="22"/>
        </w:rPr>
        <w:lastRenderedPageBreak/>
        <w:t xml:space="preserve">Kronenberg, T. (2012) Regional </w:t>
      </w:r>
      <w:r>
        <w:rPr>
          <w:sz w:val="22"/>
          <w:szCs w:val="22"/>
        </w:rPr>
        <w:t>I</w:t>
      </w:r>
      <w:r w:rsidRPr="00100B39">
        <w:rPr>
          <w:sz w:val="22"/>
          <w:szCs w:val="22"/>
        </w:rPr>
        <w:t>nput</w:t>
      </w:r>
      <w:r w:rsidRPr="00100B39">
        <w:rPr>
          <w:sz w:val="22"/>
          <w:szCs w:val="22"/>
        </w:rPr>
        <w:sym w:font="Symbol" w:char="F02D"/>
      </w:r>
      <w:r>
        <w:rPr>
          <w:sz w:val="22"/>
          <w:szCs w:val="22"/>
        </w:rPr>
        <w:t>O</w:t>
      </w:r>
      <w:r w:rsidRPr="00100B39">
        <w:rPr>
          <w:sz w:val="22"/>
          <w:szCs w:val="22"/>
        </w:rPr>
        <w:t xml:space="preserve">utput </w:t>
      </w:r>
      <w:r>
        <w:rPr>
          <w:sz w:val="22"/>
          <w:szCs w:val="22"/>
        </w:rPr>
        <w:t>M</w:t>
      </w:r>
      <w:r w:rsidRPr="00100B39">
        <w:rPr>
          <w:sz w:val="22"/>
          <w:szCs w:val="22"/>
        </w:rPr>
        <w:t xml:space="preserve">odels and the </w:t>
      </w:r>
      <w:r>
        <w:rPr>
          <w:sz w:val="22"/>
          <w:szCs w:val="22"/>
        </w:rPr>
        <w:t>T</w:t>
      </w:r>
      <w:r w:rsidRPr="00100B39">
        <w:rPr>
          <w:sz w:val="22"/>
          <w:szCs w:val="22"/>
        </w:rPr>
        <w:t xml:space="preserve">reatment of </w:t>
      </w:r>
      <w:r>
        <w:rPr>
          <w:sz w:val="22"/>
          <w:szCs w:val="22"/>
        </w:rPr>
        <w:t>I</w:t>
      </w:r>
      <w:r w:rsidRPr="00100B39">
        <w:rPr>
          <w:sz w:val="22"/>
          <w:szCs w:val="22"/>
        </w:rPr>
        <w:t>mports in the European System of Accounts</w:t>
      </w:r>
      <w:r>
        <w:rPr>
          <w:sz w:val="22"/>
          <w:szCs w:val="22"/>
        </w:rPr>
        <w:t>.</w:t>
      </w:r>
      <w:r w:rsidRPr="00100B39">
        <w:rPr>
          <w:sz w:val="22"/>
          <w:szCs w:val="22"/>
        </w:rPr>
        <w:t xml:space="preserve"> </w:t>
      </w:r>
      <w:r w:rsidRPr="00100B39">
        <w:rPr>
          <w:i/>
          <w:sz w:val="22"/>
          <w:szCs w:val="22"/>
          <w:lang w:val="en-US"/>
        </w:rPr>
        <w:t>Jahrbuch für Regionalwissenschaft</w:t>
      </w:r>
      <w:r w:rsidR="008A1FC9">
        <w:rPr>
          <w:i/>
          <w:sz w:val="22"/>
          <w:szCs w:val="22"/>
          <w:lang w:val="en-US"/>
        </w:rPr>
        <w:t xml:space="preserve"> (Review of Regional Research)</w:t>
      </w:r>
      <w:r w:rsidR="008A1FC9">
        <w:rPr>
          <w:sz w:val="22"/>
          <w:szCs w:val="22"/>
          <w:lang w:val="en-US"/>
        </w:rPr>
        <w:t>, 32, 175</w:t>
      </w:r>
      <w:r w:rsidR="008A1FC9" w:rsidRPr="00100B39">
        <w:rPr>
          <w:sz w:val="22"/>
          <w:szCs w:val="22"/>
        </w:rPr>
        <w:sym w:font="Symbol" w:char="F02D"/>
      </w:r>
      <w:r w:rsidR="008A1FC9">
        <w:rPr>
          <w:sz w:val="22"/>
          <w:szCs w:val="22"/>
        </w:rPr>
        <w:t>191</w:t>
      </w:r>
      <w:r w:rsidRPr="00100B39">
        <w:rPr>
          <w:sz w:val="22"/>
          <w:szCs w:val="22"/>
        </w:rPr>
        <w:t>, doi: 10.1007/s10037-012-0065-2.</w:t>
      </w:r>
    </w:p>
    <w:p w:rsidR="0060181B" w:rsidRPr="0000057F" w:rsidRDefault="0060181B" w:rsidP="0060181B">
      <w:pPr>
        <w:widowControl w:val="0"/>
        <w:spacing w:line="360" w:lineRule="auto"/>
        <w:ind w:left="284" w:hanging="284"/>
        <w:rPr>
          <w:sz w:val="22"/>
          <w:szCs w:val="22"/>
        </w:rPr>
      </w:pPr>
      <w:r>
        <w:rPr>
          <w:sz w:val="22"/>
          <w:szCs w:val="22"/>
        </w:rPr>
        <w:t xml:space="preserve">Lahr, M.L. (1993). </w:t>
      </w:r>
      <w:proofErr w:type="gramStart"/>
      <w:r w:rsidRPr="0000057F">
        <w:rPr>
          <w:sz w:val="22"/>
          <w:szCs w:val="22"/>
        </w:rPr>
        <w:t>A Review of the Literature Supporting the Hybrid Approach to Constructing Regional Input</w:t>
      </w:r>
      <w:r w:rsidRPr="0000057F">
        <w:rPr>
          <w:sz w:val="22"/>
          <w:szCs w:val="22"/>
        </w:rPr>
        <w:sym w:font="Symbol" w:char="F02D"/>
      </w:r>
      <w:r w:rsidRPr="0000057F">
        <w:rPr>
          <w:sz w:val="22"/>
          <w:szCs w:val="22"/>
        </w:rPr>
        <w:t>Output Models.</w:t>
      </w:r>
      <w:proofErr w:type="gramEnd"/>
      <w:r w:rsidRPr="0000057F">
        <w:rPr>
          <w:sz w:val="22"/>
          <w:szCs w:val="22"/>
        </w:rPr>
        <w:t xml:space="preserve"> </w:t>
      </w:r>
      <w:proofErr w:type="gramStart"/>
      <w:r w:rsidRPr="0000057F">
        <w:rPr>
          <w:i/>
          <w:sz w:val="22"/>
          <w:szCs w:val="22"/>
        </w:rPr>
        <w:t>Economic Systems Research</w:t>
      </w:r>
      <w:r>
        <w:rPr>
          <w:sz w:val="22"/>
          <w:szCs w:val="22"/>
        </w:rPr>
        <w:t>,</w:t>
      </w:r>
      <w:r w:rsidRPr="0000057F">
        <w:rPr>
          <w:i/>
          <w:sz w:val="22"/>
          <w:szCs w:val="22"/>
        </w:rPr>
        <w:t xml:space="preserve"> </w:t>
      </w:r>
      <w:r w:rsidRPr="0000057F">
        <w:rPr>
          <w:sz w:val="22"/>
          <w:szCs w:val="22"/>
        </w:rPr>
        <w:t>5</w:t>
      </w:r>
      <w:r>
        <w:rPr>
          <w:sz w:val="22"/>
          <w:szCs w:val="22"/>
        </w:rPr>
        <w:t>,</w:t>
      </w:r>
      <w:r w:rsidRPr="0000057F">
        <w:rPr>
          <w:sz w:val="22"/>
          <w:szCs w:val="22"/>
        </w:rPr>
        <w:t xml:space="preserve"> 277</w:t>
      </w:r>
      <w:r w:rsidRPr="0000057F">
        <w:rPr>
          <w:sz w:val="22"/>
          <w:szCs w:val="22"/>
        </w:rPr>
        <w:sym w:font="Symbol" w:char="F02D"/>
      </w:r>
      <w:r>
        <w:rPr>
          <w:sz w:val="22"/>
          <w:szCs w:val="22"/>
        </w:rPr>
        <w:t>2</w:t>
      </w:r>
      <w:r w:rsidRPr="0000057F">
        <w:rPr>
          <w:sz w:val="22"/>
          <w:szCs w:val="22"/>
        </w:rPr>
        <w:t>93.</w:t>
      </w:r>
      <w:proofErr w:type="gramEnd"/>
    </w:p>
    <w:p w:rsidR="00C15E03" w:rsidRDefault="0060181B" w:rsidP="00372603">
      <w:pPr>
        <w:widowControl w:val="0"/>
        <w:spacing w:line="360" w:lineRule="auto"/>
        <w:ind w:left="284" w:hanging="284"/>
        <w:rPr>
          <w:sz w:val="22"/>
          <w:szCs w:val="22"/>
        </w:rPr>
      </w:pPr>
      <w:r>
        <w:rPr>
          <w:sz w:val="22"/>
          <w:szCs w:val="22"/>
        </w:rPr>
        <w:t xml:space="preserve">Lahr, M.L. (2001). </w:t>
      </w:r>
      <w:r w:rsidR="0044414D" w:rsidRPr="00A95D23">
        <w:rPr>
          <w:sz w:val="22"/>
          <w:szCs w:val="22"/>
        </w:rPr>
        <w:t>Reconciling Domestication Techniques, the Notion of Re-exports and Some Comments on Regional Accounting</w:t>
      </w:r>
      <w:r w:rsidRPr="0000057F">
        <w:rPr>
          <w:sz w:val="22"/>
          <w:szCs w:val="22"/>
        </w:rPr>
        <w:t xml:space="preserve">. </w:t>
      </w:r>
      <w:proofErr w:type="gramStart"/>
      <w:r w:rsidRPr="0000057F">
        <w:rPr>
          <w:i/>
          <w:sz w:val="22"/>
          <w:szCs w:val="22"/>
        </w:rPr>
        <w:t>Economic Systems Research</w:t>
      </w:r>
      <w:r>
        <w:rPr>
          <w:sz w:val="22"/>
          <w:szCs w:val="22"/>
        </w:rPr>
        <w:t>,</w:t>
      </w:r>
      <w:r w:rsidRPr="0000057F">
        <w:rPr>
          <w:i/>
          <w:sz w:val="22"/>
          <w:szCs w:val="22"/>
        </w:rPr>
        <w:t xml:space="preserve"> </w:t>
      </w:r>
      <w:r w:rsidR="0044414D">
        <w:rPr>
          <w:sz w:val="22"/>
          <w:szCs w:val="22"/>
        </w:rPr>
        <w:t>13</w:t>
      </w:r>
      <w:r>
        <w:rPr>
          <w:sz w:val="22"/>
          <w:szCs w:val="22"/>
        </w:rPr>
        <w:t>,</w:t>
      </w:r>
      <w:r w:rsidRPr="0000057F">
        <w:rPr>
          <w:sz w:val="22"/>
          <w:szCs w:val="22"/>
        </w:rPr>
        <w:t xml:space="preserve"> </w:t>
      </w:r>
      <w:r w:rsidR="00FF006A">
        <w:rPr>
          <w:sz w:val="22"/>
          <w:szCs w:val="22"/>
        </w:rPr>
        <w:t>165</w:t>
      </w:r>
      <w:r w:rsidRPr="0000057F">
        <w:rPr>
          <w:sz w:val="22"/>
          <w:szCs w:val="22"/>
        </w:rPr>
        <w:sym w:font="Symbol" w:char="F02D"/>
      </w:r>
      <w:r w:rsidR="00FF006A">
        <w:rPr>
          <w:sz w:val="22"/>
          <w:szCs w:val="22"/>
        </w:rPr>
        <w:t>179</w:t>
      </w:r>
      <w:r w:rsidRPr="0000057F">
        <w:rPr>
          <w:sz w:val="22"/>
          <w:szCs w:val="22"/>
        </w:rPr>
        <w:t>.</w:t>
      </w:r>
      <w:proofErr w:type="gramEnd"/>
    </w:p>
    <w:p w:rsidR="00C455A7" w:rsidRDefault="00C455A7" w:rsidP="00372603">
      <w:pPr>
        <w:widowControl w:val="0"/>
        <w:spacing w:line="360" w:lineRule="auto"/>
        <w:ind w:left="284" w:hanging="284"/>
        <w:rPr>
          <w:sz w:val="22"/>
          <w:szCs w:val="22"/>
        </w:rPr>
      </w:pPr>
      <w:proofErr w:type="gramStart"/>
      <w:r>
        <w:rPr>
          <w:sz w:val="22"/>
          <w:szCs w:val="22"/>
        </w:rPr>
        <w:t>Lahr, M.L. and B.H. Stevens (2002).</w:t>
      </w:r>
      <w:proofErr w:type="gramEnd"/>
      <w:r>
        <w:rPr>
          <w:sz w:val="22"/>
          <w:szCs w:val="22"/>
        </w:rPr>
        <w:t xml:space="preserve"> </w:t>
      </w:r>
      <w:proofErr w:type="gramStart"/>
      <w:r w:rsidRPr="0000057F">
        <w:rPr>
          <w:sz w:val="22"/>
          <w:szCs w:val="22"/>
        </w:rPr>
        <w:t xml:space="preserve">A </w:t>
      </w:r>
      <w:r>
        <w:rPr>
          <w:sz w:val="22"/>
          <w:szCs w:val="22"/>
        </w:rPr>
        <w:t>Study</w:t>
      </w:r>
      <w:r w:rsidRPr="0000057F">
        <w:rPr>
          <w:sz w:val="22"/>
          <w:szCs w:val="22"/>
        </w:rPr>
        <w:t xml:space="preserve"> of the </w:t>
      </w:r>
      <w:r>
        <w:rPr>
          <w:sz w:val="22"/>
          <w:szCs w:val="22"/>
        </w:rPr>
        <w:t>Role of Regionalization in</w:t>
      </w:r>
      <w:r w:rsidRPr="0000057F">
        <w:rPr>
          <w:sz w:val="22"/>
          <w:szCs w:val="22"/>
        </w:rPr>
        <w:t xml:space="preserve"> the </w:t>
      </w:r>
      <w:r>
        <w:rPr>
          <w:sz w:val="22"/>
          <w:szCs w:val="22"/>
        </w:rPr>
        <w:t>Generation of</w:t>
      </w:r>
      <w:r w:rsidRPr="0000057F">
        <w:rPr>
          <w:sz w:val="22"/>
          <w:szCs w:val="22"/>
        </w:rPr>
        <w:t xml:space="preserve"> A</w:t>
      </w:r>
      <w:r>
        <w:rPr>
          <w:sz w:val="22"/>
          <w:szCs w:val="22"/>
        </w:rPr>
        <w:t>ggregation Error</w:t>
      </w:r>
      <w:r w:rsidRPr="0000057F">
        <w:rPr>
          <w:sz w:val="22"/>
          <w:szCs w:val="22"/>
        </w:rPr>
        <w:t xml:space="preserve"> in Regional Input</w:t>
      </w:r>
      <w:r w:rsidRPr="0000057F">
        <w:rPr>
          <w:sz w:val="22"/>
          <w:szCs w:val="22"/>
        </w:rPr>
        <w:sym w:font="Symbol" w:char="F02D"/>
      </w:r>
      <w:r w:rsidRPr="0000057F">
        <w:rPr>
          <w:sz w:val="22"/>
          <w:szCs w:val="22"/>
        </w:rPr>
        <w:t>Output Models.</w:t>
      </w:r>
      <w:proofErr w:type="gramEnd"/>
      <w:r w:rsidRPr="0000057F">
        <w:rPr>
          <w:sz w:val="22"/>
          <w:szCs w:val="22"/>
        </w:rPr>
        <w:t xml:space="preserve"> </w:t>
      </w:r>
      <w:proofErr w:type="gramStart"/>
      <w:r>
        <w:rPr>
          <w:i/>
          <w:sz w:val="22"/>
          <w:szCs w:val="22"/>
        </w:rPr>
        <w:t>Journal of</w:t>
      </w:r>
      <w:r w:rsidRPr="0000057F">
        <w:rPr>
          <w:i/>
          <w:sz w:val="22"/>
          <w:szCs w:val="22"/>
        </w:rPr>
        <w:t xml:space="preserve"> </w:t>
      </w:r>
      <w:r>
        <w:rPr>
          <w:i/>
          <w:sz w:val="22"/>
          <w:szCs w:val="22"/>
        </w:rPr>
        <w:t xml:space="preserve">Regional </w:t>
      </w:r>
      <w:r w:rsidRPr="0000057F">
        <w:rPr>
          <w:i/>
          <w:sz w:val="22"/>
          <w:szCs w:val="22"/>
        </w:rPr>
        <w:t>Sc</w:t>
      </w:r>
      <w:r>
        <w:rPr>
          <w:i/>
          <w:sz w:val="22"/>
          <w:szCs w:val="22"/>
        </w:rPr>
        <w:t>ience</w:t>
      </w:r>
      <w:r>
        <w:rPr>
          <w:sz w:val="22"/>
          <w:szCs w:val="22"/>
        </w:rPr>
        <w:t>,</w:t>
      </w:r>
      <w:r w:rsidRPr="0000057F">
        <w:rPr>
          <w:i/>
          <w:sz w:val="22"/>
          <w:szCs w:val="22"/>
        </w:rPr>
        <w:t xml:space="preserve"> </w:t>
      </w:r>
      <w:r>
        <w:rPr>
          <w:sz w:val="22"/>
          <w:szCs w:val="22"/>
        </w:rPr>
        <w:t>42,</w:t>
      </w:r>
      <w:r w:rsidRPr="0000057F">
        <w:rPr>
          <w:sz w:val="22"/>
          <w:szCs w:val="22"/>
        </w:rPr>
        <w:t xml:space="preserve"> </w:t>
      </w:r>
      <w:r>
        <w:rPr>
          <w:sz w:val="22"/>
          <w:szCs w:val="22"/>
        </w:rPr>
        <w:t>4</w:t>
      </w:r>
      <w:r w:rsidRPr="0000057F">
        <w:rPr>
          <w:sz w:val="22"/>
          <w:szCs w:val="22"/>
        </w:rPr>
        <w:t>77</w:t>
      </w:r>
      <w:r w:rsidRPr="0000057F">
        <w:rPr>
          <w:sz w:val="22"/>
          <w:szCs w:val="22"/>
        </w:rPr>
        <w:sym w:font="Symbol" w:char="F02D"/>
      </w:r>
      <w:r>
        <w:rPr>
          <w:sz w:val="22"/>
          <w:szCs w:val="22"/>
        </w:rPr>
        <w:t>507</w:t>
      </w:r>
      <w:r w:rsidRPr="0000057F">
        <w:rPr>
          <w:sz w:val="22"/>
          <w:szCs w:val="22"/>
        </w:rPr>
        <w:t>.</w:t>
      </w:r>
      <w:proofErr w:type="gramEnd"/>
    </w:p>
    <w:p w:rsidR="00274835" w:rsidRPr="00274835" w:rsidRDefault="00274835" w:rsidP="00372603">
      <w:pPr>
        <w:widowControl w:val="0"/>
        <w:spacing w:line="360" w:lineRule="auto"/>
        <w:ind w:left="284" w:hanging="284"/>
        <w:rPr>
          <w:sz w:val="22"/>
          <w:szCs w:val="22"/>
        </w:rPr>
      </w:pPr>
      <w:proofErr w:type="gramStart"/>
      <w:r>
        <w:rPr>
          <w:sz w:val="22"/>
          <w:szCs w:val="22"/>
        </w:rPr>
        <w:t xml:space="preserve">Lindberg, G., P. </w:t>
      </w:r>
      <w:proofErr w:type="spellStart"/>
      <w:r>
        <w:rPr>
          <w:sz w:val="22"/>
          <w:szCs w:val="22"/>
        </w:rPr>
        <w:t>Midmore</w:t>
      </w:r>
      <w:proofErr w:type="spellEnd"/>
      <w:r>
        <w:rPr>
          <w:sz w:val="22"/>
          <w:szCs w:val="22"/>
        </w:rPr>
        <w:t xml:space="preserve"> and Y. Surry (2012).</w:t>
      </w:r>
      <w:proofErr w:type="gramEnd"/>
      <w:r>
        <w:rPr>
          <w:sz w:val="22"/>
          <w:szCs w:val="22"/>
        </w:rPr>
        <w:t xml:space="preserve"> </w:t>
      </w:r>
      <w:proofErr w:type="gramStart"/>
      <w:r>
        <w:rPr>
          <w:sz w:val="22"/>
          <w:szCs w:val="22"/>
        </w:rPr>
        <w:t>Agriculture’s Inter-Industry Linkages, Aggregation Bias and Rural Policy Reforms.</w:t>
      </w:r>
      <w:proofErr w:type="gramEnd"/>
      <w:r>
        <w:rPr>
          <w:sz w:val="22"/>
          <w:szCs w:val="22"/>
        </w:rPr>
        <w:t xml:space="preserve"> </w:t>
      </w:r>
      <w:r>
        <w:rPr>
          <w:i/>
          <w:sz w:val="22"/>
          <w:szCs w:val="22"/>
        </w:rPr>
        <w:t>Journal of Agricultural Economics</w:t>
      </w:r>
      <w:r>
        <w:rPr>
          <w:sz w:val="22"/>
          <w:szCs w:val="22"/>
        </w:rPr>
        <w:t>, 63, 552</w:t>
      </w:r>
      <w:r w:rsidRPr="0000057F">
        <w:rPr>
          <w:sz w:val="22"/>
          <w:szCs w:val="22"/>
        </w:rPr>
        <w:sym w:font="Symbol" w:char="F02D"/>
      </w:r>
      <w:r>
        <w:rPr>
          <w:sz w:val="22"/>
          <w:szCs w:val="22"/>
        </w:rPr>
        <w:t>575.</w:t>
      </w:r>
    </w:p>
    <w:p w:rsidR="00AE427A" w:rsidRDefault="0061439C" w:rsidP="003669CB">
      <w:pPr>
        <w:pStyle w:val="Normaali1"/>
        <w:spacing w:after="120"/>
        <w:ind w:left="284" w:hanging="284"/>
        <w:rPr>
          <w:rFonts w:ascii="Times New Roman" w:hAnsi="Times New Roman"/>
          <w:sz w:val="22"/>
          <w:szCs w:val="22"/>
          <w:lang w:val="en-GB"/>
        </w:rPr>
      </w:pPr>
      <w:r w:rsidRPr="00AE427A">
        <w:rPr>
          <w:rFonts w:ascii="Times New Roman" w:hAnsi="Times New Roman"/>
          <w:sz w:val="22"/>
          <w:szCs w:val="22"/>
        </w:rPr>
        <w:t>Miller</w:t>
      </w:r>
      <w:r w:rsidR="00AE427A" w:rsidRPr="00AE427A">
        <w:rPr>
          <w:rFonts w:ascii="Times New Roman" w:hAnsi="Times New Roman"/>
          <w:sz w:val="22"/>
          <w:szCs w:val="22"/>
        </w:rPr>
        <w:t>,</w:t>
      </w:r>
      <w:r w:rsidRPr="00AE427A">
        <w:rPr>
          <w:rFonts w:ascii="Times New Roman" w:hAnsi="Times New Roman"/>
          <w:sz w:val="22"/>
          <w:szCs w:val="22"/>
        </w:rPr>
        <w:t xml:space="preserve"> </w:t>
      </w:r>
      <w:r w:rsidR="00AE427A" w:rsidRPr="00AE427A">
        <w:rPr>
          <w:rFonts w:ascii="Times New Roman" w:hAnsi="Times New Roman"/>
          <w:sz w:val="22"/>
          <w:szCs w:val="22"/>
          <w:lang w:val="en-GB"/>
        </w:rPr>
        <w:t xml:space="preserve">R.E. and P.D. Blair (2009) </w:t>
      </w:r>
      <w:r w:rsidR="00AE427A" w:rsidRPr="00AE427A">
        <w:rPr>
          <w:rFonts w:ascii="Times New Roman" w:hAnsi="Times New Roman"/>
          <w:i/>
          <w:sz w:val="22"/>
          <w:szCs w:val="22"/>
          <w:lang w:val="en-GB"/>
        </w:rPr>
        <w:t>Input</w:t>
      </w:r>
      <w:r w:rsidR="00AE427A" w:rsidRPr="00AE427A">
        <w:rPr>
          <w:rFonts w:ascii="Times New Roman" w:hAnsi="Times New Roman"/>
          <w:i/>
          <w:sz w:val="22"/>
          <w:szCs w:val="22"/>
          <w:lang w:val="en-GB"/>
        </w:rPr>
        <w:sym w:font="Symbol" w:char="F02D"/>
      </w:r>
      <w:r w:rsidR="00AE427A" w:rsidRPr="00AE427A">
        <w:rPr>
          <w:rFonts w:ascii="Times New Roman" w:hAnsi="Times New Roman"/>
          <w:i/>
          <w:sz w:val="22"/>
          <w:szCs w:val="22"/>
          <w:lang w:val="en-GB"/>
        </w:rPr>
        <w:t>Output Analysis: Foundations and Extensions</w:t>
      </w:r>
      <w:r w:rsidR="00AE427A" w:rsidRPr="00AE427A">
        <w:rPr>
          <w:rFonts w:ascii="Times New Roman" w:hAnsi="Times New Roman"/>
          <w:sz w:val="22"/>
          <w:szCs w:val="22"/>
          <w:lang w:val="en-GB"/>
        </w:rPr>
        <w:t>, 2</w:t>
      </w:r>
      <w:r w:rsidR="00AE427A" w:rsidRPr="00AE427A">
        <w:rPr>
          <w:rFonts w:ascii="Times New Roman" w:hAnsi="Times New Roman"/>
          <w:sz w:val="22"/>
          <w:szCs w:val="22"/>
          <w:vertAlign w:val="superscript"/>
          <w:lang w:val="en-GB"/>
        </w:rPr>
        <w:t>nd</w:t>
      </w:r>
      <w:r w:rsidR="00AE427A" w:rsidRPr="00AE427A">
        <w:rPr>
          <w:rFonts w:ascii="Times New Roman" w:hAnsi="Times New Roman"/>
          <w:sz w:val="22"/>
          <w:szCs w:val="22"/>
          <w:lang w:val="en-GB"/>
        </w:rPr>
        <w:t xml:space="preserve"> edition. Cambridge University Press, Cambridge.</w:t>
      </w:r>
    </w:p>
    <w:p w:rsidR="00CB3A23" w:rsidRDefault="00CB3A23" w:rsidP="00CB3A23">
      <w:pPr>
        <w:widowControl w:val="0"/>
        <w:spacing w:line="360" w:lineRule="auto"/>
        <w:ind w:left="284" w:hanging="284"/>
        <w:rPr>
          <w:sz w:val="22"/>
          <w:szCs w:val="22"/>
        </w:rPr>
      </w:pPr>
      <w:r w:rsidRPr="00157F46">
        <w:rPr>
          <w:sz w:val="22"/>
          <w:szCs w:val="22"/>
        </w:rPr>
        <w:t>Robison, M.H. and J.R. Miller</w:t>
      </w:r>
      <w:r>
        <w:rPr>
          <w:sz w:val="22"/>
          <w:szCs w:val="22"/>
        </w:rPr>
        <w:t xml:space="preserve"> (</w:t>
      </w:r>
      <w:r w:rsidRPr="00157F46">
        <w:rPr>
          <w:sz w:val="22"/>
          <w:szCs w:val="22"/>
        </w:rPr>
        <w:t>1988</w:t>
      </w:r>
      <w:r>
        <w:rPr>
          <w:sz w:val="22"/>
          <w:szCs w:val="22"/>
        </w:rPr>
        <w:t>)</w:t>
      </w:r>
      <w:r w:rsidRPr="00157F46">
        <w:rPr>
          <w:sz w:val="22"/>
          <w:szCs w:val="22"/>
        </w:rPr>
        <w:t xml:space="preserve"> </w:t>
      </w:r>
      <w:r>
        <w:rPr>
          <w:sz w:val="22"/>
          <w:szCs w:val="22"/>
        </w:rPr>
        <w:t>C</w:t>
      </w:r>
      <w:r w:rsidRPr="00157F46">
        <w:rPr>
          <w:sz w:val="22"/>
          <w:szCs w:val="22"/>
        </w:rPr>
        <w:t xml:space="preserve">ross-hauling and </w:t>
      </w:r>
      <w:r>
        <w:rPr>
          <w:sz w:val="22"/>
          <w:szCs w:val="22"/>
        </w:rPr>
        <w:t>N</w:t>
      </w:r>
      <w:r w:rsidRPr="00157F46">
        <w:rPr>
          <w:sz w:val="22"/>
          <w:szCs w:val="22"/>
        </w:rPr>
        <w:t xml:space="preserve">onsurvey </w:t>
      </w:r>
      <w:r>
        <w:rPr>
          <w:sz w:val="22"/>
          <w:szCs w:val="22"/>
        </w:rPr>
        <w:t>I</w:t>
      </w:r>
      <w:r w:rsidRPr="00157F46">
        <w:rPr>
          <w:sz w:val="22"/>
          <w:szCs w:val="22"/>
        </w:rPr>
        <w:t>nput</w:t>
      </w:r>
      <w:r w:rsidRPr="00157F46">
        <w:rPr>
          <w:sz w:val="22"/>
          <w:szCs w:val="22"/>
        </w:rPr>
        <w:sym w:font="Symbol" w:char="F02D"/>
      </w:r>
      <w:r>
        <w:rPr>
          <w:sz w:val="22"/>
          <w:szCs w:val="22"/>
        </w:rPr>
        <w:t>Output M</w:t>
      </w:r>
      <w:r w:rsidRPr="00157F46">
        <w:rPr>
          <w:sz w:val="22"/>
          <w:szCs w:val="22"/>
        </w:rPr>
        <w:t xml:space="preserve">odels: </w:t>
      </w:r>
      <w:r>
        <w:rPr>
          <w:sz w:val="22"/>
          <w:szCs w:val="22"/>
        </w:rPr>
        <w:t>S</w:t>
      </w:r>
      <w:r w:rsidRPr="00157F46">
        <w:rPr>
          <w:sz w:val="22"/>
          <w:szCs w:val="22"/>
        </w:rPr>
        <w:t xml:space="preserve">ome </w:t>
      </w:r>
      <w:r>
        <w:rPr>
          <w:sz w:val="22"/>
          <w:szCs w:val="22"/>
        </w:rPr>
        <w:t>L</w:t>
      </w:r>
      <w:r w:rsidRPr="00157F46">
        <w:rPr>
          <w:sz w:val="22"/>
          <w:szCs w:val="22"/>
        </w:rPr>
        <w:t xml:space="preserve">essons from </w:t>
      </w:r>
      <w:r>
        <w:rPr>
          <w:sz w:val="22"/>
          <w:szCs w:val="22"/>
        </w:rPr>
        <w:t>S</w:t>
      </w:r>
      <w:r w:rsidRPr="00157F46">
        <w:rPr>
          <w:sz w:val="22"/>
          <w:szCs w:val="22"/>
        </w:rPr>
        <w:t xml:space="preserve">mall-area </w:t>
      </w:r>
      <w:r>
        <w:rPr>
          <w:sz w:val="22"/>
          <w:szCs w:val="22"/>
        </w:rPr>
        <w:t>T</w:t>
      </w:r>
      <w:r w:rsidRPr="00157F46">
        <w:rPr>
          <w:sz w:val="22"/>
          <w:szCs w:val="22"/>
        </w:rPr>
        <w:t xml:space="preserve">imber </w:t>
      </w:r>
      <w:r>
        <w:rPr>
          <w:sz w:val="22"/>
          <w:szCs w:val="22"/>
        </w:rPr>
        <w:t>E</w:t>
      </w:r>
      <w:r w:rsidRPr="00157F46">
        <w:rPr>
          <w:sz w:val="22"/>
          <w:szCs w:val="22"/>
        </w:rPr>
        <w:t>conomies</w:t>
      </w:r>
      <w:r>
        <w:rPr>
          <w:sz w:val="22"/>
          <w:szCs w:val="22"/>
        </w:rPr>
        <w:t>.</w:t>
      </w:r>
      <w:r w:rsidRPr="00157F46">
        <w:rPr>
          <w:sz w:val="22"/>
          <w:szCs w:val="22"/>
        </w:rPr>
        <w:t xml:space="preserve"> </w:t>
      </w:r>
      <w:proofErr w:type="gramStart"/>
      <w:r w:rsidRPr="00157F46">
        <w:rPr>
          <w:i/>
          <w:sz w:val="22"/>
          <w:szCs w:val="22"/>
        </w:rPr>
        <w:t>Environment and Planning A</w:t>
      </w:r>
      <w:r>
        <w:rPr>
          <w:sz w:val="22"/>
          <w:szCs w:val="22"/>
        </w:rPr>
        <w:t>,</w:t>
      </w:r>
      <w:r w:rsidRPr="00157F46">
        <w:rPr>
          <w:i/>
          <w:sz w:val="22"/>
          <w:szCs w:val="22"/>
        </w:rPr>
        <w:t xml:space="preserve"> </w:t>
      </w:r>
      <w:r w:rsidRPr="00157F46">
        <w:rPr>
          <w:sz w:val="22"/>
          <w:szCs w:val="22"/>
        </w:rPr>
        <w:t>20</w:t>
      </w:r>
      <w:r>
        <w:rPr>
          <w:sz w:val="22"/>
          <w:szCs w:val="22"/>
        </w:rPr>
        <w:t xml:space="preserve">, </w:t>
      </w:r>
      <w:r w:rsidRPr="00157F46">
        <w:rPr>
          <w:sz w:val="22"/>
          <w:szCs w:val="22"/>
        </w:rPr>
        <w:t>1523</w:t>
      </w:r>
      <w:r w:rsidRPr="00157F46">
        <w:rPr>
          <w:sz w:val="22"/>
          <w:szCs w:val="22"/>
        </w:rPr>
        <w:sym w:font="Symbol" w:char="F02D"/>
      </w:r>
      <w:r>
        <w:rPr>
          <w:sz w:val="22"/>
          <w:szCs w:val="22"/>
        </w:rPr>
        <w:t>15</w:t>
      </w:r>
      <w:r w:rsidRPr="00157F46">
        <w:rPr>
          <w:sz w:val="22"/>
          <w:szCs w:val="22"/>
        </w:rPr>
        <w:t>30.</w:t>
      </w:r>
      <w:proofErr w:type="gramEnd"/>
    </w:p>
    <w:p w:rsidR="0027237F" w:rsidRDefault="0027237F" w:rsidP="00A443B0">
      <w:pPr>
        <w:widowControl w:val="0"/>
        <w:spacing w:line="360" w:lineRule="auto"/>
        <w:ind w:left="284" w:hanging="284"/>
        <w:rPr>
          <w:sz w:val="22"/>
          <w:szCs w:val="22"/>
        </w:rPr>
      </w:pPr>
      <w:proofErr w:type="gramStart"/>
      <w:r w:rsidRPr="0027237F">
        <w:rPr>
          <w:sz w:val="22"/>
          <w:szCs w:val="22"/>
        </w:rPr>
        <w:t>Sawyer, C.H. and R.E. Miller (1983) Experiments in Regionalization of a National Input</w:t>
      </w:r>
      <w:r w:rsidRPr="0027237F">
        <w:rPr>
          <w:sz w:val="22"/>
          <w:szCs w:val="22"/>
        </w:rPr>
        <w:sym w:font="Symbol" w:char="F02D"/>
      </w:r>
      <w:r w:rsidRPr="0027237F">
        <w:rPr>
          <w:sz w:val="22"/>
          <w:szCs w:val="22"/>
        </w:rPr>
        <w:t>Output Table.</w:t>
      </w:r>
      <w:proofErr w:type="gramEnd"/>
      <w:r w:rsidRPr="0027237F">
        <w:rPr>
          <w:sz w:val="22"/>
          <w:szCs w:val="22"/>
        </w:rPr>
        <w:t xml:space="preserve"> </w:t>
      </w:r>
      <w:proofErr w:type="gramStart"/>
      <w:r w:rsidRPr="0027237F">
        <w:rPr>
          <w:i/>
          <w:sz w:val="22"/>
          <w:szCs w:val="22"/>
        </w:rPr>
        <w:t>Environment and Planning A</w:t>
      </w:r>
      <w:r w:rsidRPr="0027237F">
        <w:rPr>
          <w:sz w:val="22"/>
          <w:szCs w:val="22"/>
        </w:rPr>
        <w:t>,</w:t>
      </w:r>
      <w:r w:rsidRPr="0027237F">
        <w:rPr>
          <w:i/>
          <w:sz w:val="22"/>
          <w:szCs w:val="22"/>
        </w:rPr>
        <w:t xml:space="preserve"> </w:t>
      </w:r>
      <w:r w:rsidRPr="0027237F">
        <w:rPr>
          <w:sz w:val="22"/>
          <w:szCs w:val="22"/>
        </w:rPr>
        <w:t>15, 1501</w:t>
      </w:r>
      <w:r w:rsidRPr="0027237F">
        <w:rPr>
          <w:sz w:val="22"/>
          <w:szCs w:val="22"/>
        </w:rPr>
        <w:sym w:font="Symbol" w:char="F02D"/>
      </w:r>
      <w:r w:rsidRPr="0027237F">
        <w:rPr>
          <w:sz w:val="22"/>
          <w:szCs w:val="22"/>
        </w:rPr>
        <w:t>1520.</w:t>
      </w:r>
      <w:proofErr w:type="gramEnd"/>
    </w:p>
    <w:p w:rsidR="0031425D" w:rsidRPr="0031425D" w:rsidRDefault="0031425D" w:rsidP="003669CB">
      <w:pPr>
        <w:widowControl w:val="0"/>
        <w:tabs>
          <w:tab w:val="left" w:pos="1458"/>
          <w:tab w:val="left" w:pos="2754"/>
          <w:tab w:val="left" w:pos="4050"/>
          <w:tab w:val="left" w:pos="5346"/>
          <w:tab w:val="left" w:pos="6642"/>
          <w:tab w:val="left" w:pos="7938"/>
        </w:tabs>
        <w:spacing w:line="360" w:lineRule="auto"/>
        <w:ind w:left="284" w:hanging="284"/>
        <w:rPr>
          <w:sz w:val="22"/>
          <w:szCs w:val="22"/>
        </w:rPr>
      </w:pPr>
      <w:r w:rsidRPr="0031425D">
        <w:rPr>
          <w:sz w:val="22"/>
          <w:szCs w:val="22"/>
        </w:rPr>
        <w:t xml:space="preserve">Statistics Finland (2000) </w:t>
      </w:r>
      <w:r w:rsidRPr="0031425D">
        <w:rPr>
          <w:i/>
          <w:sz w:val="22"/>
          <w:szCs w:val="22"/>
        </w:rPr>
        <w:t>Regional Input</w:t>
      </w:r>
      <w:r w:rsidRPr="0031425D">
        <w:rPr>
          <w:i/>
          <w:sz w:val="22"/>
          <w:szCs w:val="22"/>
        </w:rPr>
        <w:sym w:font="Symbol" w:char="F02D"/>
      </w:r>
      <w:r w:rsidRPr="0031425D">
        <w:rPr>
          <w:i/>
          <w:sz w:val="22"/>
          <w:szCs w:val="22"/>
        </w:rPr>
        <w:t>Output 1995: tables and compilation methods</w:t>
      </w:r>
      <w:r w:rsidRPr="0031425D">
        <w:rPr>
          <w:sz w:val="22"/>
          <w:szCs w:val="22"/>
        </w:rPr>
        <w:t xml:space="preserve">. </w:t>
      </w:r>
      <w:proofErr w:type="gramStart"/>
      <w:r w:rsidRPr="0031425D">
        <w:rPr>
          <w:sz w:val="22"/>
          <w:szCs w:val="22"/>
        </w:rPr>
        <w:t>Official Statistics of Finland, Helsinki.</w:t>
      </w:r>
      <w:proofErr w:type="gramEnd"/>
    </w:p>
    <w:p w:rsidR="00372603" w:rsidRPr="00691BE6" w:rsidRDefault="00372603" w:rsidP="00372603">
      <w:pPr>
        <w:widowControl w:val="0"/>
        <w:spacing w:line="360" w:lineRule="auto"/>
        <w:ind w:left="284" w:hanging="284"/>
        <w:rPr>
          <w:sz w:val="22"/>
          <w:szCs w:val="22"/>
          <w:lang w:val="en-US"/>
        </w:rPr>
      </w:pPr>
      <w:proofErr w:type="gramStart"/>
      <w:r w:rsidRPr="007113B8">
        <w:rPr>
          <w:sz w:val="22"/>
          <w:szCs w:val="22"/>
        </w:rPr>
        <w:t>T</w:t>
      </w:r>
      <w:r w:rsidRPr="00D82461">
        <w:rPr>
          <w:sz w:val="22"/>
          <w:szCs w:val="22"/>
        </w:rPr>
        <w:t>heil</w:t>
      </w:r>
      <w:r>
        <w:rPr>
          <w:sz w:val="22"/>
          <w:szCs w:val="22"/>
        </w:rPr>
        <w:t>,</w:t>
      </w:r>
      <w:r w:rsidRPr="007113B8">
        <w:rPr>
          <w:sz w:val="22"/>
          <w:szCs w:val="22"/>
        </w:rPr>
        <w:t xml:space="preserve"> H., G.A.C.</w:t>
      </w:r>
      <w:r>
        <w:rPr>
          <w:sz w:val="22"/>
          <w:szCs w:val="22"/>
        </w:rPr>
        <w:t xml:space="preserve"> </w:t>
      </w:r>
      <w:proofErr w:type="spellStart"/>
      <w:r w:rsidRPr="007113B8">
        <w:rPr>
          <w:sz w:val="22"/>
          <w:szCs w:val="22"/>
        </w:rPr>
        <w:t>B</w:t>
      </w:r>
      <w:r w:rsidRPr="00D82461">
        <w:rPr>
          <w:sz w:val="22"/>
          <w:szCs w:val="22"/>
        </w:rPr>
        <w:t>eerens</w:t>
      </w:r>
      <w:proofErr w:type="spellEnd"/>
      <w:r w:rsidRPr="007113B8">
        <w:rPr>
          <w:sz w:val="22"/>
          <w:szCs w:val="22"/>
        </w:rPr>
        <w:t>, C.G.</w:t>
      </w:r>
      <w:r>
        <w:rPr>
          <w:sz w:val="22"/>
          <w:szCs w:val="22"/>
        </w:rPr>
        <w:t xml:space="preserve"> </w:t>
      </w:r>
      <w:proofErr w:type="spellStart"/>
      <w:r w:rsidRPr="007113B8">
        <w:rPr>
          <w:sz w:val="22"/>
          <w:szCs w:val="22"/>
        </w:rPr>
        <w:t>D</w:t>
      </w:r>
      <w:r>
        <w:rPr>
          <w:sz w:val="22"/>
          <w:szCs w:val="22"/>
        </w:rPr>
        <w:t>e</w:t>
      </w:r>
      <w:r w:rsidRPr="007113B8">
        <w:rPr>
          <w:sz w:val="22"/>
          <w:szCs w:val="22"/>
        </w:rPr>
        <w:t>L</w:t>
      </w:r>
      <w:r w:rsidRPr="00D82461">
        <w:rPr>
          <w:sz w:val="22"/>
          <w:szCs w:val="22"/>
        </w:rPr>
        <w:t>eeuw</w:t>
      </w:r>
      <w:proofErr w:type="spellEnd"/>
      <w:r w:rsidRPr="007113B8">
        <w:rPr>
          <w:sz w:val="22"/>
          <w:szCs w:val="22"/>
        </w:rPr>
        <w:t xml:space="preserve"> and C.B.</w:t>
      </w:r>
      <w:r>
        <w:rPr>
          <w:sz w:val="22"/>
          <w:szCs w:val="22"/>
        </w:rPr>
        <w:t xml:space="preserve"> </w:t>
      </w:r>
      <w:proofErr w:type="spellStart"/>
      <w:r w:rsidRPr="007113B8">
        <w:rPr>
          <w:sz w:val="22"/>
          <w:szCs w:val="22"/>
        </w:rPr>
        <w:t>T</w:t>
      </w:r>
      <w:r w:rsidRPr="00D82461">
        <w:rPr>
          <w:sz w:val="22"/>
          <w:szCs w:val="22"/>
        </w:rPr>
        <w:t>ilanus</w:t>
      </w:r>
      <w:proofErr w:type="spellEnd"/>
      <w:r w:rsidRPr="007113B8">
        <w:rPr>
          <w:sz w:val="22"/>
          <w:szCs w:val="22"/>
        </w:rPr>
        <w:t xml:space="preserve"> (1966)</w:t>
      </w:r>
      <w:r>
        <w:rPr>
          <w:sz w:val="22"/>
          <w:szCs w:val="22"/>
        </w:rPr>
        <w:t>.</w:t>
      </w:r>
      <w:proofErr w:type="gramEnd"/>
      <w:r w:rsidRPr="007113B8">
        <w:rPr>
          <w:sz w:val="22"/>
          <w:szCs w:val="22"/>
        </w:rPr>
        <w:t xml:space="preserve"> </w:t>
      </w:r>
      <w:r w:rsidRPr="007113B8">
        <w:rPr>
          <w:i/>
          <w:sz w:val="22"/>
          <w:szCs w:val="22"/>
        </w:rPr>
        <w:t>Applied Economic Forecasting</w:t>
      </w:r>
      <w:r w:rsidR="009F65BE">
        <w:rPr>
          <w:sz w:val="22"/>
          <w:szCs w:val="22"/>
        </w:rPr>
        <w:t>.</w:t>
      </w:r>
      <w:r w:rsidRPr="007113B8">
        <w:rPr>
          <w:sz w:val="22"/>
          <w:szCs w:val="22"/>
        </w:rPr>
        <w:t xml:space="preserve"> Elsevier, New York.</w:t>
      </w:r>
    </w:p>
    <w:p w:rsidR="002D159D" w:rsidRDefault="00AA2B5A" w:rsidP="00D708B3">
      <w:pPr>
        <w:spacing w:line="360" w:lineRule="auto"/>
        <w:ind w:left="284" w:hanging="284"/>
        <w:rPr>
          <w:sz w:val="22"/>
          <w:szCs w:val="22"/>
        </w:rPr>
      </w:pPr>
      <w:proofErr w:type="gramStart"/>
      <w:r w:rsidRPr="00D708B3">
        <w:rPr>
          <w:color w:val="000000"/>
          <w:sz w:val="22"/>
          <w:szCs w:val="22"/>
        </w:rPr>
        <w:t>Tohmo, T. (2004)</w:t>
      </w:r>
      <w:r w:rsidR="00D708B3" w:rsidRPr="00D708B3">
        <w:rPr>
          <w:sz w:val="22"/>
          <w:szCs w:val="22"/>
        </w:rPr>
        <w:t xml:space="preserve"> New </w:t>
      </w:r>
      <w:r w:rsidR="00D708B3">
        <w:rPr>
          <w:sz w:val="22"/>
          <w:szCs w:val="22"/>
        </w:rPr>
        <w:t>D</w:t>
      </w:r>
      <w:r w:rsidR="00D708B3" w:rsidRPr="00D708B3">
        <w:rPr>
          <w:sz w:val="22"/>
          <w:szCs w:val="22"/>
        </w:rPr>
        <w:t xml:space="preserve">evelopments in the </w:t>
      </w:r>
      <w:r w:rsidR="00D708B3">
        <w:rPr>
          <w:sz w:val="22"/>
          <w:szCs w:val="22"/>
        </w:rPr>
        <w:t>U</w:t>
      </w:r>
      <w:r w:rsidR="00D708B3" w:rsidRPr="00D708B3">
        <w:rPr>
          <w:sz w:val="22"/>
          <w:szCs w:val="22"/>
        </w:rPr>
        <w:t xml:space="preserve">se of </w:t>
      </w:r>
      <w:r w:rsidR="00D708B3">
        <w:rPr>
          <w:sz w:val="22"/>
          <w:szCs w:val="22"/>
        </w:rPr>
        <w:t>L</w:t>
      </w:r>
      <w:r w:rsidR="00D708B3" w:rsidRPr="00D708B3">
        <w:rPr>
          <w:sz w:val="22"/>
          <w:szCs w:val="22"/>
        </w:rPr>
        <w:t xml:space="preserve">ocation </w:t>
      </w:r>
      <w:r w:rsidR="00D708B3">
        <w:rPr>
          <w:sz w:val="22"/>
          <w:szCs w:val="22"/>
        </w:rPr>
        <w:t>Q</w:t>
      </w:r>
      <w:r w:rsidR="00D708B3" w:rsidRPr="00D708B3">
        <w:rPr>
          <w:sz w:val="22"/>
          <w:szCs w:val="22"/>
        </w:rPr>
        <w:t xml:space="preserve">uotients to </w:t>
      </w:r>
      <w:r w:rsidR="00D708B3">
        <w:rPr>
          <w:sz w:val="22"/>
          <w:szCs w:val="22"/>
        </w:rPr>
        <w:t>E</w:t>
      </w:r>
      <w:r w:rsidR="00D708B3" w:rsidRPr="00D708B3">
        <w:rPr>
          <w:sz w:val="22"/>
          <w:szCs w:val="22"/>
        </w:rPr>
        <w:t xml:space="preserve">stimate </w:t>
      </w:r>
      <w:r w:rsidR="00D708B3">
        <w:rPr>
          <w:sz w:val="22"/>
          <w:szCs w:val="22"/>
        </w:rPr>
        <w:t>R</w:t>
      </w:r>
      <w:r w:rsidR="00D708B3" w:rsidRPr="00D708B3">
        <w:rPr>
          <w:sz w:val="22"/>
          <w:szCs w:val="22"/>
        </w:rPr>
        <w:t xml:space="preserve">egional </w:t>
      </w:r>
      <w:r w:rsidR="00D708B3">
        <w:rPr>
          <w:sz w:val="22"/>
          <w:szCs w:val="22"/>
        </w:rPr>
        <w:t>I</w:t>
      </w:r>
      <w:r w:rsidR="00D708B3" w:rsidRPr="00D708B3">
        <w:rPr>
          <w:sz w:val="22"/>
          <w:szCs w:val="22"/>
        </w:rPr>
        <w:t>nput</w:t>
      </w:r>
      <w:r w:rsidR="00D708B3" w:rsidRPr="00D708B3">
        <w:rPr>
          <w:sz w:val="22"/>
          <w:szCs w:val="22"/>
        </w:rPr>
        <w:sym w:font="Symbol" w:char="F02D"/>
      </w:r>
      <w:r w:rsidR="00D708B3">
        <w:rPr>
          <w:sz w:val="22"/>
          <w:szCs w:val="22"/>
        </w:rPr>
        <w:t>O</w:t>
      </w:r>
      <w:r w:rsidR="00D708B3" w:rsidRPr="00D708B3">
        <w:rPr>
          <w:sz w:val="22"/>
          <w:szCs w:val="22"/>
        </w:rPr>
        <w:t xml:space="preserve">utput </w:t>
      </w:r>
      <w:r w:rsidR="00D708B3">
        <w:rPr>
          <w:sz w:val="22"/>
          <w:szCs w:val="22"/>
        </w:rPr>
        <w:t>C</w:t>
      </w:r>
      <w:r w:rsidR="00D708B3" w:rsidRPr="00D708B3">
        <w:rPr>
          <w:sz w:val="22"/>
          <w:szCs w:val="22"/>
        </w:rPr>
        <w:t xml:space="preserve">oefficients and </w:t>
      </w:r>
      <w:r w:rsidR="00D708B3">
        <w:rPr>
          <w:sz w:val="22"/>
          <w:szCs w:val="22"/>
        </w:rPr>
        <w:t>M</w:t>
      </w:r>
      <w:r w:rsidR="00D708B3" w:rsidRPr="00D708B3">
        <w:rPr>
          <w:sz w:val="22"/>
          <w:szCs w:val="22"/>
        </w:rPr>
        <w:t>ultipliers</w:t>
      </w:r>
      <w:r w:rsidR="00D708B3">
        <w:rPr>
          <w:sz w:val="22"/>
          <w:szCs w:val="22"/>
        </w:rPr>
        <w:t>.</w:t>
      </w:r>
      <w:proofErr w:type="gramEnd"/>
      <w:r w:rsidR="00D708B3" w:rsidRPr="00D708B3">
        <w:rPr>
          <w:sz w:val="22"/>
          <w:szCs w:val="22"/>
        </w:rPr>
        <w:t xml:space="preserve"> </w:t>
      </w:r>
      <w:proofErr w:type="gramStart"/>
      <w:r w:rsidR="00D708B3" w:rsidRPr="00D708B3">
        <w:rPr>
          <w:i/>
          <w:sz w:val="22"/>
          <w:szCs w:val="22"/>
        </w:rPr>
        <w:t>Regional Studies</w:t>
      </w:r>
      <w:r w:rsidR="00D708B3" w:rsidRPr="00D708B3">
        <w:rPr>
          <w:sz w:val="22"/>
          <w:szCs w:val="22"/>
        </w:rPr>
        <w:t>, 38, 43</w:t>
      </w:r>
      <w:r w:rsidR="00D708B3" w:rsidRPr="00D708B3">
        <w:rPr>
          <w:sz w:val="22"/>
          <w:szCs w:val="22"/>
        </w:rPr>
        <w:sym w:font="Symbol" w:char="F02D"/>
      </w:r>
      <w:r w:rsidR="00D708B3" w:rsidRPr="00D708B3">
        <w:rPr>
          <w:sz w:val="22"/>
          <w:szCs w:val="22"/>
        </w:rPr>
        <w:t>54.</w:t>
      </w:r>
      <w:proofErr w:type="gramEnd"/>
    </w:p>
    <w:p w:rsidR="002D159D" w:rsidRDefault="002D159D">
      <w:pPr>
        <w:spacing w:after="0"/>
        <w:ind w:firstLine="0"/>
        <w:jc w:val="left"/>
        <w:rPr>
          <w:sz w:val="22"/>
          <w:szCs w:val="22"/>
        </w:rPr>
      </w:pPr>
      <w:r>
        <w:rPr>
          <w:sz w:val="22"/>
          <w:szCs w:val="22"/>
        </w:rPr>
        <w:br w:type="page"/>
      </w:r>
    </w:p>
    <w:p w:rsidR="00640027" w:rsidRPr="004D3052" w:rsidRDefault="00640027" w:rsidP="00EC7A2E">
      <w:pPr>
        <w:pStyle w:val="Caption"/>
        <w:spacing w:before="240"/>
        <w:ind w:left="567" w:firstLine="0"/>
        <w:jc w:val="left"/>
        <w:rPr>
          <w:rFonts w:ascii="Times New Roman" w:hAnsi="Times New Roman" w:cs="Times New Roman"/>
          <w:sz w:val="24"/>
          <w:szCs w:val="24"/>
          <w:lang w:val="en-US"/>
        </w:rPr>
      </w:pPr>
      <w:bookmarkStart w:id="1" w:name="_Ref327255378"/>
      <w:r w:rsidRPr="00F82029">
        <w:rPr>
          <w:rFonts w:ascii="Times New Roman" w:hAnsi="Times New Roman" w:cs="Times New Roman"/>
          <w:b w:val="0"/>
          <w:sz w:val="24"/>
          <w:szCs w:val="24"/>
          <w:lang w:val="en-US"/>
        </w:rPr>
        <w:lastRenderedPageBreak/>
        <w:t>T</w:t>
      </w:r>
      <w:r>
        <w:rPr>
          <w:rFonts w:ascii="Times New Roman" w:hAnsi="Times New Roman" w:cs="Times New Roman"/>
          <w:b w:val="0"/>
          <w:sz w:val="24"/>
          <w:szCs w:val="24"/>
          <w:lang w:val="en-US"/>
        </w:rPr>
        <w:t>ABLE</w:t>
      </w:r>
      <w:r w:rsidRPr="00F82029">
        <w:rPr>
          <w:rFonts w:ascii="Times New Roman" w:hAnsi="Times New Roman" w:cs="Times New Roman"/>
          <w:b w:val="0"/>
          <w:sz w:val="24"/>
          <w:szCs w:val="24"/>
          <w:lang w:val="en-US"/>
        </w:rPr>
        <w:t xml:space="preserve"> </w:t>
      </w:r>
      <w:r w:rsidR="00603E01">
        <w:rPr>
          <w:rFonts w:ascii="Times New Roman" w:hAnsi="Times New Roman" w:cs="Times New Roman"/>
          <w:b w:val="0"/>
          <w:sz w:val="24"/>
          <w:szCs w:val="24"/>
          <w:lang w:val="en-US"/>
        </w:rPr>
        <w:t>1</w:t>
      </w:r>
      <w:bookmarkEnd w:id="1"/>
      <w:r>
        <w:rPr>
          <w:rFonts w:ascii="Times New Roman" w:hAnsi="Times New Roman" w:cs="Times New Roman"/>
          <w:b w:val="0"/>
          <w:sz w:val="24"/>
          <w:szCs w:val="24"/>
          <w:lang w:val="en-US"/>
        </w:rPr>
        <w:t>.</w:t>
      </w:r>
      <w:r w:rsidRPr="00F82029">
        <w:rPr>
          <w:rFonts w:ascii="Times New Roman" w:hAnsi="Times New Roman" w:cs="Times New Roman"/>
          <w:b w:val="0"/>
          <w:sz w:val="24"/>
          <w:szCs w:val="24"/>
          <w:lang w:val="en-US"/>
        </w:rPr>
        <w:t xml:space="preserve"> </w:t>
      </w:r>
      <w:r>
        <w:rPr>
          <w:rFonts w:ascii="Times New Roman" w:hAnsi="Times New Roman" w:cs="Times New Roman"/>
          <w:b w:val="0"/>
          <w:sz w:val="24"/>
          <w:szCs w:val="24"/>
          <w:lang w:val="en-US"/>
        </w:rPr>
        <w:t xml:space="preserve"> S</w:t>
      </w:r>
      <w:r w:rsidR="00EC7A2E">
        <w:rPr>
          <w:rFonts w:ascii="Times New Roman" w:hAnsi="Times New Roman" w:cs="Times New Roman"/>
          <w:b w:val="0"/>
          <w:sz w:val="24"/>
          <w:szCs w:val="24"/>
          <w:lang w:val="en-US"/>
        </w:rPr>
        <w:t>ectoral s</w:t>
      </w:r>
      <w:r>
        <w:rPr>
          <w:rFonts w:ascii="Times New Roman" w:hAnsi="Times New Roman" w:cs="Times New Roman"/>
          <w:b w:val="0"/>
          <w:sz w:val="24"/>
          <w:szCs w:val="24"/>
          <w:lang w:val="en-US"/>
        </w:rPr>
        <w:t>hare</w:t>
      </w:r>
      <w:r w:rsidR="00EC7A2E">
        <w:rPr>
          <w:rFonts w:ascii="Times New Roman" w:hAnsi="Times New Roman" w:cs="Times New Roman"/>
          <w:b w:val="0"/>
          <w:sz w:val="24"/>
          <w:szCs w:val="24"/>
          <w:lang w:val="en-US"/>
        </w:rPr>
        <w:t>s</w:t>
      </w:r>
      <w:r>
        <w:rPr>
          <w:rFonts w:ascii="Times New Roman" w:hAnsi="Times New Roman" w:cs="Times New Roman"/>
          <w:b w:val="0"/>
          <w:sz w:val="24"/>
          <w:szCs w:val="24"/>
          <w:lang w:val="en-US"/>
        </w:rPr>
        <w:t xml:space="preserve"> of gross output at basic prices</w:t>
      </w:r>
      <w:r w:rsidR="00EC7A2E">
        <w:rPr>
          <w:rFonts w:ascii="Times New Roman" w:hAnsi="Times New Roman" w:cs="Times New Roman"/>
          <w:b w:val="0"/>
          <w:sz w:val="24"/>
          <w:szCs w:val="24"/>
          <w:lang w:val="en-US"/>
        </w:rPr>
        <w:t xml:space="preserve"> in 2003:</w:t>
      </w:r>
      <w:r>
        <w:rPr>
          <w:rFonts w:ascii="Times New Roman" w:hAnsi="Times New Roman" w:cs="Times New Roman"/>
          <w:b w:val="0"/>
          <w:sz w:val="24"/>
          <w:szCs w:val="24"/>
          <w:lang w:val="en-US"/>
        </w:rPr>
        <w:t xml:space="preserve"> </w:t>
      </w:r>
      <w:r w:rsidR="00EC7A2E">
        <w:rPr>
          <w:rFonts w:ascii="Times New Roman" w:hAnsi="Times New Roman" w:cs="Times New Roman"/>
          <w:b w:val="0"/>
          <w:sz w:val="24"/>
          <w:szCs w:val="24"/>
          <w:lang w:val="en-US"/>
        </w:rPr>
        <w:t>province</w:t>
      </w:r>
      <w:r w:rsidR="00EC7A2E" w:rsidRPr="00F82029">
        <w:rPr>
          <w:rFonts w:ascii="Times New Roman" w:hAnsi="Times New Roman" w:cs="Times New Roman"/>
          <w:b w:val="0"/>
          <w:sz w:val="24"/>
          <w:szCs w:val="24"/>
          <w:lang w:val="en-US"/>
        </w:rPr>
        <w:t xml:space="preserve"> </w:t>
      </w:r>
      <w:r w:rsidR="00EC7A2E">
        <w:rPr>
          <w:rFonts w:ascii="Times New Roman" w:hAnsi="Times New Roman" w:cs="Times New Roman"/>
          <w:b w:val="0"/>
          <w:sz w:val="24"/>
          <w:szCs w:val="24"/>
          <w:lang w:val="en-US"/>
        </w:rPr>
        <w:t xml:space="preserve">of </w:t>
      </w:r>
      <w:r w:rsidRPr="00F82029">
        <w:rPr>
          <w:rFonts w:ascii="Times New Roman" w:hAnsi="Times New Roman" w:cs="Times New Roman"/>
          <w:b w:val="0"/>
          <w:sz w:val="24"/>
          <w:szCs w:val="24"/>
          <w:lang w:val="en-US"/>
        </w:rPr>
        <w:t>Córdoba</w:t>
      </w:r>
      <w:r w:rsidR="00EC7A2E">
        <w:rPr>
          <w:rFonts w:ascii="Times New Roman" w:hAnsi="Times New Roman" w:cs="Times New Roman"/>
          <w:b w:val="0"/>
          <w:sz w:val="24"/>
          <w:szCs w:val="24"/>
          <w:lang w:val="en-US"/>
        </w:rPr>
        <w:t xml:space="preserve"> </w:t>
      </w:r>
      <w:r>
        <w:rPr>
          <w:rFonts w:ascii="Times New Roman" w:hAnsi="Times New Roman" w:cs="Times New Roman"/>
          <w:b w:val="0"/>
          <w:sz w:val="24"/>
          <w:szCs w:val="24"/>
          <w:lang w:val="en-US"/>
        </w:rPr>
        <w:t>and Argentina</w:t>
      </w:r>
    </w:p>
    <w:tbl>
      <w:tblPr>
        <w:tblW w:w="8505" w:type="dxa"/>
        <w:tblInd w:w="637" w:type="dxa"/>
        <w:tblCellMar>
          <w:left w:w="70" w:type="dxa"/>
          <w:right w:w="70" w:type="dxa"/>
        </w:tblCellMar>
        <w:tblLook w:val="04A0" w:firstRow="1" w:lastRow="0" w:firstColumn="1" w:lastColumn="0" w:noHBand="0" w:noVBand="1"/>
      </w:tblPr>
      <w:tblGrid>
        <w:gridCol w:w="703"/>
        <w:gridCol w:w="5109"/>
        <w:gridCol w:w="965"/>
        <w:gridCol w:w="1020"/>
        <w:gridCol w:w="708"/>
      </w:tblGrid>
      <w:tr w:rsidR="00590384" w:rsidTr="00025162">
        <w:trPr>
          <w:trHeight w:val="276"/>
        </w:trPr>
        <w:tc>
          <w:tcPr>
            <w:tcW w:w="703" w:type="dxa"/>
            <w:vMerge w:val="restart"/>
            <w:tcBorders>
              <w:top w:val="single" w:sz="12" w:space="0" w:color="000000"/>
              <w:left w:val="nil"/>
              <w:bottom w:val="single" w:sz="4" w:space="0" w:color="auto"/>
              <w:right w:val="nil"/>
            </w:tcBorders>
            <w:vAlign w:val="center"/>
            <w:hideMark/>
          </w:tcPr>
          <w:p w:rsidR="00640027" w:rsidRPr="003F1EB1" w:rsidRDefault="00640027" w:rsidP="00803346">
            <w:pPr>
              <w:spacing w:after="0"/>
              <w:ind w:firstLine="0"/>
              <w:jc w:val="center"/>
              <w:rPr>
                <w:bCs/>
                <w:lang w:val="es-AR" w:eastAsia="es-AR"/>
              </w:rPr>
            </w:pPr>
            <w:r>
              <w:rPr>
                <w:bCs/>
                <w:sz w:val="22"/>
                <w:szCs w:val="22"/>
                <w:lang w:val="es-AR" w:eastAsia="es-AR"/>
              </w:rPr>
              <w:t>Sector</w:t>
            </w:r>
          </w:p>
        </w:tc>
        <w:tc>
          <w:tcPr>
            <w:tcW w:w="5109" w:type="dxa"/>
            <w:vMerge w:val="restart"/>
            <w:tcBorders>
              <w:top w:val="single" w:sz="12" w:space="0" w:color="000000"/>
              <w:left w:val="nil"/>
              <w:bottom w:val="single" w:sz="4" w:space="0" w:color="auto"/>
              <w:right w:val="nil"/>
            </w:tcBorders>
            <w:vAlign w:val="center"/>
            <w:hideMark/>
          </w:tcPr>
          <w:p w:rsidR="00640027" w:rsidRPr="003F1EB1" w:rsidRDefault="00640027" w:rsidP="00803346">
            <w:pPr>
              <w:spacing w:after="0"/>
              <w:ind w:firstLine="0"/>
              <w:jc w:val="center"/>
              <w:rPr>
                <w:bCs/>
                <w:lang w:val="es-AR" w:eastAsia="es-AR"/>
              </w:rPr>
            </w:pPr>
            <w:proofErr w:type="spellStart"/>
            <w:r>
              <w:rPr>
                <w:bCs/>
                <w:sz w:val="22"/>
                <w:szCs w:val="22"/>
                <w:lang w:val="es-AR" w:eastAsia="es-AR"/>
              </w:rPr>
              <w:t>Description</w:t>
            </w:r>
            <w:proofErr w:type="spellEnd"/>
          </w:p>
        </w:tc>
        <w:tc>
          <w:tcPr>
            <w:tcW w:w="965" w:type="dxa"/>
            <w:vMerge w:val="restart"/>
            <w:tcBorders>
              <w:top w:val="single" w:sz="12" w:space="0" w:color="000000"/>
              <w:left w:val="nil"/>
              <w:bottom w:val="single" w:sz="4" w:space="0" w:color="auto"/>
              <w:right w:val="nil"/>
            </w:tcBorders>
            <w:vAlign w:val="center"/>
            <w:hideMark/>
          </w:tcPr>
          <w:p w:rsidR="00640027" w:rsidRPr="003F1EB1" w:rsidRDefault="00640027" w:rsidP="00803346">
            <w:pPr>
              <w:spacing w:after="0"/>
              <w:ind w:firstLine="0"/>
              <w:jc w:val="center"/>
              <w:rPr>
                <w:bCs/>
                <w:lang w:val="es-AR" w:eastAsia="es-AR"/>
              </w:rPr>
            </w:pPr>
            <w:r w:rsidRPr="003F1EB1">
              <w:rPr>
                <w:bCs/>
                <w:sz w:val="22"/>
                <w:szCs w:val="22"/>
                <w:lang w:val="es-AR" w:eastAsia="es-AR"/>
              </w:rPr>
              <w:t xml:space="preserve">Share </w:t>
            </w:r>
            <w:proofErr w:type="spellStart"/>
            <w:r>
              <w:rPr>
                <w:bCs/>
                <w:sz w:val="22"/>
                <w:szCs w:val="22"/>
                <w:lang w:val="es-AR" w:eastAsia="es-AR"/>
              </w:rPr>
              <w:t>for</w:t>
            </w:r>
            <w:proofErr w:type="spellEnd"/>
            <w:r w:rsidRPr="003F1EB1">
              <w:rPr>
                <w:bCs/>
                <w:sz w:val="22"/>
                <w:szCs w:val="22"/>
                <w:lang w:val="es-AR" w:eastAsia="es-AR"/>
              </w:rPr>
              <w:t xml:space="preserve"> Córdoba</w:t>
            </w:r>
          </w:p>
        </w:tc>
        <w:tc>
          <w:tcPr>
            <w:tcW w:w="1020" w:type="dxa"/>
            <w:vMerge w:val="restart"/>
            <w:tcBorders>
              <w:top w:val="single" w:sz="12" w:space="0" w:color="000000"/>
              <w:left w:val="nil"/>
              <w:bottom w:val="single" w:sz="4" w:space="0" w:color="auto"/>
              <w:right w:val="nil"/>
            </w:tcBorders>
            <w:vAlign w:val="center"/>
            <w:hideMark/>
          </w:tcPr>
          <w:p w:rsidR="00640027" w:rsidRPr="003F1EB1" w:rsidRDefault="00640027" w:rsidP="00803346">
            <w:pPr>
              <w:spacing w:after="0"/>
              <w:ind w:firstLine="0"/>
              <w:jc w:val="center"/>
              <w:rPr>
                <w:bCs/>
                <w:lang w:val="es-AR" w:eastAsia="es-AR"/>
              </w:rPr>
            </w:pPr>
            <w:r w:rsidRPr="003F1EB1">
              <w:rPr>
                <w:bCs/>
                <w:sz w:val="22"/>
                <w:szCs w:val="22"/>
                <w:lang w:val="es-AR" w:eastAsia="es-AR"/>
              </w:rPr>
              <w:t xml:space="preserve">Share </w:t>
            </w:r>
            <w:proofErr w:type="spellStart"/>
            <w:r>
              <w:rPr>
                <w:bCs/>
                <w:sz w:val="22"/>
                <w:szCs w:val="22"/>
                <w:lang w:val="es-AR" w:eastAsia="es-AR"/>
              </w:rPr>
              <w:t>for</w:t>
            </w:r>
            <w:proofErr w:type="spellEnd"/>
            <w:r w:rsidRPr="003F1EB1">
              <w:rPr>
                <w:bCs/>
                <w:sz w:val="22"/>
                <w:szCs w:val="22"/>
                <w:lang w:val="es-AR" w:eastAsia="es-AR"/>
              </w:rPr>
              <w:t xml:space="preserve"> Argentina</w:t>
            </w:r>
          </w:p>
        </w:tc>
        <w:tc>
          <w:tcPr>
            <w:tcW w:w="708" w:type="dxa"/>
            <w:vMerge w:val="restart"/>
            <w:tcBorders>
              <w:top w:val="single" w:sz="12" w:space="0" w:color="000000"/>
              <w:left w:val="nil"/>
              <w:bottom w:val="single" w:sz="4" w:space="0" w:color="auto"/>
              <w:right w:val="nil"/>
            </w:tcBorders>
            <w:vAlign w:val="center"/>
            <w:hideMark/>
          </w:tcPr>
          <w:p w:rsidR="00640027" w:rsidRPr="00603E01" w:rsidRDefault="00640027" w:rsidP="00803346">
            <w:pPr>
              <w:spacing w:after="0"/>
              <w:ind w:firstLine="0"/>
              <w:jc w:val="center"/>
              <w:rPr>
                <w:bCs/>
                <w:i/>
                <w:lang w:val="es-AR" w:eastAsia="es-AR"/>
              </w:rPr>
            </w:pPr>
            <w:r w:rsidRPr="00603E01">
              <w:rPr>
                <w:bCs/>
                <w:i/>
                <w:sz w:val="22"/>
                <w:szCs w:val="22"/>
                <w:lang w:eastAsia="es-AR"/>
              </w:rPr>
              <w:t>SLQ</w:t>
            </w:r>
            <w:r w:rsidRPr="00603E01">
              <w:rPr>
                <w:bCs/>
                <w:i/>
                <w:sz w:val="22"/>
                <w:szCs w:val="22"/>
                <w:vertAlign w:val="subscript"/>
                <w:lang w:eastAsia="es-AR"/>
              </w:rPr>
              <w:t>i</w:t>
            </w:r>
          </w:p>
        </w:tc>
      </w:tr>
      <w:tr w:rsidR="00590384" w:rsidTr="00025162">
        <w:trPr>
          <w:trHeight w:val="276"/>
        </w:trPr>
        <w:tc>
          <w:tcPr>
            <w:tcW w:w="0" w:type="auto"/>
            <w:vMerge/>
            <w:tcBorders>
              <w:left w:val="nil"/>
              <w:bottom w:val="single" w:sz="4" w:space="0" w:color="auto"/>
              <w:right w:val="nil"/>
            </w:tcBorders>
            <w:vAlign w:val="center"/>
            <w:hideMark/>
          </w:tcPr>
          <w:p w:rsidR="00640027" w:rsidRPr="003F1EB1" w:rsidRDefault="00640027" w:rsidP="00803346">
            <w:pPr>
              <w:spacing w:after="0"/>
              <w:ind w:firstLine="0"/>
              <w:jc w:val="left"/>
              <w:rPr>
                <w:b/>
                <w:bCs/>
                <w:lang w:val="es-AR" w:eastAsia="es-AR"/>
              </w:rPr>
            </w:pPr>
          </w:p>
        </w:tc>
        <w:tc>
          <w:tcPr>
            <w:tcW w:w="5109" w:type="dxa"/>
            <w:vMerge/>
            <w:tcBorders>
              <w:left w:val="nil"/>
              <w:bottom w:val="single" w:sz="4" w:space="0" w:color="auto"/>
              <w:right w:val="nil"/>
            </w:tcBorders>
            <w:vAlign w:val="center"/>
            <w:hideMark/>
          </w:tcPr>
          <w:p w:rsidR="00640027" w:rsidRPr="003F1EB1" w:rsidRDefault="00640027" w:rsidP="00803346">
            <w:pPr>
              <w:spacing w:after="0"/>
              <w:ind w:firstLine="0"/>
              <w:jc w:val="left"/>
              <w:rPr>
                <w:b/>
                <w:bCs/>
                <w:lang w:val="es-AR" w:eastAsia="es-AR"/>
              </w:rPr>
            </w:pPr>
          </w:p>
        </w:tc>
        <w:tc>
          <w:tcPr>
            <w:tcW w:w="965" w:type="dxa"/>
            <w:vMerge/>
            <w:tcBorders>
              <w:left w:val="nil"/>
              <w:bottom w:val="single" w:sz="4" w:space="0" w:color="auto"/>
              <w:right w:val="nil"/>
            </w:tcBorders>
            <w:vAlign w:val="center"/>
            <w:hideMark/>
          </w:tcPr>
          <w:p w:rsidR="00640027" w:rsidRPr="003F1EB1" w:rsidRDefault="00640027" w:rsidP="00803346">
            <w:pPr>
              <w:spacing w:after="0"/>
              <w:ind w:firstLine="0"/>
              <w:jc w:val="left"/>
              <w:rPr>
                <w:b/>
                <w:bCs/>
                <w:lang w:val="es-AR" w:eastAsia="es-AR"/>
              </w:rPr>
            </w:pPr>
          </w:p>
        </w:tc>
        <w:tc>
          <w:tcPr>
            <w:tcW w:w="1020" w:type="dxa"/>
            <w:vMerge/>
            <w:tcBorders>
              <w:left w:val="nil"/>
              <w:bottom w:val="single" w:sz="4" w:space="0" w:color="auto"/>
              <w:right w:val="nil"/>
            </w:tcBorders>
            <w:vAlign w:val="center"/>
            <w:hideMark/>
          </w:tcPr>
          <w:p w:rsidR="00640027" w:rsidRPr="003F1EB1" w:rsidRDefault="00640027" w:rsidP="00803346">
            <w:pPr>
              <w:spacing w:after="0"/>
              <w:ind w:firstLine="0"/>
              <w:jc w:val="left"/>
              <w:rPr>
                <w:b/>
                <w:bCs/>
                <w:lang w:val="es-AR" w:eastAsia="es-AR"/>
              </w:rPr>
            </w:pPr>
          </w:p>
        </w:tc>
        <w:tc>
          <w:tcPr>
            <w:tcW w:w="708" w:type="dxa"/>
            <w:vMerge/>
            <w:tcBorders>
              <w:left w:val="nil"/>
              <w:bottom w:val="single" w:sz="4" w:space="0" w:color="auto"/>
              <w:right w:val="nil"/>
            </w:tcBorders>
            <w:vAlign w:val="center"/>
            <w:hideMark/>
          </w:tcPr>
          <w:p w:rsidR="00640027" w:rsidRPr="003F1EB1" w:rsidRDefault="00640027" w:rsidP="00803346">
            <w:pPr>
              <w:spacing w:after="0"/>
              <w:ind w:firstLine="0"/>
              <w:jc w:val="left"/>
              <w:rPr>
                <w:b/>
                <w:bCs/>
                <w:lang w:val="es-AR" w:eastAsia="es-AR"/>
              </w:rPr>
            </w:pPr>
          </w:p>
        </w:tc>
      </w:tr>
      <w:tr w:rsidR="00590384" w:rsidTr="00025162">
        <w:trPr>
          <w:trHeight w:val="276"/>
        </w:trPr>
        <w:tc>
          <w:tcPr>
            <w:tcW w:w="0" w:type="auto"/>
            <w:vMerge/>
            <w:tcBorders>
              <w:left w:val="nil"/>
              <w:bottom w:val="single" w:sz="4" w:space="0" w:color="auto"/>
              <w:right w:val="nil"/>
            </w:tcBorders>
            <w:vAlign w:val="center"/>
            <w:hideMark/>
          </w:tcPr>
          <w:p w:rsidR="00640027" w:rsidRPr="003F1EB1" w:rsidRDefault="00640027" w:rsidP="00803346">
            <w:pPr>
              <w:spacing w:after="0"/>
              <w:ind w:firstLine="0"/>
              <w:jc w:val="left"/>
              <w:rPr>
                <w:b/>
                <w:bCs/>
                <w:lang w:val="es-AR" w:eastAsia="es-AR"/>
              </w:rPr>
            </w:pPr>
          </w:p>
        </w:tc>
        <w:tc>
          <w:tcPr>
            <w:tcW w:w="5109" w:type="dxa"/>
            <w:vMerge/>
            <w:tcBorders>
              <w:left w:val="nil"/>
              <w:bottom w:val="single" w:sz="4" w:space="0" w:color="auto"/>
              <w:right w:val="nil"/>
            </w:tcBorders>
            <w:vAlign w:val="center"/>
            <w:hideMark/>
          </w:tcPr>
          <w:p w:rsidR="00640027" w:rsidRPr="003F1EB1" w:rsidRDefault="00640027" w:rsidP="00803346">
            <w:pPr>
              <w:spacing w:after="0"/>
              <w:ind w:firstLine="0"/>
              <w:jc w:val="left"/>
              <w:rPr>
                <w:b/>
                <w:bCs/>
                <w:lang w:val="es-AR" w:eastAsia="es-AR"/>
              </w:rPr>
            </w:pPr>
          </w:p>
        </w:tc>
        <w:tc>
          <w:tcPr>
            <w:tcW w:w="965" w:type="dxa"/>
            <w:vMerge/>
            <w:tcBorders>
              <w:left w:val="nil"/>
              <w:bottom w:val="single" w:sz="4" w:space="0" w:color="auto"/>
              <w:right w:val="nil"/>
            </w:tcBorders>
            <w:vAlign w:val="center"/>
            <w:hideMark/>
          </w:tcPr>
          <w:p w:rsidR="00640027" w:rsidRPr="003F1EB1" w:rsidRDefault="00640027" w:rsidP="00803346">
            <w:pPr>
              <w:spacing w:after="0"/>
              <w:ind w:firstLine="0"/>
              <w:jc w:val="left"/>
              <w:rPr>
                <w:b/>
                <w:bCs/>
                <w:lang w:val="es-AR" w:eastAsia="es-AR"/>
              </w:rPr>
            </w:pPr>
          </w:p>
        </w:tc>
        <w:tc>
          <w:tcPr>
            <w:tcW w:w="1020" w:type="dxa"/>
            <w:vMerge/>
            <w:tcBorders>
              <w:left w:val="nil"/>
              <w:bottom w:val="single" w:sz="4" w:space="0" w:color="auto"/>
              <w:right w:val="nil"/>
            </w:tcBorders>
            <w:vAlign w:val="center"/>
            <w:hideMark/>
          </w:tcPr>
          <w:p w:rsidR="00640027" w:rsidRPr="003F1EB1" w:rsidRDefault="00640027" w:rsidP="00803346">
            <w:pPr>
              <w:spacing w:after="0"/>
              <w:ind w:firstLine="0"/>
              <w:jc w:val="left"/>
              <w:rPr>
                <w:b/>
                <w:bCs/>
                <w:lang w:val="es-AR" w:eastAsia="es-AR"/>
              </w:rPr>
            </w:pPr>
          </w:p>
        </w:tc>
        <w:tc>
          <w:tcPr>
            <w:tcW w:w="708" w:type="dxa"/>
            <w:vMerge/>
            <w:tcBorders>
              <w:left w:val="nil"/>
              <w:bottom w:val="single" w:sz="4" w:space="0" w:color="auto"/>
              <w:right w:val="nil"/>
            </w:tcBorders>
            <w:vAlign w:val="center"/>
            <w:hideMark/>
          </w:tcPr>
          <w:p w:rsidR="00640027" w:rsidRPr="003F1EB1" w:rsidRDefault="00640027" w:rsidP="00803346">
            <w:pPr>
              <w:spacing w:after="0"/>
              <w:ind w:firstLine="0"/>
              <w:jc w:val="left"/>
              <w:rPr>
                <w:b/>
                <w:bCs/>
                <w:lang w:val="es-AR" w:eastAsia="es-AR"/>
              </w:rPr>
            </w:pPr>
          </w:p>
        </w:tc>
      </w:tr>
      <w:tr w:rsidR="00E20C1B" w:rsidTr="00025162">
        <w:trPr>
          <w:trHeight w:val="255"/>
        </w:trPr>
        <w:tc>
          <w:tcPr>
            <w:tcW w:w="703" w:type="dxa"/>
            <w:tcBorders>
              <w:top w:val="single" w:sz="4" w:space="0" w:color="auto"/>
            </w:tcBorders>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1</w:t>
            </w:r>
          </w:p>
        </w:tc>
        <w:tc>
          <w:tcPr>
            <w:tcW w:w="5109" w:type="dxa"/>
            <w:tcBorders>
              <w:top w:val="single" w:sz="4" w:space="0" w:color="auto"/>
            </w:tcBorders>
            <w:vAlign w:val="center"/>
            <w:hideMark/>
          </w:tcPr>
          <w:p w:rsidR="00E20C1B" w:rsidRPr="003F1EB1" w:rsidRDefault="00E20C1B" w:rsidP="00CF0B89">
            <w:pPr>
              <w:spacing w:before="60" w:after="60"/>
              <w:ind w:firstLine="0"/>
              <w:jc w:val="left"/>
              <w:rPr>
                <w:lang w:val="en-US"/>
              </w:rPr>
            </w:pPr>
            <w:r w:rsidRPr="003F1EB1">
              <w:rPr>
                <w:sz w:val="22"/>
                <w:szCs w:val="22"/>
                <w:lang w:val="en-US"/>
              </w:rPr>
              <w:t xml:space="preserve">Agriculture, cattle </w:t>
            </w:r>
            <w:r>
              <w:rPr>
                <w:sz w:val="22"/>
                <w:szCs w:val="22"/>
                <w:lang w:val="en-US"/>
              </w:rPr>
              <w:t>rais</w:t>
            </w:r>
            <w:r w:rsidRPr="003F1EB1">
              <w:rPr>
                <w:sz w:val="22"/>
                <w:szCs w:val="22"/>
                <w:lang w:val="en-US"/>
              </w:rPr>
              <w:t>ing, hunting and forestry</w:t>
            </w:r>
          </w:p>
        </w:tc>
        <w:tc>
          <w:tcPr>
            <w:tcW w:w="965" w:type="dxa"/>
            <w:tcBorders>
              <w:top w:val="single" w:sz="4" w:space="0" w:color="auto"/>
            </w:tcBorders>
            <w:vAlign w:val="center"/>
            <w:hideMark/>
          </w:tcPr>
          <w:p w:rsidR="00E20C1B" w:rsidRPr="00514E0B" w:rsidRDefault="00E20C1B" w:rsidP="00EF08AF">
            <w:pPr>
              <w:ind w:firstLine="0"/>
              <w:jc w:val="center"/>
            </w:pPr>
            <w:r w:rsidRPr="00514E0B">
              <w:rPr>
                <w:sz w:val="22"/>
                <w:szCs w:val="22"/>
              </w:rPr>
              <w:t>0.184</w:t>
            </w:r>
          </w:p>
        </w:tc>
        <w:tc>
          <w:tcPr>
            <w:tcW w:w="1020" w:type="dxa"/>
            <w:tcBorders>
              <w:top w:val="single" w:sz="4" w:space="0" w:color="auto"/>
            </w:tcBorders>
            <w:vAlign w:val="center"/>
            <w:hideMark/>
          </w:tcPr>
          <w:p w:rsidR="00E20C1B" w:rsidRPr="00514E0B" w:rsidRDefault="00E20C1B" w:rsidP="00EF08AF">
            <w:pPr>
              <w:ind w:firstLine="0"/>
              <w:jc w:val="center"/>
            </w:pPr>
            <w:r w:rsidRPr="00514E0B">
              <w:rPr>
                <w:sz w:val="22"/>
                <w:szCs w:val="22"/>
              </w:rPr>
              <w:t>0.078</w:t>
            </w:r>
          </w:p>
        </w:tc>
        <w:tc>
          <w:tcPr>
            <w:tcW w:w="708" w:type="dxa"/>
            <w:tcBorders>
              <w:top w:val="single" w:sz="4" w:space="0" w:color="auto"/>
            </w:tcBorders>
            <w:vAlign w:val="center"/>
            <w:hideMark/>
          </w:tcPr>
          <w:p w:rsidR="00E20C1B" w:rsidRPr="00514E0B" w:rsidRDefault="00E20C1B" w:rsidP="00EF08AF">
            <w:pPr>
              <w:ind w:firstLine="0"/>
              <w:jc w:val="center"/>
            </w:pPr>
            <w:r w:rsidRPr="00514E0B">
              <w:rPr>
                <w:sz w:val="22"/>
                <w:szCs w:val="22"/>
              </w:rPr>
              <w:t>2.364</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2</w:t>
            </w:r>
          </w:p>
        </w:tc>
        <w:tc>
          <w:tcPr>
            <w:tcW w:w="5109" w:type="dxa"/>
            <w:vAlign w:val="center"/>
            <w:hideMark/>
          </w:tcPr>
          <w:p w:rsidR="00E20C1B" w:rsidRPr="003F1EB1" w:rsidRDefault="00E20C1B" w:rsidP="00CF0B89">
            <w:pPr>
              <w:spacing w:before="60" w:after="60"/>
              <w:ind w:firstLine="0"/>
              <w:jc w:val="left"/>
            </w:pPr>
            <w:r w:rsidRPr="003F1EB1">
              <w:rPr>
                <w:sz w:val="22"/>
                <w:szCs w:val="22"/>
              </w:rPr>
              <w:t>Fishing and related services</w:t>
            </w:r>
          </w:p>
        </w:tc>
        <w:tc>
          <w:tcPr>
            <w:tcW w:w="965" w:type="dxa"/>
            <w:vAlign w:val="center"/>
            <w:hideMark/>
          </w:tcPr>
          <w:p w:rsidR="00E20C1B" w:rsidRPr="00514E0B" w:rsidRDefault="00E20C1B" w:rsidP="00EF08AF">
            <w:pPr>
              <w:ind w:firstLine="0"/>
              <w:jc w:val="center"/>
            </w:pPr>
            <w:r w:rsidRPr="00514E0B">
              <w:rPr>
                <w:sz w:val="22"/>
                <w:szCs w:val="22"/>
              </w:rPr>
              <w:t>0.000</w:t>
            </w:r>
          </w:p>
        </w:tc>
        <w:tc>
          <w:tcPr>
            <w:tcW w:w="1020" w:type="dxa"/>
            <w:vAlign w:val="center"/>
            <w:hideMark/>
          </w:tcPr>
          <w:p w:rsidR="00E20C1B" w:rsidRPr="00514E0B" w:rsidRDefault="00E20C1B" w:rsidP="00EF08AF">
            <w:pPr>
              <w:ind w:firstLine="0"/>
              <w:jc w:val="center"/>
            </w:pPr>
            <w:r w:rsidRPr="00514E0B">
              <w:rPr>
                <w:sz w:val="22"/>
                <w:szCs w:val="22"/>
              </w:rPr>
              <w:t>0.003</w:t>
            </w:r>
          </w:p>
        </w:tc>
        <w:tc>
          <w:tcPr>
            <w:tcW w:w="708" w:type="dxa"/>
            <w:vAlign w:val="center"/>
            <w:hideMark/>
          </w:tcPr>
          <w:p w:rsidR="00E20C1B" w:rsidRPr="00514E0B" w:rsidRDefault="00E20C1B" w:rsidP="00EF08AF">
            <w:pPr>
              <w:ind w:firstLine="0"/>
              <w:jc w:val="center"/>
            </w:pPr>
            <w:r w:rsidRPr="00514E0B">
              <w:rPr>
                <w:sz w:val="22"/>
                <w:szCs w:val="22"/>
              </w:rPr>
              <w:t>0.007</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3</w:t>
            </w:r>
          </w:p>
        </w:tc>
        <w:tc>
          <w:tcPr>
            <w:tcW w:w="5109" w:type="dxa"/>
            <w:vAlign w:val="center"/>
            <w:hideMark/>
          </w:tcPr>
          <w:p w:rsidR="00E20C1B" w:rsidRPr="003F1EB1" w:rsidRDefault="001E3F6D" w:rsidP="001E3F6D">
            <w:pPr>
              <w:spacing w:before="60" w:after="60"/>
              <w:ind w:firstLine="0"/>
              <w:jc w:val="left"/>
            </w:pPr>
            <w:r>
              <w:rPr>
                <w:sz w:val="22"/>
                <w:szCs w:val="22"/>
              </w:rPr>
              <w:t>Primary oil, gas and coal; m</w:t>
            </w:r>
            <w:r w:rsidR="00E20C1B" w:rsidRPr="003F1EB1">
              <w:rPr>
                <w:sz w:val="22"/>
                <w:szCs w:val="22"/>
              </w:rPr>
              <w:t>ining and quarrying</w:t>
            </w:r>
          </w:p>
        </w:tc>
        <w:tc>
          <w:tcPr>
            <w:tcW w:w="965" w:type="dxa"/>
            <w:vAlign w:val="center"/>
            <w:hideMark/>
          </w:tcPr>
          <w:p w:rsidR="00E20C1B" w:rsidRPr="00514E0B" w:rsidRDefault="00E20C1B" w:rsidP="00EF08AF">
            <w:pPr>
              <w:ind w:firstLine="0"/>
              <w:jc w:val="center"/>
            </w:pPr>
            <w:r w:rsidRPr="00514E0B">
              <w:rPr>
                <w:sz w:val="22"/>
                <w:szCs w:val="22"/>
              </w:rPr>
              <w:t>0.005</w:t>
            </w:r>
          </w:p>
        </w:tc>
        <w:tc>
          <w:tcPr>
            <w:tcW w:w="1020" w:type="dxa"/>
            <w:vAlign w:val="center"/>
            <w:hideMark/>
          </w:tcPr>
          <w:p w:rsidR="00E20C1B" w:rsidRPr="00514E0B" w:rsidRDefault="00E20C1B" w:rsidP="00EF08AF">
            <w:pPr>
              <w:ind w:firstLine="0"/>
              <w:jc w:val="center"/>
            </w:pPr>
            <w:r w:rsidRPr="00514E0B">
              <w:rPr>
                <w:sz w:val="22"/>
                <w:szCs w:val="22"/>
              </w:rPr>
              <w:t>0.043</w:t>
            </w:r>
          </w:p>
        </w:tc>
        <w:tc>
          <w:tcPr>
            <w:tcW w:w="708" w:type="dxa"/>
            <w:vAlign w:val="center"/>
            <w:hideMark/>
          </w:tcPr>
          <w:p w:rsidR="00E20C1B" w:rsidRPr="00514E0B" w:rsidRDefault="00E20C1B" w:rsidP="00EF08AF">
            <w:pPr>
              <w:ind w:firstLine="0"/>
              <w:jc w:val="center"/>
            </w:pPr>
            <w:r w:rsidRPr="00514E0B">
              <w:rPr>
                <w:sz w:val="22"/>
                <w:szCs w:val="22"/>
              </w:rPr>
              <w:t>0.112</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4</w:t>
            </w:r>
          </w:p>
        </w:tc>
        <w:tc>
          <w:tcPr>
            <w:tcW w:w="5109" w:type="dxa"/>
            <w:vAlign w:val="center"/>
            <w:hideMark/>
          </w:tcPr>
          <w:p w:rsidR="00E20C1B" w:rsidRPr="003F1EB1" w:rsidRDefault="00E20C1B" w:rsidP="00CF0B89">
            <w:pPr>
              <w:spacing w:before="60" w:after="60"/>
              <w:ind w:firstLine="0"/>
              <w:jc w:val="left"/>
              <w:rPr>
                <w:lang w:val="en-US"/>
              </w:rPr>
            </w:pPr>
            <w:r>
              <w:rPr>
                <w:sz w:val="22"/>
                <w:szCs w:val="22"/>
                <w:lang w:val="en-US"/>
              </w:rPr>
              <w:t>Produc</w:t>
            </w:r>
            <w:r w:rsidRPr="003F1EB1">
              <w:rPr>
                <w:sz w:val="22"/>
                <w:szCs w:val="22"/>
                <w:lang w:val="en-US"/>
              </w:rPr>
              <w:t>tion of food, beverages and tobacco products</w:t>
            </w:r>
          </w:p>
        </w:tc>
        <w:tc>
          <w:tcPr>
            <w:tcW w:w="965" w:type="dxa"/>
            <w:vAlign w:val="center"/>
            <w:hideMark/>
          </w:tcPr>
          <w:p w:rsidR="00E20C1B" w:rsidRPr="00514E0B" w:rsidRDefault="00E20C1B" w:rsidP="00EF08AF">
            <w:pPr>
              <w:ind w:firstLine="0"/>
              <w:jc w:val="center"/>
            </w:pPr>
            <w:r w:rsidRPr="00514E0B">
              <w:rPr>
                <w:sz w:val="22"/>
                <w:szCs w:val="22"/>
              </w:rPr>
              <w:t>0.184</w:t>
            </w:r>
          </w:p>
        </w:tc>
        <w:tc>
          <w:tcPr>
            <w:tcW w:w="1020" w:type="dxa"/>
            <w:vAlign w:val="center"/>
            <w:hideMark/>
          </w:tcPr>
          <w:p w:rsidR="00E20C1B" w:rsidRPr="00514E0B" w:rsidRDefault="00E20C1B" w:rsidP="00EF08AF">
            <w:pPr>
              <w:ind w:firstLine="0"/>
              <w:jc w:val="center"/>
            </w:pPr>
            <w:r w:rsidRPr="00514E0B">
              <w:rPr>
                <w:sz w:val="22"/>
                <w:szCs w:val="22"/>
              </w:rPr>
              <w:t>0.122</w:t>
            </w:r>
          </w:p>
        </w:tc>
        <w:tc>
          <w:tcPr>
            <w:tcW w:w="708" w:type="dxa"/>
            <w:vAlign w:val="center"/>
            <w:hideMark/>
          </w:tcPr>
          <w:p w:rsidR="00E20C1B" w:rsidRPr="00514E0B" w:rsidRDefault="00E20C1B" w:rsidP="00EF08AF">
            <w:pPr>
              <w:ind w:firstLine="0"/>
              <w:jc w:val="center"/>
            </w:pPr>
            <w:r w:rsidRPr="00514E0B">
              <w:rPr>
                <w:sz w:val="22"/>
                <w:szCs w:val="22"/>
              </w:rPr>
              <w:t>1.509</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5</w:t>
            </w:r>
          </w:p>
        </w:tc>
        <w:tc>
          <w:tcPr>
            <w:tcW w:w="5109" w:type="dxa"/>
            <w:vAlign w:val="center"/>
            <w:hideMark/>
          </w:tcPr>
          <w:p w:rsidR="00E20C1B" w:rsidRPr="003F1EB1" w:rsidRDefault="00E20C1B" w:rsidP="00CF0B89">
            <w:pPr>
              <w:spacing w:before="60" w:after="60"/>
              <w:ind w:firstLine="0"/>
              <w:jc w:val="left"/>
            </w:pPr>
            <w:r>
              <w:rPr>
                <w:sz w:val="22"/>
                <w:szCs w:val="22"/>
              </w:rPr>
              <w:t>Manufacture</w:t>
            </w:r>
            <w:r w:rsidRPr="003F1EB1">
              <w:rPr>
                <w:sz w:val="22"/>
                <w:szCs w:val="22"/>
              </w:rPr>
              <w:t xml:space="preserve"> of textile products</w:t>
            </w:r>
          </w:p>
        </w:tc>
        <w:tc>
          <w:tcPr>
            <w:tcW w:w="965" w:type="dxa"/>
            <w:vAlign w:val="center"/>
            <w:hideMark/>
          </w:tcPr>
          <w:p w:rsidR="00E20C1B" w:rsidRPr="00514E0B" w:rsidRDefault="00E20C1B" w:rsidP="00EF08AF">
            <w:pPr>
              <w:ind w:firstLine="0"/>
              <w:jc w:val="center"/>
            </w:pPr>
            <w:r w:rsidRPr="00514E0B">
              <w:rPr>
                <w:sz w:val="22"/>
                <w:szCs w:val="22"/>
              </w:rPr>
              <w:t>0.003</w:t>
            </w:r>
          </w:p>
        </w:tc>
        <w:tc>
          <w:tcPr>
            <w:tcW w:w="1020" w:type="dxa"/>
            <w:vAlign w:val="center"/>
            <w:hideMark/>
          </w:tcPr>
          <w:p w:rsidR="00E20C1B" w:rsidRPr="00514E0B" w:rsidRDefault="00E20C1B" w:rsidP="00EF08AF">
            <w:pPr>
              <w:ind w:firstLine="0"/>
              <w:jc w:val="center"/>
            </w:pPr>
            <w:r w:rsidRPr="00514E0B">
              <w:rPr>
                <w:sz w:val="22"/>
                <w:szCs w:val="22"/>
              </w:rPr>
              <w:t>0.013</w:t>
            </w:r>
          </w:p>
        </w:tc>
        <w:tc>
          <w:tcPr>
            <w:tcW w:w="708" w:type="dxa"/>
            <w:vAlign w:val="center"/>
            <w:hideMark/>
          </w:tcPr>
          <w:p w:rsidR="00E20C1B" w:rsidRPr="00514E0B" w:rsidRDefault="00E20C1B" w:rsidP="00EF08AF">
            <w:pPr>
              <w:ind w:firstLine="0"/>
              <w:jc w:val="center"/>
            </w:pPr>
            <w:r w:rsidRPr="00514E0B">
              <w:rPr>
                <w:sz w:val="22"/>
                <w:szCs w:val="22"/>
              </w:rPr>
              <w:t>0.221</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6</w:t>
            </w:r>
          </w:p>
        </w:tc>
        <w:tc>
          <w:tcPr>
            <w:tcW w:w="5109" w:type="dxa"/>
            <w:vAlign w:val="center"/>
            <w:hideMark/>
          </w:tcPr>
          <w:p w:rsidR="00E20C1B" w:rsidRPr="003F1EB1" w:rsidRDefault="00E20C1B" w:rsidP="00CF0B89">
            <w:pPr>
              <w:spacing w:before="60" w:after="60"/>
              <w:ind w:firstLine="0"/>
              <w:jc w:val="left"/>
              <w:rPr>
                <w:lang w:val="en-US"/>
              </w:rPr>
            </w:pPr>
            <w:r w:rsidRPr="003F1EB1">
              <w:rPr>
                <w:sz w:val="22"/>
                <w:szCs w:val="22"/>
                <w:lang w:val="en-US"/>
              </w:rPr>
              <w:t xml:space="preserve">Tanning, </w:t>
            </w:r>
            <w:r>
              <w:rPr>
                <w:sz w:val="22"/>
                <w:szCs w:val="22"/>
                <w:lang w:val="en-US"/>
              </w:rPr>
              <w:t>production</w:t>
            </w:r>
            <w:r w:rsidRPr="003F1EB1">
              <w:rPr>
                <w:sz w:val="22"/>
                <w:szCs w:val="22"/>
                <w:lang w:val="en-US"/>
              </w:rPr>
              <w:t xml:space="preserve"> of leather and leather goods</w:t>
            </w:r>
          </w:p>
        </w:tc>
        <w:tc>
          <w:tcPr>
            <w:tcW w:w="965" w:type="dxa"/>
            <w:vAlign w:val="center"/>
            <w:hideMark/>
          </w:tcPr>
          <w:p w:rsidR="00E20C1B" w:rsidRPr="00514E0B" w:rsidRDefault="00E20C1B" w:rsidP="00EF08AF">
            <w:pPr>
              <w:ind w:firstLine="0"/>
              <w:jc w:val="center"/>
            </w:pPr>
            <w:r w:rsidRPr="00514E0B">
              <w:rPr>
                <w:sz w:val="22"/>
                <w:szCs w:val="22"/>
              </w:rPr>
              <w:t>0.007</w:t>
            </w:r>
          </w:p>
        </w:tc>
        <w:tc>
          <w:tcPr>
            <w:tcW w:w="1020" w:type="dxa"/>
            <w:vAlign w:val="center"/>
            <w:hideMark/>
          </w:tcPr>
          <w:p w:rsidR="00E20C1B" w:rsidRPr="00514E0B" w:rsidRDefault="00E20C1B" w:rsidP="00EF08AF">
            <w:pPr>
              <w:ind w:firstLine="0"/>
              <w:jc w:val="center"/>
            </w:pPr>
            <w:r w:rsidRPr="00514E0B">
              <w:rPr>
                <w:sz w:val="22"/>
                <w:szCs w:val="22"/>
              </w:rPr>
              <w:t>0.010</w:t>
            </w:r>
          </w:p>
        </w:tc>
        <w:tc>
          <w:tcPr>
            <w:tcW w:w="708" w:type="dxa"/>
            <w:vAlign w:val="center"/>
            <w:hideMark/>
          </w:tcPr>
          <w:p w:rsidR="00E20C1B" w:rsidRPr="00514E0B" w:rsidRDefault="00E20C1B" w:rsidP="00EF08AF">
            <w:pPr>
              <w:ind w:firstLine="0"/>
              <w:jc w:val="center"/>
            </w:pPr>
            <w:r w:rsidRPr="00514E0B">
              <w:rPr>
                <w:sz w:val="22"/>
                <w:szCs w:val="22"/>
              </w:rPr>
              <w:t>0.760</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7</w:t>
            </w:r>
          </w:p>
        </w:tc>
        <w:tc>
          <w:tcPr>
            <w:tcW w:w="5109" w:type="dxa"/>
            <w:vAlign w:val="center"/>
            <w:hideMark/>
          </w:tcPr>
          <w:p w:rsidR="00E20C1B" w:rsidRPr="003F1EB1" w:rsidRDefault="00E20C1B" w:rsidP="00CF0B89">
            <w:pPr>
              <w:spacing w:before="60" w:after="60"/>
              <w:ind w:firstLine="0"/>
              <w:jc w:val="left"/>
              <w:rPr>
                <w:lang w:val="en-US"/>
              </w:rPr>
            </w:pPr>
            <w:r w:rsidRPr="003F1EB1">
              <w:rPr>
                <w:sz w:val="22"/>
                <w:szCs w:val="22"/>
                <w:lang w:val="en-US"/>
              </w:rPr>
              <w:t xml:space="preserve">Production of wood and </w:t>
            </w:r>
            <w:r>
              <w:rPr>
                <w:sz w:val="22"/>
                <w:szCs w:val="22"/>
                <w:lang w:val="en-US"/>
              </w:rPr>
              <w:t>manufacture</w:t>
            </w:r>
            <w:r w:rsidRPr="003F1EB1">
              <w:rPr>
                <w:sz w:val="22"/>
                <w:szCs w:val="22"/>
                <w:lang w:val="en-US"/>
              </w:rPr>
              <w:t xml:space="preserve"> of wood products </w:t>
            </w:r>
          </w:p>
        </w:tc>
        <w:tc>
          <w:tcPr>
            <w:tcW w:w="965" w:type="dxa"/>
            <w:vAlign w:val="center"/>
            <w:hideMark/>
          </w:tcPr>
          <w:p w:rsidR="00E20C1B" w:rsidRPr="00514E0B" w:rsidRDefault="00E20C1B" w:rsidP="00EF08AF">
            <w:pPr>
              <w:ind w:firstLine="0"/>
              <w:jc w:val="center"/>
            </w:pPr>
            <w:r w:rsidRPr="00514E0B">
              <w:rPr>
                <w:sz w:val="22"/>
                <w:szCs w:val="22"/>
              </w:rPr>
              <w:t>0.003</w:t>
            </w:r>
          </w:p>
        </w:tc>
        <w:tc>
          <w:tcPr>
            <w:tcW w:w="1020" w:type="dxa"/>
            <w:vAlign w:val="center"/>
            <w:hideMark/>
          </w:tcPr>
          <w:p w:rsidR="00E20C1B" w:rsidRPr="00514E0B" w:rsidRDefault="00E20C1B" w:rsidP="00EF08AF">
            <w:pPr>
              <w:ind w:firstLine="0"/>
              <w:jc w:val="center"/>
            </w:pPr>
            <w:r w:rsidRPr="00514E0B">
              <w:rPr>
                <w:sz w:val="22"/>
                <w:szCs w:val="22"/>
              </w:rPr>
              <w:t>0.007</w:t>
            </w:r>
          </w:p>
        </w:tc>
        <w:tc>
          <w:tcPr>
            <w:tcW w:w="708" w:type="dxa"/>
            <w:vAlign w:val="center"/>
            <w:hideMark/>
          </w:tcPr>
          <w:p w:rsidR="00E20C1B" w:rsidRPr="00514E0B" w:rsidRDefault="00E20C1B" w:rsidP="00EF08AF">
            <w:pPr>
              <w:ind w:firstLine="0"/>
              <w:jc w:val="center"/>
            </w:pPr>
            <w:r w:rsidRPr="00514E0B">
              <w:rPr>
                <w:sz w:val="22"/>
                <w:szCs w:val="22"/>
              </w:rPr>
              <w:t>0.464</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8</w:t>
            </w:r>
          </w:p>
        </w:tc>
        <w:tc>
          <w:tcPr>
            <w:tcW w:w="5109" w:type="dxa"/>
            <w:vAlign w:val="center"/>
            <w:hideMark/>
          </w:tcPr>
          <w:p w:rsidR="00E20C1B" w:rsidRPr="003F1EB1" w:rsidRDefault="00E20C1B" w:rsidP="00CF0B89">
            <w:pPr>
              <w:spacing w:before="60" w:after="60"/>
              <w:ind w:firstLine="0"/>
              <w:jc w:val="left"/>
              <w:rPr>
                <w:lang w:val="en-US"/>
              </w:rPr>
            </w:pPr>
            <w:r>
              <w:rPr>
                <w:sz w:val="22"/>
                <w:szCs w:val="22"/>
                <w:lang w:val="en-US"/>
              </w:rPr>
              <w:t>Produc</w:t>
            </w:r>
            <w:r w:rsidRPr="003F1EB1">
              <w:rPr>
                <w:sz w:val="22"/>
                <w:szCs w:val="22"/>
                <w:lang w:val="en-US"/>
              </w:rPr>
              <w:t>tion of paper and paper products</w:t>
            </w:r>
          </w:p>
        </w:tc>
        <w:tc>
          <w:tcPr>
            <w:tcW w:w="965" w:type="dxa"/>
            <w:vAlign w:val="center"/>
            <w:hideMark/>
          </w:tcPr>
          <w:p w:rsidR="00E20C1B" w:rsidRPr="00514E0B" w:rsidRDefault="00E20C1B" w:rsidP="00EF08AF">
            <w:pPr>
              <w:ind w:firstLine="0"/>
              <w:jc w:val="center"/>
            </w:pPr>
            <w:r w:rsidRPr="00514E0B">
              <w:rPr>
                <w:sz w:val="22"/>
                <w:szCs w:val="22"/>
              </w:rPr>
              <w:t>0.006</w:t>
            </w:r>
          </w:p>
        </w:tc>
        <w:tc>
          <w:tcPr>
            <w:tcW w:w="1020" w:type="dxa"/>
            <w:vAlign w:val="center"/>
            <w:hideMark/>
          </w:tcPr>
          <w:p w:rsidR="00E20C1B" w:rsidRPr="00514E0B" w:rsidRDefault="00E20C1B" w:rsidP="00EF08AF">
            <w:pPr>
              <w:ind w:firstLine="0"/>
              <w:jc w:val="center"/>
            </w:pPr>
            <w:r w:rsidRPr="00514E0B">
              <w:rPr>
                <w:sz w:val="22"/>
                <w:szCs w:val="22"/>
              </w:rPr>
              <w:t>0.013</w:t>
            </w:r>
          </w:p>
        </w:tc>
        <w:tc>
          <w:tcPr>
            <w:tcW w:w="708" w:type="dxa"/>
            <w:vAlign w:val="center"/>
            <w:hideMark/>
          </w:tcPr>
          <w:p w:rsidR="00E20C1B" w:rsidRPr="00514E0B" w:rsidRDefault="00E20C1B" w:rsidP="00EF08AF">
            <w:pPr>
              <w:ind w:firstLine="0"/>
              <w:jc w:val="center"/>
            </w:pPr>
            <w:r w:rsidRPr="00514E0B">
              <w:rPr>
                <w:sz w:val="22"/>
                <w:szCs w:val="22"/>
              </w:rPr>
              <w:t>0.498</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9</w:t>
            </w:r>
          </w:p>
        </w:tc>
        <w:tc>
          <w:tcPr>
            <w:tcW w:w="5109" w:type="dxa"/>
            <w:vAlign w:val="center"/>
            <w:hideMark/>
          </w:tcPr>
          <w:p w:rsidR="00E20C1B" w:rsidRPr="003F1EB1" w:rsidRDefault="00E20C1B" w:rsidP="00CF0B89">
            <w:pPr>
              <w:spacing w:before="60" w:after="60"/>
              <w:ind w:firstLine="0"/>
              <w:jc w:val="left"/>
              <w:rPr>
                <w:lang w:val="en-US"/>
              </w:rPr>
            </w:pPr>
            <w:r>
              <w:rPr>
                <w:sz w:val="22"/>
                <w:szCs w:val="22"/>
                <w:lang w:val="en-US"/>
              </w:rPr>
              <w:t>Publishing</w:t>
            </w:r>
            <w:r w:rsidRPr="003F1EB1">
              <w:rPr>
                <w:sz w:val="22"/>
                <w:szCs w:val="22"/>
                <w:lang w:val="en-US"/>
              </w:rPr>
              <w:t xml:space="preserve"> and printing, reproduction of recordings</w:t>
            </w:r>
          </w:p>
        </w:tc>
        <w:tc>
          <w:tcPr>
            <w:tcW w:w="965" w:type="dxa"/>
            <w:vAlign w:val="center"/>
            <w:hideMark/>
          </w:tcPr>
          <w:p w:rsidR="00E20C1B" w:rsidRPr="00514E0B" w:rsidRDefault="00E20C1B" w:rsidP="00EF08AF">
            <w:pPr>
              <w:ind w:firstLine="0"/>
              <w:jc w:val="center"/>
            </w:pPr>
            <w:r w:rsidRPr="00514E0B">
              <w:rPr>
                <w:sz w:val="22"/>
                <w:szCs w:val="22"/>
              </w:rPr>
              <w:t>0.005</w:t>
            </w:r>
          </w:p>
        </w:tc>
        <w:tc>
          <w:tcPr>
            <w:tcW w:w="1020" w:type="dxa"/>
            <w:vAlign w:val="center"/>
            <w:hideMark/>
          </w:tcPr>
          <w:p w:rsidR="00E20C1B" w:rsidRPr="00514E0B" w:rsidRDefault="00E20C1B" w:rsidP="00EF08AF">
            <w:pPr>
              <w:ind w:firstLine="0"/>
              <w:jc w:val="center"/>
            </w:pPr>
            <w:r w:rsidRPr="00514E0B">
              <w:rPr>
                <w:sz w:val="22"/>
                <w:szCs w:val="22"/>
              </w:rPr>
              <w:t>0.009</w:t>
            </w:r>
          </w:p>
        </w:tc>
        <w:tc>
          <w:tcPr>
            <w:tcW w:w="708" w:type="dxa"/>
            <w:vAlign w:val="center"/>
            <w:hideMark/>
          </w:tcPr>
          <w:p w:rsidR="00E20C1B" w:rsidRPr="00514E0B" w:rsidRDefault="00E20C1B" w:rsidP="00EF08AF">
            <w:pPr>
              <w:ind w:firstLine="0"/>
              <w:jc w:val="center"/>
            </w:pPr>
            <w:r w:rsidRPr="00514E0B">
              <w:rPr>
                <w:sz w:val="22"/>
                <w:szCs w:val="22"/>
              </w:rPr>
              <w:t>0.522</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10</w:t>
            </w:r>
          </w:p>
        </w:tc>
        <w:tc>
          <w:tcPr>
            <w:tcW w:w="5109" w:type="dxa"/>
            <w:vAlign w:val="center"/>
            <w:hideMark/>
          </w:tcPr>
          <w:p w:rsidR="00E20C1B" w:rsidRPr="003F1EB1" w:rsidRDefault="00E20C1B" w:rsidP="00CF0B89">
            <w:pPr>
              <w:spacing w:before="60" w:after="60"/>
              <w:ind w:firstLine="0"/>
              <w:jc w:val="left"/>
            </w:pPr>
            <w:r w:rsidRPr="003F1EB1">
              <w:rPr>
                <w:sz w:val="22"/>
                <w:szCs w:val="22"/>
              </w:rPr>
              <w:t>Oil refining</w:t>
            </w:r>
          </w:p>
        </w:tc>
        <w:tc>
          <w:tcPr>
            <w:tcW w:w="965" w:type="dxa"/>
            <w:vAlign w:val="center"/>
            <w:hideMark/>
          </w:tcPr>
          <w:p w:rsidR="00E20C1B" w:rsidRPr="00514E0B" w:rsidRDefault="00E20C1B" w:rsidP="00EF08AF">
            <w:pPr>
              <w:ind w:firstLine="0"/>
              <w:jc w:val="center"/>
            </w:pPr>
            <w:r w:rsidRPr="00514E0B">
              <w:rPr>
                <w:sz w:val="22"/>
                <w:szCs w:val="22"/>
              </w:rPr>
              <w:t>0.001</w:t>
            </w:r>
          </w:p>
        </w:tc>
        <w:tc>
          <w:tcPr>
            <w:tcW w:w="1020" w:type="dxa"/>
            <w:vAlign w:val="center"/>
            <w:hideMark/>
          </w:tcPr>
          <w:p w:rsidR="00E20C1B" w:rsidRPr="00514E0B" w:rsidRDefault="00E20C1B" w:rsidP="00EF08AF">
            <w:pPr>
              <w:ind w:firstLine="0"/>
              <w:jc w:val="center"/>
            </w:pPr>
            <w:r w:rsidRPr="00514E0B">
              <w:rPr>
                <w:sz w:val="22"/>
                <w:szCs w:val="22"/>
              </w:rPr>
              <w:t>0.045</w:t>
            </w:r>
          </w:p>
        </w:tc>
        <w:tc>
          <w:tcPr>
            <w:tcW w:w="708" w:type="dxa"/>
            <w:vAlign w:val="center"/>
            <w:hideMark/>
          </w:tcPr>
          <w:p w:rsidR="00E20C1B" w:rsidRPr="00514E0B" w:rsidRDefault="00E20C1B" w:rsidP="00EF08AF">
            <w:pPr>
              <w:ind w:firstLine="0"/>
              <w:jc w:val="center"/>
            </w:pPr>
            <w:r w:rsidRPr="00514E0B">
              <w:rPr>
                <w:sz w:val="22"/>
                <w:szCs w:val="22"/>
              </w:rPr>
              <w:t>0.020</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11</w:t>
            </w:r>
          </w:p>
        </w:tc>
        <w:tc>
          <w:tcPr>
            <w:tcW w:w="5109" w:type="dxa"/>
            <w:vAlign w:val="center"/>
            <w:hideMark/>
          </w:tcPr>
          <w:p w:rsidR="00E20C1B" w:rsidRPr="003F1EB1" w:rsidRDefault="00E20C1B" w:rsidP="00CF0B89">
            <w:pPr>
              <w:spacing w:before="60" w:after="60"/>
              <w:ind w:firstLine="0"/>
              <w:jc w:val="left"/>
              <w:rPr>
                <w:lang w:val="en-US"/>
              </w:rPr>
            </w:pPr>
            <w:r>
              <w:rPr>
                <w:sz w:val="22"/>
                <w:szCs w:val="22"/>
                <w:lang w:val="en-US"/>
              </w:rPr>
              <w:t>Manufacture</w:t>
            </w:r>
            <w:r w:rsidRPr="003F1EB1">
              <w:rPr>
                <w:sz w:val="22"/>
                <w:szCs w:val="22"/>
                <w:lang w:val="en-US"/>
              </w:rPr>
              <w:t xml:space="preserve"> of substances and chemical products</w:t>
            </w:r>
          </w:p>
        </w:tc>
        <w:tc>
          <w:tcPr>
            <w:tcW w:w="965" w:type="dxa"/>
            <w:vAlign w:val="center"/>
            <w:hideMark/>
          </w:tcPr>
          <w:p w:rsidR="00E20C1B" w:rsidRPr="00514E0B" w:rsidRDefault="00E20C1B" w:rsidP="00EF08AF">
            <w:pPr>
              <w:ind w:firstLine="0"/>
              <w:jc w:val="center"/>
            </w:pPr>
            <w:r w:rsidRPr="00514E0B">
              <w:rPr>
                <w:sz w:val="22"/>
                <w:szCs w:val="22"/>
              </w:rPr>
              <w:t>0.014</w:t>
            </w:r>
          </w:p>
        </w:tc>
        <w:tc>
          <w:tcPr>
            <w:tcW w:w="1020" w:type="dxa"/>
            <w:vAlign w:val="center"/>
            <w:hideMark/>
          </w:tcPr>
          <w:p w:rsidR="00E20C1B" w:rsidRPr="00514E0B" w:rsidRDefault="00E20C1B" w:rsidP="00EF08AF">
            <w:pPr>
              <w:ind w:firstLine="0"/>
              <w:jc w:val="center"/>
            </w:pPr>
            <w:r w:rsidRPr="00514E0B">
              <w:rPr>
                <w:sz w:val="22"/>
                <w:szCs w:val="22"/>
              </w:rPr>
              <w:t>0.056</w:t>
            </w:r>
          </w:p>
        </w:tc>
        <w:tc>
          <w:tcPr>
            <w:tcW w:w="708" w:type="dxa"/>
            <w:vAlign w:val="center"/>
            <w:hideMark/>
          </w:tcPr>
          <w:p w:rsidR="00E20C1B" w:rsidRPr="00514E0B" w:rsidRDefault="00E20C1B" w:rsidP="00EF08AF">
            <w:pPr>
              <w:ind w:firstLine="0"/>
              <w:jc w:val="center"/>
            </w:pPr>
            <w:r w:rsidRPr="00514E0B">
              <w:rPr>
                <w:sz w:val="22"/>
                <w:szCs w:val="22"/>
              </w:rPr>
              <w:t>0.248</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12</w:t>
            </w:r>
          </w:p>
        </w:tc>
        <w:tc>
          <w:tcPr>
            <w:tcW w:w="5109" w:type="dxa"/>
            <w:vAlign w:val="center"/>
            <w:hideMark/>
          </w:tcPr>
          <w:p w:rsidR="00E20C1B" w:rsidRPr="003F1EB1" w:rsidRDefault="00E20C1B" w:rsidP="00CF0B89">
            <w:pPr>
              <w:spacing w:before="60" w:after="60"/>
              <w:ind w:firstLine="0"/>
              <w:jc w:val="left"/>
              <w:rPr>
                <w:lang w:val="en-US"/>
              </w:rPr>
            </w:pPr>
            <w:r>
              <w:rPr>
                <w:sz w:val="22"/>
                <w:szCs w:val="22"/>
                <w:lang w:val="en-US"/>
              </w:rPr>
              <w:t>Manufacture</w:t>
            </w:r>
            <w:r w:rsidRPr="003F1EB1">
              <w:rPr>
                <w:sz w:val="22"/>
                <w:szCs w:val="22"/>
                <w:lang w:val="en-US"/>
              </w:rPr>
              <w:t xml:space="preserve"> of rubber and plastic products</w:t>
            </w:r>
          </w:p>
        </w:tc>
        <w:tc>
          <w:tcPr>
            <w:tcW w:w="965" w:type="dxa"/>
            <w:vAlign w:val="center"/>
            <w:hideMark/>
          </w:tcPr>
          <w:p w:rsidR="00E20C1B" w:rsidRPr="00514E0B" w:rsidRDefault="00E20C1B" w:rsidP="00EF08AF">
            <w:pPr>
              <w:ind w:firstLine="0"/>
              <w:jc w:val="center"/>
            </w:pPr>
            <w:r w:rsidRPr="00514E0B">
              <w:rPr>
                <w:sz w:val="22"/>
                <w:szCs w:val="22"/>
              </w:rPr>
              <w:t>0.014</w:t>
            </w:r>
          </w:p>
        </w:tc>
        <w:tc>
          <w:tcPr>
            <w:tcW w:w="1020" w:type="dxa"/>
            <w:vAlign w:val="center"/>
            <w:hideMark/>
          </w:tcPr>
          <w:p w:rsidR="00E20C1B" w:rsidRPr="00514E0B" w:rsidRDefault="00E20C1B" w:rsidP="00EF08AF">
            <w:pPr>
              <w:ind w:firstLine="0"/>
              <w:jc w:val="center"/>
            </w:pPr>
            <w:r w:rsidRPr="00514E0B">
              <w:rPr>
                <w:sz w:val="22"/>
                <w:szCs w:val="22"/>
              </w:rPr>
              <w:t>0.016</w:t>
            </w:r>
          </w:p>
        </w:tc>
        <w:tc>
          <w:tcPr>
            <w:tcW w:w="708" w:type="dxa"/>
            <w:vAlign w:val="center"/>
            <w:hideMark/>
          </w:tcPr>
          <w:p w:rsidR="00E20C1B" w:rsidRPr="00514E0B" w:rsidRDefault="00E20C1B" w:rsidP="00EF08AF">
            <w:pPr>
              <w:ind w:firstLine="0"/>
              <w:jc w:val="center"/>
            </w:pPr>
            <w:r w:rsidRPr="00514E0B">
              <w:rPr>
                <w:sz w:val="22"/>
                <w:szCs w:val="22"/>
              </w:rPr>
              <w:t>0.836</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13</w:t>
            </w:r>
          </w:p>
        </w:tc>
        <w:tc>
          <w:tcPr>
            <w:tcW w:w="5109" w:type="dxa"/>
            <w:vAlign w:val="center"/>
            <w:hideMark/>
          </w:tcPr>
          <w:p w:rsidR="00E20C1B" w:rsidRPr="003F1EB1" w:rsidRDefault="00E20C1B" w:rsidP="00CF0B89">
            <w:pPr>
              <w:spacing w:before="60" w:after="60"/>
              <w:ind w:firstLine="0"/>
              <w:jc w:val="left"/>
              <w:rPr>
                <w:lang w:val="en-US"/>
              </w:rPr>
            </w:pPr>
            <w:r>
              <w:rPr>
                <w:sz w:val="22"/>
                <w:szCs w:val="22"/>
                <w:lang w:val="en-US"/>
              </w:rPr>
              <w:t>Manufacture</w:t>
            </w:r>
            <w:r w:rsidRPr="003F1EB1">
              <w:rPr>
                <w:sz w:val="22"/>
                <w:szCs w:val="22"/>
                <w:lang w:val="en-US"/>
              </w:rPr>
              <w:t xml:space="preserve"> of non-metallic mineral products</w:t>
            </w:r>
          </w:p>
        </w:tc>
        <w:tc>
          <w:tcPr>
            <w:tcW w:w="965" w:type="dxa"/>
            <w:vAlign w:val="center"/>
            <w:hideMark/>
          </w:tcPr>
          <w:p w:rsidR="00E20C1B" w:rsidRPr="00514E0B" w:rsidRDefault="00E20C1B" w:rsidP="00EF08AF">
            <w:pPr>
              <w:ind w:firstLine="0"/>
              <w:jc w:val="center"/>
            </w:pPr>
            <w:r w:rsidRPr="00514E0B">
              <w:rPr>
                <w:sz w:val="22"/>
                <w:szCs w:val="22"/>
              </w:rPr>
              <w:t>0.010</w:t>
            </w:r>
          </w:p>
        </w:tc>
        <w:tc>
          <w:tcPr>
            <w:tcW w:w="1020" w:type="dxa"/>
            <w:vAlign w:val="center"/>
            <w:hideMark/>
          </w:tcPr>
          <w:p w:rsidR="00E20C1B" w:rsidRPr="00514E0B" w:rsidRDefault="00E20C1B" w:rsidP="00EF08AF">
            <w:pPr>
              <w:ind w:firstLine="0"/>
              <w:jc w:val="center"/>
            </w:pPr>
            <w:r w:rsidRPr="00514E0B">
              <w:rPr>
                <w:sz w:val="22"/>
                <w:szCs w:val="22"/>
              </w:rPr>
              <w:t>0.007</w:t>
            </w:r>
          </w:p>
        </w:tc>
        <w:tc>
          <w:tcPr>
            <w:tcW w:w="708" w:type="dxa"/>
            <w:vAlign w:val="center"/>
            <w:hideMark/>
          </w:tcPr>
          <w:p w:rsidR="00E20C1B" w:rsidRPr="00514E0B" w:rsidRDefault="00E20C1B" w:rsidP="00EF08AF">
            <w:pPr>
              <w:ind w:firstLine="0"/>
              <w:jc w:val="center"/>
            </w:pPr>
            <w:r w:rsidRPr="00514E0B">
              <w:rPr>
                <w:sz w:val="22"/>
                <w:szCs w:val="22"/>
              </w:rPr>
              <w:t>1.536</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14</w:t>
            </w:r>
          </w:p>
        </w:tc>
        <w:tc>
          <w:tcPr>
            <w:tcW w:w="5109" w:type="dxa"/>
            <w:vAlign w:val="center"/>
            <w:hideMark/>
          </w:tcPr>
          <w:p w:rsidR="00E20C1B" w:rsidRPr="003F1EB1" w:rsidRDefault="00E20C1B" w:rsidP="00CF0B89">
            <w:pPr>
              <w:spacing w:before="60" w:after="60"/>
              <w:ind w:firstLine="0"/>
              <w:jc w:val="left"/>
            </w:pPr>
            <w:r>
              <w:rPr>
                <w:sz w:val="22"/>
                <w:szCs w:val="22"/>
              </w:rPr>
              <w:t>Manufacture</w:t>
            </w:r>
            <w:r w:rsidRPr="003F1EB1">
              <w:rPr>
                <w:sz w:val="22"/>
                <w:szCs w:val="22"/>
              </w:rPr>
              <w:t xml:space="preserve"> of common metals</w:t>
            </w:r>
          </w:p>
        </w:tc>
        <w:tc>
          <w:tcPr>
            <w:tcW w:w="965" w:type="dxa"/>
            <w:vAlign w:val="center"/>
            <w:hideMark/>
          </w:tcPr>
          <w:p w:rsidR="00E20C1B" w:rsidRPr="00514E0B" w:rsidRDefault="00E20C1B" w:rsidP="00EF08AF">
            <w:pPr>
              <w:ind w:firstLine="0"/>
              <w:jc w:val="center"/>
            </w:pPr>
            <w:r w:rsidRPr="00514E0B">
              <w:rPr>
                <w:sz w:val="22"/>
                <w:szCs w:val="22"/>
              </w:rPr>
              <w:t>0.008</w:t>
            </w:r>
          </w:p>
        </w:tc>
        <w:tc>
          <w:tcPr>
            <w:tcW w:w="1020" w:type="dxa"/>
            <w:vAlign w:val="center"/>
            <w:hideMark/>
          </w:tcPr>
          <w:p w:rsidR="00E20C1B" w:rsidRPr="00514E0B" w:rsidRDefault="00E20C1B" w:rsidP="00EF08AF">
            <w:pPr>
              <w:ind w:firstLine="0"/>
              <w:jc w:val="center"/>
            </w:pPr>
            <w:r w:rsidRPr="00514E0B">
              <w:rPr>
                <w:sz w:val="22"/>
                <w:szCs w:val="22"/>
              </w:rPr>
              <w:t>0.025</w:t>
            </w:r>
          </w:p>
        </w:tc>
        <w:tc>
          <w:tcPr>
            <w:tcW w:w="708" w:type="dxa"/>
            <w:vAlign w:val="center"/>
            <w:hideMark/>
          </w:tcPr>
          <w:p w:rsidR="00E20C1B" w:rsidRPr="00514E0B" w:rsidRDefault="00E20C1B" w:rsidP="00EF08AF">
            <w:pPr>
              <w:ind w:firstLine="0"/>
              <w:jc w:val="center"/>
            </w:pPr>
            <w:r w:rsidRPr="00514E0B">
              <w:rPr>
                <w:sz w:val="22"/>
                <w:szCs w:val="22"/>
              </w:rPr>
              <w:t>0.327</w:t>
            </w:r>
          </w:p>
        </w:tc>
      </w:tr>
      <w:tr w:rsidR="00E20C1B" w:rsidTr="00025162">
        <w:trPr>
          <w:trHeight w:val="242"/>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15</w:t>
            </w:r>
          </w:p>
        </w:tc>
        <w:tc>
          <w:tcPr>
            <w:tcW w:w="5109" w:type="dxa"/>
            <w:vAlign w:val="center"/>
            <w:hideMark/>
          </w:tcPr>
          <w:p w:rsidR="00E20C1B" w:rsidRPr="003F1EB1" w:rsidRDefault="00E20C1B" w:rsidP="00CF0B89">
            <w:pPr>
              <w:spacing w:before="60" w:after="60"/>
              <w:ind w:firstLine="0"/>
              <w:jc w:val="left"/>
              <w:rPr>
                <w:lang w:val="en-US"/>
              </w:rPr>
            </w:pPr>
            <w:r>
              <w:rPr>
                <w:sz w:val="22"/>
                <w:szCs w:val="22"/>
                <w:lang w:val="en-US"/>
              </w:rPr>
              <w:t>Manufacture</w:t>
            </w:r>
            <w:r w:rsidRPr="003F1EB1">
              <w:rPr>
                <w:sz w:val="22"/>
                <w:szCs w:val="22"/>
                <w:lang w:val="en-US"/>
              </w:rPr>
              <w:t xml:space="preserve"> of metallic products, except </w:t>
            </w:r>
            <w:r>
              <w:rPr>
                <w:sz w:val="22"/>
                <w:szCs w:val="22"/>
                <w:lang w:val="en-US"/>
              </w:rPr>
              <w:t xml:space="preserve">for </w:t>
            </w:r>
            <w:r w:rsidRPr="003F1EB1">
              <w:rPr>
                <w:sz w:val="22"/>
                <w:szCs w:val="22"/>
                <w:lang w:val="en-US"/>
              </w:rPr>
              <w:t xml:space="preserve">machinery </w:t>
            </w:r>
            <w:r>
              <w:rPr>
                <w:sz w:val="22"/>
                <w:szCs w:val="22"/>
                <w:lang w:val="en-US"/>
              </w:rPr>
              <w:t>and</w:t>
            </w:r>
            <w:r w:rsidRPr="003F1EB1">
              <w:rPr>
                <w:sz w:val="22"/>
                <w:szCs w:val="22"/>
                <w:lang w:val="en-US"/>
              </w:rPr>
              <w:t xml:space="preserve"> equip</w:t>
            </w:r>
            <w:r>
              <w:rPr>
                <w:sz w:val="22"/>
                <w:szCs w:val="22"/>
                <w:lang w:val="en-US"/>
              </w:rPr>
              <w:t>ment</w:t>
            </w:r>
          </w:p>
        </w:tc>
        <w:tc>
          <w:tcPr>
            <w:tcW w:w="965" w:type="dxa"/>
            <w:vAlign w:val="center"/>
            <w:hideMark/>
          </w:tcPr>
          <w:p w:rsidR="00E20C1B" w:rsidRPr="00514E0B" w:rsidRDefault="00E20C1B" w:rsidP="00EF08AF">
            <w:pPr>
              <w:ind w:firstLine="0"/>
              <w:jc w:val="center"/>
            </w:pPr>
            <w:r w:rsidRPr="00514E0B">
              <w:rPr>
                <w:sz w:val="22"/>
                <w:szCs w:val="22"/>
              </w:rPr>
              <w:t>0.010</w:t>
            </w:r>
          </w:p>
        </w:tc>
        <w:tc>
          <w:tcPr>
            <w:tcW w:w="1020" w:type="dxa"/>
            <w:vAlign w:val="center"/>
            <w:hideMark/>
          </w:tcPr>
          <w:p w:rsidR="00E20C1B" w:rsidRPr="00514E0B" w:rsidRDefault="00E20C1B" w:rsidP="00EF08AF">
            <w:pPr>
              <w:ind w:firstLine="0"/>
              <w:jc w:val="center"/>
            </w:pPr>
            <w:r w:rsidRPr="00514E0B">
              <w:rPr>
                <w:sz w:val="22"/>
                <w:szCs w:val="22"/>
              </w:rPr>
              <w:t>0.010</w:t>
            </w:r>
          </w:p>
        </w:tc>
        <w:tc>
          <w:tcPr>
            <w:tcW w:w="708" w:type="dxa"/>
            <w:vAlign w:val="center"/>
            <w:hideMark/>
          </w:tcPr>
          <w:p w:rsidR="00E20C1B" w:rsidRPr="00514E0B" w:rsidRDefault="00E20C1B" w:rsidP="00EF08AF">
            <w:pPr>
              <w:ind w:firstLine="0"/>
              <w:jc w:val="center"/>
            </w:pPr>
            <w:r w:rsidRPr="00514E0B">
              <w:rPr>
                <w:sz w:val="22"/>
                <w:szCs w:val="22"/>
              </w:rPr>
              <w:t>0.997</w:t>
            </w:r>
          </w:p>
        </w:tc>
      </w:tr>
      <w:tr w:rsidR="00E20C1B" w:rsidTr="00025162">
        <w:trPr>
          <w:trHeight w:val="146"/>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16</w:t>
            </w:r>
          </w:p>
        </w:tc>
        <w:tc>
          <w:tcPr>
            <w:tcW w:w="5109" w:type="dxa"/>
            <w:vAlign w:val="center"/>
            <w:hideMark/>
          </w:tcPr>
          <w:p w:rsidR="00E20C1B" w:rsidRPr="003F1EB1" w:rsidRDefault="00E20C1B" w:rsidP="00CF0B89">
            <w:pPr>
              <w:spacing w:before="60" w:after="60"/>
              <w:ind w:firstLine="0"/>
              <w:jc w:val="left"/>
              <w:rPr>
                <w:lang w:val="en-US"/>
              </w:rPr>
            </w:pPr>
            <w:r>
              <w:rPr>
                <w:sz w:val="22"/>
                <w:szCs w:val="22"/>
                <w:lang w:val="en-US"/>
              </w:rPr>
              <w:t>Manufacture</w:t>
            </w:r>
            <w:r w:rsidRPr="003F1EB1">
              <w:rPr>
                <w:sz w:val="22"/>
                <w:szCs w:val="22"/>
                <w:lang w:val="en-US"/>
              </w:rPr>
              <w:t xml:space="preserve"> of machinery and equipment</w:t>
            </w:r>
            <w:r>
              <w:rPr>
                <w:sz w:val="22"/>
                <w:szCs w:val="22"/>
                <w:lang w:val="en-US"/>
              </w:rPr>
              <w:t>, electrical apparatus, technical instruments, and equipment for radio, television and telecommunications</w:t>
            </w:r>
          </w:p>
        </w:tc>
        <w:tc>
          <w:tcPr>
            <w:tcW w:w="965" w:type="dxa"/>
            <w:vAlign w:val="center"/>
            <w:hideMark/>
          </w:tcPr>
          <w:p w:rsidR="00E20C1B" w:rsidRPr="00514E0B" w:rsidRDefault="00E20C1B" w:rsidP="00EF08AF">
            <w:pPr>
              <w:ind w:firstLine="0"/>
              <w:jc w:val="center"/>
            </w:pPr>
            <w:r w:rsidRPr="00514E0B">
              <w:rPr>
                <w:sz w:val="22"/>
                <w:szCs w:val="22"/>
              </w:rPr>
              <w:t>0.031</w:t>
            </w:r>
          </w:p>
        </w:tc>
        <w:tc>
          <w:tcPr>
            <w:tcW w:w="1020" w:type="dxa"/>
            <w:vAlign w:val="center"/>
            <w:hideMark/>
          </w:tcPr>
          <w:p w:rsidR="00E20C1B" w:rsidRPr="00514E0B" w:rsidRDefault="00E20C1B" w:rsidP="00EF08AF">
            <w:pPr>
              <w:ind w:firstLine="0"/>
              <w:jc w:val="center"/>
            </w:pPr>
            <w:r w:rsidRPr="00514E0B">
              <w:rPr>
                <w:sz w:val="22"/>
                <w:szCs w:val="22"/>
              </w:rPr>
              <w:t>0.020</w:t>
            </w:r>
          </w:p>
        </w:tc>
        <w:tc>
          <w:tcPr>
            <w:tcW w:w="708" w:type="dxa"/>
            <w:vAlign w:val="center"/>
            <w:hideMark/>
          </w:tcPr>
          <w:p w:rsidR="00E20C1B" w:rsidRPr="00514E0B" w:rsidRDefault="00E20C1B" w:rsidP="00EF08AF">
            <w:pPr>
              <w:ind w:firstLine="0"/>
              <w:jc w:val="center"/>
            </w:pPr>
            <w:r w:rsidRPr="00514E0B">
              <w:rPr>
                <w:sz w:val="22"/>
                <w:szCs w:val="22"/>
              </w:rPr>
              <w:t>1.565</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17</w:t>
            </w:r>
          </w:p>
        </w:tc>
        <w:tc>
          <w:tcPr>
            <w:tcW w:w="5109" w:type="dxa"/>
            <w:vAlign w:val="center"/>
            <w:hideMark/>
          </w:tcPr>
          <w:p w:rsidR="00E20C1B" w:rsidRPr="003F1EB1" w:rsidRDefault="00E20C1B" w:rsidP="00CF0B89">
            <w:pPr>
              <w:spacing w:before="60" w:after="60"/>
              <w:ind w:firstLine="0"/>
              <w:jc w:val="left"/>
            </w:pPr>
            <w:r>
              <w:rPr>
                <w:sz w:val="22"/>
                <w:szCs w:val="22"/>
              </w:rPr>
              <w:t>Manufacture</w:t>
            </w:r>
            <w:r w:rsidRPr="003F1EB1">
              <w:rPr>
                <w:sz w:val="22"/>
                <w:szCs w:val="22"/>
              </w:rPr>
              <w:t xml:space="preserve"> of vehicles</w:t>
            </w:r>
          </w:p>
        </w:tc>
        <w:tc>
          <w:tcPr>
            <w:tcW w:w="965" w:type="dxa"/>
            <w:vAlign w:val="center"/>
            <w:hideMark/>
          </w:tcPr>
          <w:p w:rsidR="00E20C1B" w:rsidRPr="00514E0B" w:rsidRDefault="00E20C1B" w:rsidP="00EF08AF">
            <w:pPr>
              <w:ind w:firstLine="0"/>
              <w:jc w:val="center"/>
            </w:pPr>
            <w:r w:rsidRPr="00514E0B">
              <w:rPr>
                <w:sz w:val="22"/>
                <w:szCs w:val="22"/>
              </w:rPr>
              <w:t>0.042</w:t>
            </w:r>
          </w:p>
        </w:tc>
        <w:tc>
          <w:tcPr>
            <w:tcW w:w="1020" w:type="dxa"/>
            <w:vAlign w:val="center"/>
            <w:hideMark/>
          </w:tcPr>
          <w:p w:rsidR="00E20C1B" w:rsidRPr="00514E0B" w:rsidRDefault="00E20C1B" w:rsidP="00EF08AF">
            <w:pPr>
              <w:ind w:firstLine="0"/>
              <w:jc w:val="center"/>
            </w:pPr>
            <w:r w:rsidRPr="00514E0B">
              <w:rPr>
                <w:sz w:val="22"/>
                <w:szCs w:val="22"/>
              </w:rPr>
              <w:t>0.018</w:t>
            </w:r>
          </w:p>
        </w:tc>
        <w:tc>
          <w:tcPr>
            <w:tcW w:w="708" w:type="dxa"/>
            <w:vAlign w:val="center"/>
            <w:hideMark/>
          </w:tcPr>
          <w:p w:rsidR="00E20C1B" w:rsidRPr="00514E0B" w:rsidRDefault="00E20C1B" w:rsidP="00EF08AF">
            <w:pPr>
              <w:ind w:firstLine="0"/>
              <w:jc w:val="center"/>
            </w:pPr>
            <w:r w:rsidRPr="00514E0B">
              <w:rPr>
                <w:sz w:val="22"/>
                <w:szCs w:val="22"/>
              </w:rPr>
              <w:t>2.321</w:t>
            </w:r>
          </w:p>
        </w:tc>
      </w:tr>
      <w:tr w:rsidR="00E20C1B" w:rsidTr="001E3F6D">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18</w:t>
            </w:r>
          </w:p>
        </w:tc>
        <w:tc>
          <w:tcPr>
            <w:tcW w:w="5109" w:type="dxa"/>
            <w:vAlign w:val="center"/>
          </w:tcPr>
          <w:p w:rsidR="00E20C1B" w:rsidRPr="003F1EB1" w:rsidRDefault="001E3F6D" w:rsidP="00CF0B89">
            <w:pPr>
              <w:spacing w:before="60" w:after="60"/>
              <w:ind w:firstLine="0"/>
              <w:jc w:val="left"/>
            </w:pPr>
            <w:r>
              <w:t>Other industries</w:t>
            </w:r>
          </w:p>
        </w:tc>
        <w:tc>
          <w:tcPr>
            <w:tcW w:w="965" w:type="dxa"/>
            <w:vAlign w:val="center"/>
            <w:hideMark/>
          </w:tcPr>
          <w:p w:rsidR="00E20C1B" w:rsidRPr="00514E0B" w:rsidRDefault="00E20C1B" w:rsidP="00EF08AF">
            <w:pPr>
              <w:ind w:firstLine="0"/>
              <w:jc w:val="center"/>
            </w:pPr>
            <w:r w:rsidRPr="00514E0B">
              <w:rPr>
                <w:sz w:val="22"/>
                <w:szCs w:val="22"/>
              </w:rPr>
              <w:t>0.006</w:t>
            </w:r>
          </w:p>
        </w:tc>
        <w:tc>
          <w:tcPr>
            <w:tcW w:w="1020" w:type="dxa"/>
            <w:vAlign w:val="center"/>
            <w:hideMark/>
          </w:tcPr>
          <w:p w:rsidR="00E20C1B" w:rsidRPr="00514E0B" w:rsidRDefault="00E20C1B" w:rsidP="00EF08AF">
            <w:pPr>
              <w:ind w:firstLine="0"/>
              <w:jc w:val="center"/>
            </w:pPr>
            <w:r w:rsidRPr="00514E0B">
              <w:rPr>
                <w:sz w:val="22"/>
                <w:szCs w:val="22"/>
              </w:rPr>
              <w:t>0.004</w:t>
            </w:r>
          </w:p>
        </w:tc>
        <w:tc>
          <w:tcPr>
            <w:tcW w:w="708" w:type="dxa"/>
            <w:vAlign w:val="center"/>
            <w:hideMark/>
          </w:tcPr>
          <w:p w:rsidR="00E20C1B" w:rsidRPr="00514E0B" w:rsidRDefault="00E20C1B" w:rsidP="00EF08AF">
            <w:pPr>
              <w:ind w:firstLine="0"/>
              <w:jc w:val="center"/>
            </w:pPr>
            <w:r w:rsidRPr="00514E0B">
              <w:rPr>
                <w:sz w:val="22"/>
                <w:szCs w:val="22"/>
              </w:rPr>
              <w:t>1.377</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19</w:t>
            </w:r>
          </w:p>
        </w:tc>
        <w:tc>
          <w:tcPr>
            <w:tcW w:w="5109" w:type="dxa"/>
            <w:vAlign w:val="center"/>
            <w:hideMark/>
          </w:tcPr>
          <w:p w:rsidR="00E20C1B" w:rsidRPr="003F1EB1" w:rsidRDefault="00E20C1B" w:rsidP="00CF0B89">
            <w:pPr>
              <w:spacing w:before="60" w:after="60"/>
              <w:ind w:firstLine="0"/>
              <w:jc w:val="left"/>
            </w:pPr>
            <w:r w:rsidRPr="003F1EB1">
              <w:rPr>
                <w:sz w:val="22"/>
                <w:szCs w:val="22"/>
              </w:rPr>
              <w:t>Electricity, gas and water</w:t>
            </w:r>
          </w:p>
        </w:tc>
        <w:tc>
          <w:tcPr>
            <w:tcW w:w="965" w:type="dxa"/>
            <w:vAlign w:val="center"/>
            <w:hideMark/>
          </w:tcPr>
          <w:p w:rsidR="00E20C1B" w:rsidRPr="00514E0B" w:rsidRDefault="00E20C1B" w:rsidP="00EF08AF">
            <w:pPr>
              <w:ind w:firstLine="0"/>
              <w:jc w:val="center"/>
            </w:pPr>
            <w:r w:rsidRPr="00514E0B">
              <w:rPr>
                <w:sz w:val="22"/>
                <w:szCs w:val="22"/>
              </w:rPr>
              <w:t>0.021</w:t>
            </w:r>
          </w:p>
        </w:tc>
        <w:tc>
          <w:tcPr>
            <w:tcW w:w="1020" w:type="dxa"/>
            <w:vAlign w:val="center"/>
            <w:hideMark/>
          </w:tcPr>
          <w:p w:rsidR="00E20C1B" w:rsidRPr="00514E0B" w:rsidRDefault="00E20C1B" w:rsidP="00EF08AF">
            <w:pPr>
              <w:ind w:firstLine="0"/>
              <w:jc w:val="center"/>
            </w:pPr>
            <w:r w:rsidRPr="00514E0B">
              <w:rPr>
                <w:sz w:val="22"/>
                <w:szCs w:val="22"/>
              </w:rPr>
              <w:t>0.021</w:t>
            </w:r>
          </w:p>
        </w:tc>
        <w:tc>
          <w:tcPr>
            <w:tcW w:w="708" w:type="dxa"/>
            <w:vAlign w:val="center"/>
            <w:hideMark/>
          </w:tcPr>
          <w:p w:rsidR="00E20C1B" w:rsidRPr="00514E0B" w:rsidRDefault="00E20C1B" w:rsidP="00EF08AF">
            <w:pPr>
              <w:ind w:firstLine="0"/>
              <w:jc w:val="center"/>
            </w:pPr>
            <w:r w:rsidRPr="00514E0B">
              <w:rPr>
                <w:sz w:val="22"/>
                <w:szCs w:val="22"/>
              </w:rPr>
              <w:t>1.001</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20</w:t>
            </w:r>
          </w:p>
        </w:tc>
        <w:tc>
          <w:tcPr>
            <w:tcW w:w="5109" w:type="dxa"/>
            <w:vAlign w:val="center"/>
            <w:hideMark/>
          </w:tcPr>
          <w:p w:rsidR="00E20C1B" w:rsidRPr="003F1EB1" w:rsidRDefault="00E20C1B" w:rsidP="00CF0B89">
            <w:pPr>
              <w:spacing w:before="60" w:after="60"/>
              <w:ind w:firstLine="0"/>
              <w:jc w:val="left"/>
            </w:pPr>
            <w:r w:rsidRPr="003F1EB1">
              <w:rPr>
                <w:sz w:val="22"/>
                <w:szCs w:val="22"/>
              </w:rPr>
              <w:t>Construction</w:t>
            </w:r>
          </w:p>
        </w:tc>
        <w:tc>
          <w:tcPr>
            <w:tcW w:w="965" w:type="dxa"/>
            <w:vAlign w:val="center"/>
            <w:hideMark/>
          </w:tcPr>
          <w:p w:rsidR="00E20C1B" w:rsidRPr="00514E0B" w:rsidRDefault="00E20C1B" w:rsidP="00EF08AF">
            <w:pPr>
              <w:ind w:firstLine="0"/>
              <w:jc w:val="center"/>
            </w:pPr>
            <w:r w:rsidRPr="00514E0B">
              <w:rPr>
                <w:sz w:val="22"/>
                <w:szCs w:val="22"/>
              </w:rPr>
              <w:t>0.052</w:t>
            </w:r>
          </w:p>
        </w:tc>
        <w:tc>
          <w:tcPr>
            <w:tcW w:w="1020" w:type="dxa"/>
            <w:vAlign w:val="center"/>
            <w:hideMark/>
          </w:tcPr>
          <w:p w:rsidR="00E20C1B" w:rsidRPr="00514E0B" w:rsidRDefault="00E20C1B" w:rsidP="00EF08AF">
            <w:pPr>
              <w:ind w:firstLine="0"/>
              <w:jc w:val="center"/>
            </w:pPr>
            <w:r w:rsidRPr="00514E0B">
              <w:rPr>
                <w:sz w:val="22"/>
                <w:szCs w:val="22"/>
              </w:rPr>
              <w:t>0.040</w:t>
            </w:r>
          </w:p>
        </w:tc>
        <w:tc>
          <w:tcPr>
            <w:tcW w:w="708" w:type="dxa"/>
            <w:vAlign w:val="center"/>
            <w:hideMark/>
          </w:tcPr>
          <w:p w:rsidR="00E20C1B" w:rsidRPr="00514E0B" w:rsidRDefault="00E20C1B" w:rsidP="00EF08AF">
            <w:pPr>
              <w:ind w:firstLine="0"/>
              <w:jc w:val="center"/>
            </w:pPr>
            <w:r w:rsidRPr="00514E0B">
              <w:rPr>
                <w:sz w:val="22"/>
                <w:szCs w:val="22"/>
              </w:rPr>
              <w:t>1.304</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21</w:t>
            </w:r>
          </w:p>
        </w:tc>
        <w:tc>
          <w:tcPr>
            <w:tcW w:w="5109" w:type="dxa"/>
            <w:vAlign w:val="center"/>
            <w:hideMark/>
          </w:tcPr>
          <w:p w:rsidR="00E20C1B" w:rsidRPr="003F1EB1" w:rsidRDefault="00E20C1B" w:rsidP="00CF0B89">
            <w:pPr>
              <w:spacing w:before="60" w:after="60"/>
              <w:ind w:firstLine="0"/>
              <w:jc w:val="left"/>
            </w:pPr>
            <w:r w:rsidRPr="003F1EB1">
              <w:rPr>
                <w:sz w:val="22"/>
                <w:szCs w:val="22"/>
              </w:rPr>
              <w:t>Wholesale and retail trade</w:t>
            </w:r>
          </w:p>
        </w:tc>
        <w:tc>
          <w:tcPr>
            <w:tcW w:w="965" w:type="dxa"/>
            <w:vAlign w:val="center"/>
            <w:hideMark/>
          </w:tcPr>
          <w:p w:rsidR="00E20C1B" w:rsidRPr="00514E0B" w:rsidRDefault="00E20C1B" w:rsidP="00EF08AF">
            <w:pPr>
              <w:ind w:firstLine="0"/>
              <w:jc w:val="center"/>
            </w:pPr>
            <w:r w:rsidRPr="00514E0B">
              <w:rPr>
                <w:sz w:val="22"/>
                <w:szCs w:val="22"/>
              </w:rPr>
              <w:t>0.078</w:t>
            </w:r>
          </w:p>
        </w:tc>
        <w:tc>
          <w:tcPr>
            <w:tcW w:w="1020" w:type="dxa"/>
            <w:vAlign w:val="center"/>
            <w:hideMark/>
          </w:tcPr>
          <w:p w:rsidR="00E20C1B" w:rsidRPr="00514E0B" w:rsidRDefault="00E20C1B" w:rsidP="00EF08AF">
            <w:pPr>
              <w:ind w:firstLine="0"/>
              <w:jc w:val="center"/>
            </w:pPr>
            <w:r w:rsidRPr="00514E0B">
              <w:rPr>
                <w:sz w:val="22"/>
                <w:szCs w:val="22"/>
              </w:rPr>
              <w:t>0.085</w:t>
            </w:r>
          </w:p>
        </w:tc>
        <w:tc>
          <w:tcPr>
            <w:tcW w:w="708" w:type="dxa"/>
            <w:vAlign w:val="center"/>
            <w:hideMark/>
          </w:tcPr>
          <w:p w:rsidR="00E20C1B" w:rsidRPr="00514E0B" w:rsidRDefault="00E20C1B" w:rsidP="00EF08AF">
            <w:pPr>
              <w:ind w:firstLine="0"/>
              <w:jc w:val="center"/>
            </w:pPr>
            <w:r w:rsidRPr="00514E0B">
              <w:rPr>
                <w:sz w:val="22"/>
                <w:szCs w:val="22"/>
              </w:rPr>
              <w:t>0.915</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22</w:t>
            </w:r>
          </w:p>
        </w:tc>
        <w:tc>
          <w:tcPr>
            <w:tcW w:w="5109" w:type="dxa"/>
            <w:vAlign w:val="center"/>
            <w:hideMark/>
          </w:tcPr>
          <w:p w:rsidR="00E20C1B" w:rsidRPr="003F1EB1" w:rsidRDefault="00E20C1B" w:rsidP="00CF0B89">
            <w:pPr>
              <w:spacing w:before="60" w:after="60"/>
              <w:ind w:firstLine="0"/>
              <w:jc w:val="left"/>
            </w:pPr>
            <w:r w:rsidRPr="003F1EB1">
              <w:rPr>
                <w:sz w:val="22"/>
                <w:szCs w:val="22"/>
              </w:rPr>
              <w:t>Hotels and restaurants</w:t>
            </w:r>
          </w:p>
        </w:tc>
        <w:tc>
          <w:tcPr>
            <w:tcW w:w="965" w:type="dxa"/>
            <w:vAlign w:val="center"/>
            <w:hideMark/>
          </w:tcPr>
          <w:p w:rsidR="00E20C1B" w:rsidRPr="00514E0B" w:rsidRDefault="00E20C1B" w:rsidP="00EF08AF">
            <w:pPr>
              <w:ind w:firstLine="0"/>
              <w:jc w:val="center"/>
            </w:pPr>
            <w:r w:rsidRPr="00514E0B">
              <w:rPr>
                <w:sz w:val="22"/>
                <w:szCs w:val="22"/>
              </w:rPr>
              <w:t>0.021</w:t>
            </w:r>
          </w:p>
        </w:tc>
        <w:tc>
          <w:tcPr>
            <w:tcW w:w="1020" w:type="dxa"/>
            <w:vAlign w:val="center"/>
            <w:hideMark/>
          </w:tcPr>
          <w:p w:rsidR="00E20C1B" w:rsidRPr="00514E0B" w:rsidRDefault="00E20C1B" w:rsidP="00EF08AF">
            <w:pPr>
              <w:ind w:firstLine="0"/>
              <w:jc w:val="center"/>
            </w:pPr>
            <w:r w:rsidRPr="00514E0B">
              <w:rPr>
                <w:sz w:val="22"/>
                <w:szCs w:val="22"/>
              </w:rPr>
              <w:t>0.025</w:t>
            </w:r>
          </w:p>
        </w:tc>
        <w:tc>
          <w:tcPr>
            <w:tcW w:w="708" w:type="dxa"/>
            <w:vAlign w:val="center"/>
            <w:hideMark/>
          </w:tcPr>
          <w:p w:rsidR="00E20C1B" w:rsidRPr="00514E0B" w:rsidRDefault="00E20C1B" w:rsidP="00EF08AF">
            <w:pPr>
              <w:ind w:firstLine="0"/>
              <w:jc w:val="center"/>
            </w:pPr>
            <w:r w:rsidRPr="00514E0B">
              <w:rPr>
                <w:sz w:val="22"/>
                <w:szCs w:val="22"/>
              </w:rPr>
              <w:t>0.869</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23</w:t>
            </w:r>
          </w:p>
        </w:tc>
        <w:tc>
          <w:tcPr>
            <w:tcW w:w="5109" w:type="dxa"/>
            <w:vAlign w:val="center"/>
            <w:hideMark/>
          </w:tcPr>
          <w:p w:rsidR="00E20C1B" w:rsidRPr="003F1EB1" w:rsidRDefault="00E20C1B" w:rsidP="00CF0B89">
            <w:pPr>
              <w:spacing w:before="60" w:after="60"/>
              <w:ind w:firstLine="0"/>
              <w:jc w:val="left"/>
              <w:rPr>
                <w:lang w:val="en-US"/>
              </w:rPr>
            </w:pPr>
            <w:r w:rsidRPr="003F1EB1">
              <w:rPr>
                <w:sz w:val="22"/>
                <w:szCs w:val="22"/>
                <w:lang w:val="en-US"/>
              </w:rPr>
              <w:t>Transport, storage and communication services</w:t>
            </w:r>
          </w:p>
        </w:tc>
        <w:tc>
          <w:tcPr>
            <w:tcW w:w="965" w:type="dxa"/>
            <w:vAlign w:val="center"/>
            <w:hideMark/>
          </w:tcPr>
          <w:p w:rsidR="00E20C1B" w:rsidRPr="00514E0B" w:rsidRDefault="00E20C1B" w:rsidP="00EF08AF">
            <w:pPr>
              <w:ind w:firstLine="0"/>
              <w:jc w:val="center"/>
            </w:pPr>
            <w:r w:rsidRPr="00514E0B">
              <w:rPr>
                <w:sz w:val="22"/>
                <w:szCs w:val="22"/>
              </w:rPr>
              <w:t>0.053</w:t>
            </w:r>
          </w:p>
        </w:tc>
        <w:tc>
          <w:tcPr>
            <w:tcW w:w="1020" w:type="dxa"/>
            <w:vAlign w:val="center"/>
            <w:hideMark/>
          </w:tcPr>
          <w:p w:rsidR="00E20C1B" w:rsidRPr="00514E0B" w:rsidRDefault="00E20C1B" w:rsidP="00EF08AF">
            <w:pPr>
              <w:ind w:firstLine="0"/>
              <w:jc w:val="center"/>
            </w:pPr>
            <w:r w:rsidRPr="00514E0B">
              <w:rPr>
                <w:sz w:val="22"/>
                <w:szCs w:val="22"/>
              </w:rPr>
              <w:t>0.067</w:t>
            </w:r>
          </w:p>
        </w:tc>
        <w:tc>
          <w:tcPr>
            <w:tcW w:w="708" w:type="dxa"/>
            <w:vAlign w:val="center"/>
            <w:hideMark/>
          </w:tcPr>
          <w:p w:rsidR="00E20C1B" w:rsidRPr="00514E0B" w:rsidRDefault="00E20C1B" w:rsidP="00EF08AF">
            <w:pPr>
              <w:ind w:firstLine="0"/>
              <w:jc w:val="center"/>
            </w:pPr>
            <w:r w:rsidRPr="00514E0B">
              <w:rPr>
                <w:sz w:val="22"/>
                <w:szCs w:val="22"/>
              </w:rPr>
              <w:t>0.797</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24</w:t>
            </w:r>
          </w:p>
        </w:tc>
        <w:tc>
          <w:tcPr>
            <w:tcW w:w="5109" w:type="dxa"/>
            <w:vAlign w:val="center"/>
            <w:hideMark/>
          </w:tcPr>
          <w:p w:rsidR="00E20C1B" w:rsidRPr="003F1EB1" w:rsidRDefault="00E20C1B" w:rsidP="00EC7A2E">
            <w:pPr>
              <w:spacing w:before="60" w:after="60"/>
              <w:ind w:firstLine="0"/>
              <w:jc w:val="left"/>
            </w:pPr>
            <w:r w:rsidRPr="003F1EB1">
              <w:rPr>
                <w:sz w:val="22"/>
                <w:szCs w:val="22"/>
              </w:rPr>
              <w:t>Post and telecommunications</w:t>
            </w:r>
          </w:p>
        </w:tc>
        <w:tc>
          <w:tcPr>
            <w:tcW w:w="965" w:type="dxa"/>
            <w:vAlign w:val="center"/>
            <w:hideMark/>
          </w:tcPr>
          <w:p w:rsidR="00E20C1B" w:rsidRPr="00514E0B" w:rsidRDefault="00E20C1B" w:rsidP="00EF08AF">
            <w:pPr>
              <w:ind w:firstLine="0"/>
              <w:jc w:val="center"/>
            </w:pPr>
            <w:r w:rsidRPr="00514E0B">
              <w:rPr>
                <w:sz w:val="22"/>
                <w:szCs w:val="22"/>
              </w:rPr>
              <w:t>0.022</w:t>
            </w:r>
          </w:p>
        </w:tc>
        <w:tc>
          <w:tcPr>
            <w:tcW w:w="1020" w:type="dxa"/>
            <w:vAlign w:val="center"/>
            <w:hideMark/>
          </w:tcPr>
          <w:p w:rsidR="00E20C1B" w:rsidRPr="00514E0B" w:rsidRDefault="00E20C1B" w:rsidP="00EF08AF">
            <w:pPr>
              <w:ind w:firstLine="0"/>
              <w:jc w:val="center"/>
            </w:pPr>
            <w:r w:rsidRPr="00514E0B">
              <w:rPr>
                <w:sz w:val="22"/>
                <w:szCs w:val="22"/>
              </w:rPr>
              <w:t>0.022</w:t>
            </w:r>
          </w:p>
        </w:tc>
        <w:tc>
          <w:tcPr>
            <w:tcW w:w="708" w:type="dxa"/>
            <w:vAlign w:val="center"/>
            <w:hideMark/>
          </w:tcPr>
          <w:p w:rsidR="00E20C1B" w:rsidRPr="00514E0B" w:rsidRDefault="00E20C1B" w:rsidP="00EF08AF">
            <w:pPr>
              <w:ind w:firstLine="0"/>
              <w:jc w:val="center"/>
            </w:pPr>
            <w:r w:rsidRPr="00514E0B">
              <w:rPr>
                <w:sz w:val="22"/>
                <w:szCs w:val="22"/>
              </w:rPr>
              <w:t>0.988</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25</w:t>
            </w:r>
          </w:p>
        </w:tc>
        <w:tc>
          <w:tcPr>
            <w:tcW w:w="5109" w:type="dxa"/>
            <w:vAlign w:val="center"/>
            <w:hideMark/>
          </w:tcPr>
          <w:p w:rsidR="00E20C1B" w:rsidRPr="003F1EB1" w:rsidRDefault="00E20C1B" w:rsidP="00CF0B89">
            <w:pPr>
              <w:spacing w:before="60" w:after="60"/>
              <w:ind w:firstLine="0"/>
              <w:jc w:val="left"/>
            </w:pPr>
            <w:r w:rsidRPr="003F1EB1">
              <w:rPr>
                <w:sz w:val="22"/>
                <w:szCs w:val="22"/>
              </w:rPr>
              <w:t>Financial intermediation</w:t>
            </w:r>
          </w:p>
        </w:tc>
        <w:tc>
          <w:tcPr>
            <w:tcW w:w="965" w:type="dxa"/>
            <w:vAlign w:val="center"/>
            <w:hideMark/>
          </w:tcPr>
          <w:p w:rsidR="00E20C1B" w:rsidRPr="00514E0B" w:rsidRDefault="00E20C1B" w:rsidP="00EF08AF">
            <w:pPr>
              <w:ind w:firstLine="0"/>
              <w:jc w:val="center"/>
            </w:pPr>
            <w:r w:rsidRPr="00514E0B">
              <w:rPr>
                <w:sz w:val="22"/>
                <w:szCs w:val="22"/>
              </w:rPr>
              <w:t>0.016</w:t>
            </w:r>
          </w:p>
        </w:tc>
        <w:tc>
          <w:tcPr>
            <w:tcW w:w="1020" w:type="dxa"/>
            <w:vAlign w:val="center"/>
            <w:hideMark/>
          </w:tcPr>
          <w:p w:rsidR="00E20C1B" w:rsidRPr="00514E0B" w:rsidRDefault="00E20C1B" w:rsidP="00EF08AF">
            <w:pPr>
              <w:ind w:firstLine="0"/>
              <w:jc w:val="center"/>
            </w:pPr>
            <w:r w:rsidRPr="00514E0B">
              <w:rPr>
                <w:sz w:val="22"/>
                <w:szCs w:val="22"/>
              </w:rPr>
              <w:t>0.031</w:t>
            </w:r>
          </w:p>
        </w:tc>
        <w:tc>
          <w:tcPr>
            <w:tcW w:w="708" w:type="dxa"/>
            <w:vAlign w:val="center"/>
            <w:hideMark/>
          </w:tcPr>
          <w:p w:rsidR="00E20C1B" w:rsidRPr="00514E0B" w:rsidRDefault="00E20C1B" w:rsidP="00EF08AF">
            <w:pPr>
              <w:ind w:firstLine="0"/>
              <w:jc w:val="center"/>
            </w:pPr>
            <w:r w:rsidRPr="00514E0B">
              <w:rPr>
                <w:sz w:val="22"/>
                <w:szCs w:val="22"/>
              </w:rPr>
              <w:t>0.527</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26</w:t>
            </w:r>
          </w:p>
        </w:tc>
        <w:tc>
          <w:tcPr>
            <w:tcW w:w="5109" w:type="dxa"/>
            <w:vAlign w:val="center"/>
            <w:hideMark/>
          </w:tcPr>
          <w:p w:rsidR="00E20C1B" w:rsidRPr="003F1EB1" w:rsidRDefault="00E20C1B" w:rsidP="00CF0B89">
            <w:pPr>
              <w:spacing w:before="60" w:after="60"/>
              <w:ind w:firstLine="0"/>
              <w:jc w:val="left"/>
              <w:rPr>
                <w:lang w:val="en-US"/>
              </w:rPr>
            </w:pPr>
            <w:r w:rsidRPr="003F1EB1">
              <w:rPr>
                <w:sz w:val="22"/>
                <w:szCs w:val="22"/>
                <w:lang w:val="en-US"/>
              </w:rPr>
              <w:t>Real estate, business and renting services</w:t>
            </w:r>
          </w:p>
        </w:tc>
        <w:tc>
          <w:tcPr>
            <w:tcW w:w="965" w:type="dxa"/>
            <w:vAlign w:val="center"/>
            <w:hideMark/>
          </w:tcPr>
          <w:p w:rsidR="00E20C1B" w:rsidRPr="00514E0B" w:rsidRDefault="00E20C1B" w:rsidP="00EF08AF">
            <w:pPr>
              <w:ind w:firstLine="0"/>
              <w:jc w:val="center"/>
            </w:pPr>
            <w:r w:rsidRPr="00514E0B">
              <w:rPr>
                <w:sz w:val="22"/>
                <w:szCs w:val="22"/>
              </w:rPr>
              <w:t>0.079</w:t>
            </w:r>
          </w:p>
        </w:tc>
        <w:tc>
          <w:tcPr>
            <w:tcW w:w="1020" w:type="dxa"/>
            <w:vAlign w:val="center"/>
            <w:hideMark/>
          </w:tcPr>
          <w:p w:rsidR="00E20C1B" w:rsidRPr="00514E0B" w:rsidRDefault="00E20C1B" w:rsidP="00EF08AF">
            <w:pPr>
              <w:ind w:firstLine="0"/>
              <w:jc w:val="center"/>
            </w:pPr>
            <w:r w:rsidRPr="00514E0B">
              <w:rPr>
                <w:sz w:val="22"/>
                <w:szCs w:val="22"/>
              </w:rPr>
              <w:t>0.077</w:t>
            </w:r>
          </w:p>
        </w:tc>
        <w:tc>
          <w:tcPr>
            <w:tcW w:w="708" w:type="dxa"/>
            <w:vAlign w:val="center"/>
            <w:hideMark/>
          </w:tcPr>
          <w:p w:rsidR="00E20C1B" w:rsidRPr="00514E0B" w:rsidRDefault="00E20C1B" w:rsidP="00EF08AF">
            <w:pPr>
              <w:ind w:firstLine="0"/>
              <w:jc w:val="center"/>
            </w:pPr>
            <w:r w:rsidRPr="00514E0B">
              <w:rPr>
                <w:sz w:val="22"/>
                <w:szCs w:val="22"/>
              </w:rPr>
              <w:t>1.018</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27</w:t>
            </w:r>
          </w:p>
        </w:tc>
        <w:tc>
          <w:tcPr>
            <w:tcW w:w="5109" w:type="dxa"/>
            <w:vAlign w:val="center"/>
            <w:hideMark/>
          </w:tcPr>
          <w:p w:rsidR="00E20C1B" w:rsidRPr="003F1EB1" w:rsidRDefault="00E20C1B" w:rsidP="00CF0B89">
            <w:pPr>
              <w:spacing w:before="60" w:after="60"/>
              <w:ind w:firstLine="0"/>
              <w:jc w:val="left"/>
            </w:pPr>
            <w:r w:rsidRPr="003F1EB1">
              <w:rPr>
                <w:sz w:val="22"/>
                <w:szCs w:val="22"/>
              </w:rPr>
              <w:t>Public administration and defence</w:t>
            </w:r>
          </w:p>
        </w:tc>
        <w:tc>
          <w:tcPr>
            <w:tcW w:w="965" w:type="dxa"/>
            <w:vAlign w:val="center"/>
            <w:hideMark/>
          </w:tcPr>
          <w:p w:rsidR="00E20C1B" w:rsidRPr="00514E0B" w:rsidRDefault="00E20C1B" w:rsidP="00EF08AF">
            <w:pPr>
              <w:ind w:firstLine="0"/>
              <w:jc w:val="center"/>
            </w:pPr>
            <w:r w:rsidRPr="00514E0B">
              <w:rPr>
                <w:sz w:val="22"/>
                <w:szCs w:val="22"/>
              </w:rPr>
              <w:t>0.030</w:t>
            </w:r>
          </w:p>
        </w:tc>
        <w:tc>
          <w:tcPr>
            <w:tcW w:w="1020" w:type="dxa"/>
            <w:vAlign w:val="center"/>
            <w:hideMark/>
          </w:tcPr>
          <w:p w:rsidR="00E20C1B" w:rsidRPr="00514E0B" w:rsidRDefault="00E20C1B" w:rsidP="00EF08AF">
            <w:pPr>
              <w:ind w:firstLine="0"/>
              <w:jc w:val="center"/>
            </w:pPr>
            <w:r w:rsidRPr="00514E0B">
              <w:rPr>
                <w:sz w:val="22"/>
                <w:szCs w:val="22"/>
              </w:rPr>
              <w:t>0.042</w:t>
            </w:r>
          </w:p>
        </w:tc>
        <w:tc>
          <w:tcPr>
            <w:tcW w:w="708" w:type="dxa"/>
            <w:vAlign w:val="center"/>
            <w:hideMark/>
          </w:tcPr>
          <w:p w:rsidR="00E20C1B" w:rsidRPr="00514E0B" w:rsidRDefault="00E20C1B" w:rsidP="00EF08AF">
            <w:pPr>
              <w:ind w:firstLine="0"/>
              <w:jc w:val="center"/>
            </w:pPr>
            <w:r w:rsidRPr="00514E0B">
              <w:rPr>
                <w:sz w:val="22"/>
                <w:szCs w:val="22"/>
              </w:rPr>
              <w:t>0.700</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28</w:t>
            </w:r>
          </w:p>
        </w:tc>
        <w:tc>
          <w:tcPr>
            <w:tcW w:w="5109" w:type="dxa"/>
            <w:vAlign w:val="center"/>
            <w:hideMark/>
          </w:tcPr>
          <w:p w:rsidR="00E20C1B" w:rsidRPr="003F1EB1" w:rsidRDefault="00E20C1B" w:rsidP="00CF0B89">
            <w:pPr>
              <w:spacing w:before="60" w:after="60"/>
              <w:ind w:firstLine="0"/>
              <w:jc w:val="left"/>
            </w:pPr>
            <w:r w:rsidRPr="003F1EB1">
              <w:rPr>
                <w:sz w:val="22"/>
                <w:szCs w:val="22"/>
              </w:rPr>
              <w:t>Education</w:t>
            </w:r>
          </w:p>
        </w:tc>
        <w:tc>
          <w:tcPr>
            <w:tcW w:w="965" w:type="dxa"/>
            <w:vAlign w:val="center"/>
            <w:hideMark/>
          </w:tcPr>
          <w:p w:rsidR="00E20C1B" w:rsidRPr="00514E0B" w:rsidRDefault="00E20C1B" w:rsidP="00EF08AF">
            <w:pPr>
              <w:ind w:firstLine="0"/>
              <w:jc w:val="center"/>
            </w:pPr>
            <w:r w:rsidRPr="00514E0B">
              <w:rPr>
                <w:sz w:val="22"/>
                <w:szCs w:val="22"/>
              </w:rPr>
              <w:t>0.030</w:t>
            </w:r>
          </w:p>
        </w:tc>
        <w:tc>
          <w:tcPr>
            <w:tcW w:w="1020" w:type="dxa"/>
            <w:vAlign w:val="center"/>
            <w:hideMark/>
          </w:tcPr>
          <w:p w:rsidR="00E20C1B" w:rsidRPr="00514E0B" w:rsidRDefault="00E20C1B" w:rsidP="00EF08AF">
            <w:pPr>
              <w:ind w:firstLine="0"/>
              <w:jc w:val="center"/>
            </w:pPr>
            <w:r w:rsidRPr="00514E0B">
              <w:rPr>
                <w:sz w:val="22"/>
                <w:szCs w:val="22"/>
              </w:rPr>
              <w:t>0.025</w:t>
            </w:r>
          </w:p>
        </w:tc>
        <w:tc>
          <w:tcPr>
            <w:tcW w:w="708" w:type="dxa"/>
            <w:vAlign w:val="center"/>
            <w:hideMark/>
          </w:tcPr>
          <w:p w:rsidR="00E20C1B" w:rsidRPr="00514E0B" w:rsidRDefault="00E20C1B" w:rsidP="00EF08AF">
            <w:pPr>
              <w:ind w:firstLine="0"/>
              <w:jc w:val="center"/>
            </w:pPr>
            <w:r w:rsidRPr="00514E0B">
              <w:rPr>
                <w:sz w:val="22"/>
                <w:szCs w:val="22"/>
              </w:rPr>
              <w:t>1.221</w:t>
            </w:r>
          </w:p>
        </w:tc>
      </w:tr>
      <w:tr w:rsidR="00E20C1B" w:rsidTr="00025162">
        <w:trPr>
          <w:trHeight w:val="255"/>
        </w:trPr>
        <w:tc>
          <w:tcPr>
            <w:tcW w:w="703" w:type="dxa"/>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29</w:t>
            </w:r>
          </w:p>
        </w:tc>
        <w:tc>
          <w:tcPr>
            <w:tcW w:w="5109" w:type="dxa"/>
            <w:vAlign w:val="center"/>
            <w:hideMark/>
          </w:tcPr>
          <w:p w:rsidR="00E20C1B" w:rsidRPr="003F1EB1" w:rsidRDefault="00E20C1B" w:rsidP="00CF0B89">
            <w:pPr>
              <w:spacing w:before="60" w:after="60"/>
              <w:ind w:firstLine="0"/>
              <w:jc w:val="left"/>
            </w:pPr>
            <w:r w:rsidRPr="003F1EB1">
              <w:rPr>
                <w:sz w:val="22"/>
                <w:szCs w:val="22"/>
              </w:rPr>
              <w:t>Health</w:t>
            </w:r>
          </w:p>
        </w:tc>
        <w:tc>
          <w:tcPr>
            <w:tcW w:w="965" w:type="dxa"/>
            <w:vAlign w:val="center"/>
            <w:hideMark/>
          </w:tcPr>
          <w:p w:rsidR="00E20C1B" w:rsidRPr="00514E0B" w:rsidRDefault="00E20C1B" w:rsidP="00EF08AF">
            <w:pPr>
              <w:ind w:firstLine="0"/>
              <w:jc w:val="center"/>
            </w:pPr>
            <w:r w:rsidRPr="00514E0B">
              <w:rPr>
                <w:sz w:val="22"/>
                <w:szCs w:val="22"/>
              </w:rPr>
              <w:t>0.030</w:t>
            </w:r>
          </w:p>
        </w:tc>
        <w:tc>
          <w:tcPr>
            <w:tcW w:w="1020" w:type="dxa"/>
            <w:vAlign w:val="center"/>
            <w:hideMark/>
          </w:tcPr>
          <w:p w:rsidR="00E20C1B" w:rsidRPr="00514E0B" w:rsidRDefault="00E20C1B" w:rsidP="00EF08AF">
            <w:pPr>
              <w:ind w:firstLine="0"/>
              <w:jc w:val="center"/>
            </w:pPr>
            <w:r w:rsidRPr="00514E0B">
              <w:rPr>
                <w:sz w:val="22"/>
                <w:szCs w:val="22"/>
              </w:rPr>
              <w:t>0.028</w:t>
            </w:r>
          </w:p>
        </w:tc>
        <w:tc>
          <w:tcPr>
            <w:tcW w:w="708" w:type="dxa"/>
            <w:vAlign w:val="center"/>
            <w:hideMark/>
          </w:tcPr>
          <w:p w:rsidR="00E20C1B" w:rsidRPr="00514E0B" w:rsidRDefault="00E20C1B" w:rsidP="00EF08AF">
            <w:pPr>
              <w:ind w:firstLine="0"/>
              <w:jc w:val="center"/>
            </w:pPr>
            <w:r w:rsidRPr="00514E0B">
              <w:rPr>
                <w:sz w:val="22"/>
                <w:szCs w:val="22"/>
              </w:rPr>
              <w:t>1.052</w:t>
            </w:r>
          </w:p>
        </w:tc>
      </w:tr>
      <w:tr w:rsidR="00E20C1B" w:rsidTr="00025162">
        <w:trPr>
          <w:trHeight w:val="270"/>
        </w:trPr>
        <w:tc>
          <w:tcPr>
            <w:tcW w:w="703" w:type="dxa"/>
            <w:tcBorders>
              <w:top w:val="nil"/>
              <w:left w:val="nil"/>
              <w:bottom w:val="single" w:sz="12" w:space="0" w:color="000000"/>
              <w:right w:val="nil"/>
            </w:tcBorders>
            <w:vAlign w:val="center"/>
            <w:hideMark/>
          </w:tcPr>
          <w:p w:rsidR="00E20C1B" w:rsidRPr="003F1EB1" w:rsidRDefault="00E20C1B" w:rsidP="00CF0B89">
            <w:pPr>
              <w:spacing w:before="60" w:after="60"/>
              <w:ind w:firstLine="0"/>
              <w:jc w:val="center"/>
              <w:rPr>
                <w:bCs/>
                <w:lang w:val="es-AR" w:eastAsia="es-AR"/>
              </w:rPr>
            </w:pPr>
            <w:r w:rsidRPr="003F1EB1">
              <w:rPr>
                <w:bCs/>
                <w:sz w:val="22"/>
                <w:szCs w:val="22"/>
                <w:lang w:eastAsia="es-AR"/>
              </w:rPr>
              <w:t>30</w:t>
            </w:r>
          </w:p>
        </w:tc>
        <w:tc>
          <w:tcPr>
            <w:tcW w:w="5109" w:type="dxa"/>
            <w:tcBorders>
              <w:top w:val="nil"/>
              <w:left w:val="nil"/>
              <w:bottom w:val="single" w:sz="12" w:space="0" w:color="000000"/>
              <w:right w:val="nil"/>
            </w:tcBorders>
            <w:vAlign w:val="center"/>
            <w:hideMark/>
          </w:tcPr>
          <w:p w:rsidR="00E20C1B" w:rsidRPr="003F1EB1" w:rsidRDefault="00E20C1B" w:rsidP="00CF0B89">
            <w:pPr>
              <w:spacing w:before="60" w:after="60"/>
              <w:ind w:firstLine="0"/>
              <w:jc w:val="left"/>
              <w:rPr>
                <w:lang w:val="en-US"/>
              </w:rPr>
            </w:pPr>
            <w:r w:rsidRPr="003F1EB1">
              <w:rPr>
                <w:sz w:val="22"/>
                <w:szCs w:val="22"/>
                <w:lang w:val="en-US"/>
              </w:rPr>
              <w:t>Community, social and personal services</w:t>
            </w:r>
          </w:p>
        </w:tc>
        <w:tc>
          <w:tcPr>
            <w:tcW w:w="965" w:type="dxa"/>
            <w:tcBorders>
              <w:top w:val="nil"/>
              <w:left w:val="nil"/>
              <w:bottom w:val="single" w:sz="12" w:space="0" w:color="000000"/>
              <w:right w:val="nil"/>
            </w:tcBorders>
            <w:vAlign w:val="center"/>
            <w:hideMark/>
          </w:tcPr>
          <w:p w:rsidR="00E20C1B" w:rsidRPr="00514E0B" w:rsidRDefault="00E20C1B" w:rsidP="00EF08AF">
            <w:pPr>
              <w:ind w:firstLine="0"/>
              <w:jc w:val="center"/>
            </w:pPr>
            <w:r w:rsidRPr="00514E0B">
              <w:rPr>
                <w:sz w:val="22"/>
                <w:szCs w:val="22"/>
              </w:rPr>
              <w:t>0.036</w:t>
            </w:r>
          </w:p>
        </w:tc>
        <w:tc>
          <w:tcPr>
            <w:tcW w:w="1020" w:type="dxa"/>
            <w:tcBorders>
              <w:top w:val="nil"/>
              <w:left w:val="nil"/>
              <w:bottom w:val="single" w:sz="12" w:space="0" w:color="000000"/>
              <w:right w:val="nil"/>
            </w:tcBorders>
            <w:vAlign w:val="center"/>
            <w:hideMark/>
          </w:tcPr>
          <w:p w:rsidR="00E20C1B" w:rsidRPr="00514E0B" w:rsidRDefault="00E20C1B" w:rsidP="00EF08AF">
            <w:pPr>
              <w:ind w:firstLine="0"/>
              <w:jc w:val="center"/>
            </w:pPr>
            <w:r w:rsidRPr="00514E0B">
              <w:rPr>
                <w:sz w:val="22"/>
                <w:szCs w:val="22"/>
              </w:rPr>
              <w:t>0.040</w:t>
            </w:r>
          </w:p>
        </w:tc>
        <w:tc>
          <w:tcPr>
            <w:tcW w:w="708" w:type="dxa"/>
            <w:tcBorders>
              <w:top w:val="nil"/>
              <w:left w:val="nil"/>
              <w:bottom w:val="single" w:sz="12" w:space="0" w:color="000000"/>
              <w:right w:val="nil"/>
            </w:tcBorders>
            <w:vAlign w:val="center"/>
            <w:hideMark/>
          </w:tcPr>
          <w:p w:rsidR="00E20C1B" w:rsidRPr="00514E0B" w:rsidRDefault="00E20C1B" w:rsidP="00EF08AF">
            <w:pPr>
              <w:ind w:firstLine="0"/>
              <w:jc w:val="center"/>
            </w:pPr>
            <w:r w:rsidRPr="00514E0B">
              <w:rPr>
                <w:sz w:val="22"/>
                <w:szCs w:val="22"/>
              </w:rPr>
              <w:t>0.909</w:t>
            </w:r>
          </w:p>
        </w:tc>
      </w:tr>
    </w:tbl>
    <w:p w:rsidR="00AE528F" w:rsidRDefault="00AE528F" w:rsidP="00AE528F">
      <w:pPr>
        <w:rPr>
          <w:sz w:val="20"/>
          <w:szCs w:val="20"/>
          <w:lang w:val="en-US"/>
        </w:rPr>
      </w:pPr>
      <w:r w:rsidRPr="000C38FB">
        <w:rPr>
          <w:sz w:val="20"/>
          <w:szCs w:val="20"/>
          <w:lang w:val="en-US"/>
        </w:rPr>
        <w:t xml:space="preserve">Source: </w:t>
      </w:r>
      <w:r>
        <w:rPr>
          <w:sz w:val="20"/>
          <w:szCs w:val="20"/>
          <w:lang w:val="en-US"/>
        </w:rPr>
        <w:t>Authors’ calculations using</w:t>
      </w:r>
      <w:r w:rsidRPr="00CE14E5">
        <w:rPr>
          <w:sz w:val="20"/>
          <w:szCs w:val="20"/>
          <w:lang w:val="en-US"/>
        </w:rPr>
        <w:t xml:space="preserve"> data </w:t>
      </w:r>
      <w:r>
        <w:rPr>
          <w:sz w:val="20"/>
          <w:szCs w:val="20"/>
          <w:lang w:val="en-US"/>
        </w:rPr>
        <w:t>from the</w:t>
      </w:r>
      <w:r w:rsidRPr="00CE14E5">
        <w:rPr>
          <w:sz w:val="20"/>
          <w:szCs w:val="20"/>
          <w:lang w:val="en-US"/>
        </w:rPr>
        <w:t xml:space="preserve"> Ministerio de Economía de Córdoba.</w:t>
      </w:r>
    </w:p>
    <w:p w:rsidR="003C2FD9" w:rsidRPr="00EA732A" w:rsidRDefault="00EA732A" w:rsidP="00F31790">
      <w:pPr>
        <w:ind w:right="1229" w:firstLine="0"/>
        <w:jc w:val="left"/>
        <w:rPr>
          <w:b/>
          <w:lang w:val="en-US"/>
        </w:rPr>
      </w:pPr>
      <w:r>
        <w:rPr>
          <w:b/>
          <w:lang w:val="en-US"/>
        </w:rPr>
        <w:lastRenderedPageBreak/>
        <w:t>.</w:t>
      </w:r>
    </w:p>
    <w:p w:rsidR="002A6C3D" w:rsidRDefault="002A6C3D" w:rsidP="001160E4">
      <w:pPr>
        <w:ind w:left="1134" w:right="1229" w:firstLine="0"/>
        <w:jc w:val="left"/>
        <w:rPr>
          <w:color w:val="000000"/>
          <w:szCs w:val="26"/>
        </w:rPr>
      </w:pPr>
      <w:proofErr w:type="gramStart"/>
      <w:r w:rsidRPr="00C46245">
        <w:rPr>
          <w:color w:val="000000"/>
          <w:szCs w:val="26"/>
        </w:rPr>
        <w:t>T</w:t>
      </w:r>
      <w:r>
        <w:rPr>
          <w:color w:val="000000"/>
          <w:szCs w:val="26"/>
        </w:rPr>
        <w:t xml:space="preserve">ABLE </w:t>
      </w:r>
      <w:r w:rsidR="00F31790">
        <w:rPr>
          <w:color w:val="000000"/>
          <w:szCs w:val="26"/>
        </w:rPr>
        <w:t>2</w:t>
      </w:r>
      <w:r w:rsidRPr="00C46245">
        <w:rPr>
          <w:color w:val="000000"/>
          <w:szCs w:val="26"/>
        </w:rPr>
        <w:t>.</w:t>
      </w:r>
      <w:proofErr w:type="gramEnd"/>
      <w:r>
        <w:rPr>
          <w:color w:val="000000"/>
          <w:szCs w:val="26"/>
        </w:rPr>
        <w:t xml:space="preserve">  </w:t>
      </w:r>
      <w:r w:rsidRPr="005C4B7A">
        <w:rPr>
          <w:color w:val="000000"/>
          <w:szCs w:val="26"/>
        </w:rPr>
        <w:t>Assessment of accuracy using different criteria: sectoral</w:t>
      </w:r>
      <w:r>
        <w:rPr>
          <w:color w:val="000000"/>
          <w:szCs w:val="26"/>
        </w:rPr>
        <w:t xml:space="preserve"> input</w:t>
      </w:r>
      <w:r w:rsidRPr="005C4B7A">
        <w:rPr>
          <w:color w:val="000000"/>
          <w:szCs w:val="26"/>
        </w:rPr>
        <w:t xml:space="preserve"> </w:t>
      </w:r>
      <w:r>
        <w:rPr>
          <w:color w:val="000000"/>
          <w:szCs w:val="26"/>
        </w:rPr>
        <w:t>coefficients</w:t>
      </w:r>
      <w:r w:rsidRPr="005C4B7A">
        <w:rPr>
          <w:color w:val="000000"/>
          <w:szCs w:val="26"/>
        </w:rPr>
        <w:t xml:space="preserve"> for </w:t>
      </w:r>
      <w:r w:rsidRPr="0024163C">
        <w:rPr>
          <w:lang w:val="en-US"/>
        </w:rPr>
        <w:t>Córdoba</w:t>
      </w:r>
      <w:r>
        <w:rPr>
          <w:b/>
          <w:lang w:val="en-US"/>
        </w:rPr>
        <w:t xml:space="preserve"> </w:t>
      </w:r>
      <w:r w:rsidRPr="005C4B7A">
        <w:rPr>
          <w:color w:val="000000"/>
          <w:szCs w:val="26"/>
        </w:rPr>
        <w:t>in 200</w:t>
      </w:r>
      <w:r>
        <w:rPr>
          <w:color w:val="000000"/>
          <w:szCs w:val="26"/>
        </w:rPr>
        <w:t>3 (</w:t>
      </w:r>
      <w:r w:rsidR="00DC325B">
        <w:rPr>
          <w:i/>
          <w:color w:val="000000"/>
          <w:szCs w:val="26"/>
        </w:rPr>
        <w:t>n</w:t>
      </w:r>
      <w:r>
        <w:rPr>
          <w:color w:val="000000"/>
          <w:szCs w:val="26"/>
        </w:rPr>
        <w:t xml:space="preserve"> = 28)</w:t>
      </w:r>
    </w:p>
    <w:tbl>
      <w:tblPr>
        <w:tblW w:w="7010" w:type="dxa"/>
        <w:jc w:val="center"/>
        <w:tblInd w:w="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27"/>
        <w:gridCol w:w="1021"/>
        <w:gridCol w:w="992"/>
        <w:gridCol w:w="992"/>
        <w:gridCol w:w="992"/>
        <w:gridCol w:w="1186"/>
      </w:tblGrid>
      <w:tr w:rsidR="002A6C3D" w:rsidTr="001160E4">
        <w:trPr>
          <w:trHeight w:val="375"/>
          <w:jc w:val="center"/>
        </w:trPr>
        <w:tc>
          <w:tcPr>
            <w:tcW w:w="1827" w:type="dxa"/>
            <w:vMerge w:val="restart"/>
          </w:tcPr>
          <w:p w:rsidR="002A6C3D" w:rsidRPr="00F3332B" w:rsidRDefault="002A6C3D" w:rsidP="00661FF2">
            <w:pPr>
              <w:pStyle w:val="Normaali1"/>
              <w:spacing w:before="60" w:after="60" w:line="240" w:lineRule="auto"/>
              <w:ind w:left="5" w:right="125"/>
              <w:rPr>
                <w:rFonts w:ascii="Times New Roman" w:hAnsi="Times New Roman"/>
                <w:sz w:val="22"/>
                <w:szCs w:val="22"/>
              </w:rPr>
            </w:pPr>
          </w:p>
          <w:p w:rsidR="002A6C3D" w:rsidRPr="00F3332B" w:rsidRDefault="002A6C3D" w:rsidP="00661FF2">
            <w:pPr>
              <w:pStyle w:val="Normaali1"/>
              <w:spacing w:before="60" w:after="60" w:line="240" w:lineRule="auto"/>
              <w:ind w:left="-4" w:right="125"/>
              <w:rPr>
                <w:rFonts w:ascii="Times New Roman" w:hAnsi="Times New Roman"/>
                <w:sz w:val="22"/>
                <w:szCs w:val="22"/>
              </w:rPr>
            </w:pPr>
            <w:r w:rsidRPr="00F3332B">
              <w:rPr>
                <w:rFonts w:ascii="Times New Roman" w:hAnsi="Times New Roman"/>
                <w:sz w:val="22"/>
                <w:szCs w:val="22"/>
              </w:rPr>
              <w:t>Method</w:t>
            </w:r>
          </w:p>
        </w:tc>
        <w:tc>
          <w:tcPr>
            <w:tcW w:w="5183" w:type="dxa"/>
            <w:gridSpan w:val="5"/>
          </w:tcPr>
          <w:p w:rsidR="002A6C3D" w:rsidRPr="00F3332B" w:rsidRDefault="002A6C3D" w:rsidP="00661FF2">
            <w:pPr>
              <w:pStyle w:val="Normaali1"/>
              <w:spacing w:before="60" w:after="60" w:line="240" w:lineRule="auto"/>
              <w:ind w:left="-37" w:right="284"/>
              <w:jc w:val="center"/>
              <w:rPr>
                <w:rFonts w:ascii="Times New Roman" w:hAnsi="Times New Roman"/>
                <w:sz w:val="22"/>
                <w:szCs w:val="22"/>
              </w:rPr>
            </w:pPr>
            <w:r w:rsidRPr="00F3332B">
              <w:rPr>
                <w:rFonts w:ascii="Times New Roman" w:hAnsi="Times New Roman"/>
                <w:sz w:val="22"/>
                <w:szCs w:val="22"/>
              </w:rPr>
              <w:t>Criterion</w:t>
            </w:r>
          </w:p>
        </w:tc>
      </w:tr>
      <w:tr w:rsidR="002A6C3D" w:rsidTr="001160E4">
        <w:trPr>
          <w:trHeight w:val="375"/>
          <w:jc w:val="center"/>
        </w:trPr>
        <w:tc>
          <w:tcPr>
            <w:tcW w:w="1827" w:type="dxa"/>
            <w:vMerge/>
          </w:tcPr>
          <w:p w:rsidR="002A6C3D" w:rsidRPr="00F3332B" w:rsidRDefault="002A6C3D" w:rsidP="00661FF2">
            <w:pPr>
              <w:pStyle w:val="Normaali1"/>
              <w:tabs>
                <w:tab w:val="left" w:pos="360"/>
                <w:tab w:val="left" w:pos="972"/>
              </w:tabs>
              <w:spacing w:before="60" w:after="60" w:line="240" w:lineRule="auto"/>
              <w:ind w:left="397" w:right="284"/>
              <w:rPr>
                <w:rFonts w:ascii="Times New Roman" w:hAnsi="Times New Roman"/>
                <w:sz w:val="22"/>
                <w:szCs w:val="22"/>
              </w:rPr>
            </w:pPr>
          </w:p>
        </w:tc>
        <w:tc>
          <w:tcPr>
            <w:tcW w:w="1021" w:type="dxa"/>
          </w:tcPr>
          <w:p w:rsidR="002A6C3D" w:rsidRPr="00F3332B" w:rsidRDefault="002A6C3D" w:rsidP="00661FF2">
            <w:pPr>
              <w:pStyle w:val="Normaali1"/>
              <w:spacing w:before="60" w:after="60" w:line="240" w:lineRule="auto"/>
              <w:ind w:right="26" w:hanging="5"/>
              <w:jc w:val="center"/>
              <w:rPr>
                <w:rFonts w:ascii="Times New Roman" w:hAnsi="Times New Roman"/>
                <w:sz w:val="22"/>
                <w:szCs w:val="22"/>
              </w:rPr>
            </w:pPr>
            <w:r w:rsidRPr="00F3332B">
              <w:rPr>
                <w:rFonts w:ascii="Times New Roman" w:hAnsi="Times New Roman"/>
                <w:sz w:val="22"/>
                <w:szCs w:val="22"/>
              </w:rPr>
              <w:t>STPE</w:t>
            </w:r>
          </w:p>
        </w:tc>
        <w:tc>
          <w:tcPr>
            <w:tcW w:w="992" w:type="dxa"/>
            <w:shd w:val="clear" w:color="auto" w:fill="auto"/>
          </w:tcPr>
          <w:p w:rsidR="002A6C3D" w:rsidRPr="00F3332B" w:rsidRDefault="002A6C3D" w:rsidP="00661FF2">
            <w:pPr>
              <w:pStyle w:val="Normaali1"/>
              <w:spacing w:before="60" w:after="60" w:line="240" w:lineRule="auto"/>
              <w:ind w:left="-115" w:right="-115"/>
              <w:jc w:val="center"/>
              <w:rPr>
                <w:rFonts w:ascii="Times New Roman" w:hAnsi="Times New Roman"/>
                <w:sz w:val="22"/>
                <w:szCs w:val="22"/>
              </w:rPr>
            </w:pPr>
            <w:r>
              <w:rPr>
                <w:rFonts w:ascii="Times New Roman" w:hAnsi="Times New Roman"/>
                <w:sz w:val="22"/>
                <w:szCs w:val="22"/>
              </w:rPr>
              <w:t xml:space="preserve">WMAE </w:t>
            </w:r>
            <w:r w:rsidRPr="00E41343">
              <w:rPr>
                <w:rFonts w:ascii="Times New Roman" w:hAnsi="Times New Roman"/>
                <w:noProof/>
                <w:color w:val="000000"/>
                <w:sz w:val="22"/>
                <w:szCs w:val="22"/>
              </w:rPr>
              <w:t>× 10</w:t>
            </w:r>
            <w:r w:rsidRPr="00E41343">
              <w:rPr>
                <w:rFonts w:ascii="Times New Roman" w:hAnsi="Times New Roman"/>
                <w:noProof/>
                <w:color w:val="000000"/>
                <w:sz w:val="22"/>
                <w:szCs w:val="22"/>
                <w:vertAlign w:val="superscript"/>
              </w:rPr>
              <w:t>2</w:t>
            </w:r>
          </w:p>
        </w:tc>
        <w:tc>
          <w:tcPr>
            <w:tcW w:w="992" w:type="dxa"/>
          </w:tcPr>
          <w:p w:rsidR="002A6C3D" w:rsidRPr="00E41343" w:rsidRDefault="002A6C3D" w:rsidP="00661FF2">
            <w:pPr>
              <w:pStyle w:val="Normaali1"/>
              <w:spacing w:before="60" w:after="60" w:line="240" w:lineRule="auto"/>
              <w:ind w:right="26" w:hanging="5"/>
              <w:jc w:val="center"/>
              <w:rPr>
                <w:rFonts w:ascii="Times New Roman" w:hAnsi="Times New Roman"/>
                <w:sz w:val="22"/>
                <w:szCs w:val="22"/>
              </w:rPr>
            </w:pPr>
            <w:r w:rsidRPr="00E41343">
              <w:rPr>
                <w:rFonts w:ascii="Times New Roman" w:hAnsi="Times New Roman"/>
                <w:sz w:val="22"/>
                <w:szCs w:val="22"/>
              </w:rPr>
              <w:t>Ũ</w:t>
            </w:r>
            <w:r w:rsidRPr="00E41343">
              <w:rPr>
                <w:rFonts w:ascii="Times New Roman" w:hAnsi="Times New Roman"/>
                <w:sz w:val="22"/>
                <w:szCs w:val="22"/>
                <w:vertAlign w:val="superscript"/>
              </w:rPr>
              <w:t xml:space="preserve">M </w:t>
            </w:r>
            <w:r w:rsidRPr="00E41343">
              <w:rPr>
                <w:rFonts w:ascii="Times New Roman" w:hAnsi="Times New Roman"/>
                <w:noProof/>
                <w:color w:val="000000"/>
                <w:sz w:val="22"/>
                <w:szCs w:val="22"/>
              </w:rPr>
              <w:t>× 10</w:t>
            </w:r>
            <w:r w:rsidRPr="00E41343">
              <w:rPr>
                <w:rFonts w:ascii="Times New Roman" w:hAnsi="Times New Roman"/>
                <w:noProof/>
                <w:color w:val="000000"/>
                <w:sz w:val="22"/>
                <w:szCs w:val="22"/>
                <w:vertAlign w:val="superscript"/>
              </w:rPr>
              <w:t>4</w:t>
            </w:r>
          </w:p>
        </w:tc>
        <w:tc>
          <w:tcPr>
            <w:tcW w:w="992" w:type="dxa"/>
          </w:tcPr>
          <w:p w:rsidR="002A6C3D" w:rsidRPr="00E41343" w:rsidRDefault="002A6C3D" w:rsidP="00661FF2">
            <w:pPr>
              <w:pStyle w:val="Normaali1"/>
              <w:spacing w:before="60" w:after="60" w:line="240" w:lineRule="auto"/>
              <w:ind w:left="-115" w:right="-115"/>
              <w:jc w:val="center"/>
              <w:rPr>
                <w:rFonts w:ascii="Times New Roman" w:hAnsi="Times New Roman"/>
                <w:sz w:val="22"/>
                <w:szCs w:val="22"/>
              </w:rPr>
            </w:pPr>
            <w:r w:rsidRPr="00E41343">
              <w:rPr>
                <w:rFonts w:ascii="Times New Roman" w:hAnsi="Times New Roman"/>
                <w:sz w:val="22"/>
                <w:szCs w:val="22"/>
              </w:rPr>
              <w:t>Ũ</w:t>
            </w:r>
            <w:r w:rsidRPr="00E41343">
              <w:rPr>
                <w:rFonts w:ascii="Times New Roman" w:hAnsi="Times New Roman"/>
                <w:sz w:val="22"/>
                <w:szCs w:val="22"/>
                <w:vertAlign w:val="superscript"/>
              </w:rPr>
              <w:t>S</w:t>
            </w:r>
            <w:r w:rsidRPr="00E41343">
              <w:rPr>
                <w:rFonts w:ascii="Times New Roman" w:hAnsi="Times New Roman"/>
                <w:sz w:val="22"/>
                <w:szCs w:val="22"/>
              </w:rPr>
              <w:t xml:space="preserve"> </w:t>
            </w:r>
            <w:r w:rsidRPr="00E41343">
              <w:rPr>
                <w:rFonts w:ascii="Times New Roman" w:hAnsi="Times New Roman"/>
                <w:noProof/>
                <w:color w:val="000000"/>
                <w:sz w:val="22"/>
                <w:szCs w:val="22"/>
              </w:rPr>
              <w:t>× 10</w:t>
            </w:r>
            <w:r w:rsidRPr="00E41343">
              <w:rPr>
                <w:rFonts w:ascii="Times New Roman" w:hAnsi="Times New Roman"/>
                <w:noProof/>
                <w:color w:val="000000"/>
                <w:sz w:val="22"/>
                <w:szCs w:val="22"/>
                <w:vertAlign w:val="superscript"/>
              </w:rPr>
              <w:t>6</w:t>
            </w:r>
          </w:p>
        </w:tc>
        <w:tc>
          <w:tcPr>
            <w:tcW w:w="1186" w:type="dxa"/>
          </w:tcPr>
          <w:p w:rsidR="002A6C3D" w:rsidRPr="00F3332B" w:rsidRDefault="002A6C3D" w:rsidP="00661FF2">
            <w:pPr>
              <w:pStyle w:val="Normaali1"/>
              <w:spacing w:before="60" w:after="60" w:line="240" w:lineRule="auto"/>
              <w:ind w:left="-115" w:right="-115"/>
              <w:jc w:val="center"/>
              <w:rPr>
                <w:rFonts w:ascii="Times New Roman" w:hAnsi="Times New Roman"/>
                <w:sz w:val="22"/>
                <w:szCs w:val="22"/>
              </w:rPr>
            </w:pPr>
            <w:r>
              <w:rPr>
                <w:rFonts w:ascii="Times New Roman" w:hAnsi="Times New Roman"/>
                <w:sz w:val="22"/>
                <w:szCs w:val="22"/>
              </w:rPr>
              <w:t>U</w:t>
            </w:r>
          </w:p>
        </w:tc>
      </w:tr>
      <w:tr w:rsidR="00D65692" w:rsidTr="001160E4">
        <w:trPr>
          <w:jc w:val="center"/>
        </w:trPr>
        <w:tc>
          <w:tcPr>
            <w:tcW w:w="1827" w:type="dxa"/>
          </w:tcPr>
          <w:p w:rsidR="00D65692" w:rsidRPr="00F3332B" w:rsidRDefault="00D65692" w:rsidP="00661FF2">
            <w:pPr>
              <w:pStyle w:val="Normaali1"/>
              <w:tabs>
                <w:tab w:val="left" w:pos="360"/>
                <w:tab w:val="left" w:pos="972"/>
              </w:tabs>
              <w:spacing w:before="60" w:after="60" w:line="240" w:lineRule="auto"/>
              <w:ind w:left="403" w:right="288" w:hanging="397"/>
              <w:rPr>
                <w:rFonts w:ascii="Times New Roman" w:hAnsi="Times New Roman"/>
                <w:sz w:val="22"/>
                <w:szCs w:val="22"/>
              </w:rPr>
            </w:pPr>
            <w:r w:rsidRPr="00F3332B">
              <w:rPr>
                <w:rFonts w:ascii="Times New Roman" w:hAnsi="Times New Roman"/>
                <w:sz w:val="22"/>
                <w:szCs w:val="22"/>
              </w:rPr>
              <w:t>SLQ</w:t>
            </w:r>
          </w:p>
        </w:tc>
        <w:tc>
          <w:tcPr>
            <w:tcW w:w="1021" w:type="dxa"/>
            <w:vAlign w:val="bottom"/>
          </w:tcPr>
          <w:p w:rsidR="00D65692" w:rsidRPr="008A4578" w:rsidRDefault="00D65692" w:rsidP="001160E4">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65.618</w:t>
            </w:r>
          </w:p>
        </w:tc>
        <w:tc>
          <w:tcPr>
            <w:tcW w:w="992" w:type="dxa"/>
            <w:vAlign w:val="bottom"/>
          </w:tcPr>
          <w:p w:rsidR="00D65692" w:rsidRPr="00403B66" w:rsidRDefault="00D65692" w:rsidP="00793C58">
            <w:pPr>
              <w:widowControl w:val="0"/>
              <w:tabs>
                <w:tab w:val="decimal" w:pos="168"/>
              </w:tabs>
              <w:adjustRightInd w:val="0"/>
              <w:spacing w:before="36" w:after="36"/>
              <w:ind w:left="-26" w:right="-108" w:firstLine="0"/>
              <w:jc w:val="left"/>
              <w:textAlignment w:val="baseline"/>
              <w:rPr>
                <w:bCs/>
                <w:sz w:val="22"/>
                <w:szCs w:val="22"/>
              </w:rPr>
            </w:pPr>
            <w:r w:rsidRPr="00403B66">
              <w:rPr>
                <w:bCs/>
                <w:sz w:val="22"/>
                <w:szCs w:val="22"/>
              </w:rPr>
              <w:t>0.602</w:t>
            </w:r>
          </w:p>
        </w:tc>
        <w:tc>
          <w:tcPr>
            <w:tcW w:w="992" w:type="dxa"/>
            <w:vAlign w:val="bottom"/>
          </w:tcPr>
          <w:p w:rsidR="00D65692" w:rsidRPr="008A4578" w:rsidRDefault="00D65692" w:rsidP="004F12D9">
            <w:pPr>
              <w:widowControl w:val="0"/>
              <w:tabs>
                <w:tab w:val="decimal" w:pos="168"/>
              </w:tabs>
              <w:adjustRightInd w:val="0"/>
              <w:spacing w:before="36" w:after="36"/>
              <w:ind w:left="-26" w:right="-108" w:firstLine="0"/>
              <w:jc w:val="left"/>
              <w:textAlignment w:val="baseline"/>
              <w:rPr>
                <w:bCs/>
                <w:sz w:val="22"/>
                <w:szCs w:val="22"/>
              </w:rPr>
            </w:pPr>
            <w:r w:rsidRPr="008A4578">
              <w:rPr>
                <w:bCs/>
                <w:sz w:val="22"/>
                <w:szCs w:val="22"/>
              </w:rPr>
              <w:t>1.16</w:t>
            </w:r>
            <w:r w:rsidR="007C441F">
              <w:rPr>
                <w:bCs/>
                <w:sz w:val="22"/>
                <w:szCs w:val="22"/>
              </w:rPr>
              <w:t>1</w:t>
            </w:r>
          </w:p>
        </w:tc>
        <w:tc>
          <w:tcPr>
            <w:tcW w:w="992" w:type="dxa"/>
            <w:vAlign w:val="bottom"/>
          </w:tcPr>
          <w:p w:rsidR="00D65692" w:rsidRPr="008A4578" w:rsidRDefault="00D65692" w:rsidP="001160E4">
            <w:pPr>
              <w:widowControl w:val="0"/>
              <w:tabs>
                <w:tab w:val="decimal" w:pos="282"/>
              </w:tabs>
              <w:adjustRightInd w:val="0"/>
              <w:spacing w:before="36" w:after="36"/>
              <w:ind w:left="-26" w:right="-108" w:firstLine="0"/>
              <w:jc w:val="left"/>
              <w:textAlignment w:val="baseline"/>
              <w:rPr>
                <w:bCs/>
                <w:sz w:val="22"/>
                <w:szCs w:val="22"/>
              </w:rPr>
            </w:pPr>
            <w:r w:rsidRPr="008A4578">
              <w:rPr>
                <w:bCs/>
                <w:sz w:val="22"/>
                <w:szCs w:val="22"/>
              </w:rPr>
              <w:t>4.29</w:t>
            </w:r>
            <w:r w:rsidR="0069184A">
              <w:rPr>
                <w:bCs/>
                <w:sz w:val="22"/>
                <w:szCs w:val="22"/>
              </w:rPr>
              <w:t>9</w:t>
            </w:r>
          </w:p>
        </w:tc>
        <w:tc>
          <w:tcPr>
            <w:tcW w:w="1186" w:type="dxa"/>
            <w:vAlign w:val="bottom"/>
          </w:tcPr>
          <w:p w:rsidR="00D65692" w:rsidRPr="008A4578" w:rsidRDefault="00D65692" w:rsidP="004F12D9">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60.64</w:t>
            </w:r>
            <w:r w:rsidR="0069184A">
              <w:rPr>
                <w:bCs/>
                <w:sz w:val="22"/>
                <w:szCs w:val="22"/>
              </w:rPr>
              <w:t>8</w:t>
            </w:r>
          </w:p>
        </w:tc>
      </w:tr>
      <w:tr w:rsidR="00D65692" w:rsidTr="001160E4">
        <w:trPr>
          <w:jc w:val="center"/>
        </w:trPr>
        <w:tc>
          <w:tcPr>
            <w:tcW w:w="1827" w:type="dxa"/>
          </w:tcPr>
          <w:p w:rsidR="00D65692" w:rsidRPr="00F3332B" w:rsidRDefault="00D65692" w:rsidP="005C4E33">
            <w:pPr>
              <w:pStyle w:val="Normaali1"/>
              <w:tabs>
                <w:tab w:val="left" w:pos="360"/>
                <w:tab w:val="left" w:pos="972"/>
              </w:tabs>
              <w:spacing w:before="60" w:after="60" w:line="240" w:lineRule="auto"/>
              <w:ind w:left="403" w:right="288" w:hanging="397"/>
              <w:rPr>
                <w:rFonts w:ascii="Times New Roman" w:hAnsi="Times New Roman"/>
                <w:sz w:val="22"/>
                <w:szCs w:val="22"/>
              </w:rPr>
            </w:pPr>
            <w:r w:rsidRPr="00F3332B">
              <w:rPr>
                <w:rFonts w:ascii="Times New Roman" w:hAnsi="Times New Roman"/>
                <w:sz w:val="22"/>
                <w:szCs w:val="22"/>
              </w:rPr>
              <w:t>CILQ</w:t>
            </w:r>
          </w:p>
        </w:tc>
        <w:tc>
          <w:tcPr>
            <w:tcW w:w="1021" w:type="dxa"/>
            <w:vAlign w:val="bottom"/>
          </w:tcPr>
          <w:p w:rsidR="00D65692" w:rsidRPr="008A4578" w:rsidRDefault="00D65692" w:rsidP="001160E4">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73.049</w:t>
            </w:r>
          </w:p>
        </w:tc>
        <w:tc>
          <w:tcPr>
            <w:tcW w:w="992" w:type="dxa"/>
            <w:vAlign w:val="bottom"/>
          </w:tcPr>
          <w:p w:rsidR="00D65692" w:rsidRPr="00403B66" w:rsidRDefault="00D65692" w:rsidP="00793C58">
            <w:pPr>
              <w:widowControl w:val="0"/>
              <w:tabs>
                <w:tab w:val="decimal" w:pos="168"/>
              </w:tabs>
              <w:adjustRightInd w:val="0"/>
              <w:spacing w:before="36" w:after="36"/>
              <w:ind w:left="-26" w:right="-108" w:firstLine="0"/>
              <w:jc w:val="left"/>
              <w:textAlignment w:val="baseline"/>
              <w:rPr>
                <w:bCs/>
                <w:sz w:val="22"/>
                <w:szCs w:val="22"/>
              </w:rPr>
            </w:pPr>
            <w:r w:rsidRPr="00403B66">
              <w:rPr>
                <w:bCs/>
                <w:sz w:val="22"/>
                <w:szCs w:val="22"/>
              </w:rPr>
              <w:t>0.452</w:t>
            </w:r>
          </w:p>
        </w:tc>
        <w:tc>
          <w:tcPr>
            <w:tcW w:w="992" w:type="dxa"/>
            <w:vAlign w:val="bottom"/>
          </w:tcPr>
          <w:p w:rsidR="00D65692" w:rsidRPr="008A4578" w:rsidRDefault="00D65692" w:rsidP="004F12D9">
            <w:pPr>
              <w:widowControl w:val="0"/>
              <w:tabs>
                <w:tab w:val="decimal" w:pos="168"/>
              </w:tabs>
              <w:adjustRightInd w:val="0"/>
              <w:spacing w:before="36" w:after="36"/>
              <w:ind w:left="-26" w:right="-108" w:firstLine="0"/>
              <w:jc w:val="left"/>
              <w:textAlignment w:val="baseline"/>
              <w:rPr>
                <w:bCs/>
                <w:sz w:val="22"/>
                <w:szCs w:val="22"/>
              </w:rPr>
            </w:pPr>
            <w:r w:rsidRPr="008A4578">
              <w:rPr>
                <w:bCs/>
                <w:sz w:val="22"/>
                <w:szCs w:val="22"/>
              </w:rPr>
              <w:t>5.039</w:t>
            </w:r>
          </w:p>
        </w:tc>
        <w:tc>
          <w:tcPr>
            <w:tcW w:w="992" w:type="dxa"/>
            <w:vAlign w:val="bottom"/>
          </w:tcPr>
          <w:p w:rsidR="00D65692" w:rsidRPr="008A4578" w:rsidRDefault="00D65692" w:rsidP="001160E4">
            <w:pPr>
              <w:widowControl w:val="0"/>
              <w:tabs>
                <w:tab w:val="decimal" w:pos="282"/>
              </w:tabs>
              <w:adjustRightInd w:val="0"/>
              <w:spacing w:before="36" w:after="36"/>
              <w:ind w:left="-26" w:right="-108" w:firstLine="0"/>
              <w:jc w:val="left"/>
              <w:textAlignment w:val="baseline"/>
              <w:rPr>
                <w:bCs/>
                <w:sz w:val="22"/>
                <w:szCs w:val="22"/>
              </w:rPr>
            </w:pPr>
            <w:r w:rsidRPr="008A4578">
              <w:rPr>
                <w:bCs/>
                <w:sz w:val="22"/>
                <w:szCs w:val="22"/>
              </w:rPr>
              <w:t>67.277</w:t>
            </w:r>
          </w:p>
        </w:tc>
        <w:tc>
          <w:tcPr>
            <w:tcW w:w="1186" w:type="dxa"/>
            <w:vAlign w:val="bottom"/>
          </w:tcPr>
          <w:p w:rsidR="00D65692" w:rsidRPr="008A4578" w:rsidRDefault="00D65692" w:rsidP="004F12D9">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85.995</w:t>
            </w:r>
          </w:p>
        </w:tc>
      </w:tr>
      <w:tr w:rsidR="00D65692" w:rsidTr="001160E4">
        <w:trPr>
          <w:jc w:val="center"/>
        </w:trPr>
        <w:tc>
          <w:tcPr>
            <w:tcW w:w="1827" w:type="dxa"/>
          </w:tcPr>
          <w:p w:rsidR="00D65692" w:rsidRPr="00F3332B" w:rsidRDefault="00D65692" w:rsidP="00D23D9D">
            <w:pPr>
              <w:pStyle w:val="Normaali1"/>
              <w:spacing w:before="60" w:after="60" w:line="240" w:lineRule="auto"/>
              <w:ind w:right="-91" w:firstLine="6"/>
              <w:jc w:val="left"/>
              <w:rPr>
                <w:rFonts w:ascii="Times New Roman" w:hAnsi="Times New Roman"/>
                <w:sz w:val="22"/>
                <w:szCs w:val="22"/>
              </w:rPr>
            </w:pPr>
            <w:r w:rsidRPr="00F3332B">
              <w:rPr>
                <w:rFonts w:ascii="Times New Roman" w:hAnsi="Times New Roman"/>
                <w:sz w:val="22"/>
                <w:szCs w:val="22"/>
              </w:rPr>
              <w:t>FLQ</w:t>
            </w:r>
            <w:r>
              <w:rPr>
                <w:rFonts w:ascii="Times New Roman" w:hAnsi="Times New Roman"/>
                <w:sz w:val="22"/>
                <w:szCs w:val="22"/>
              </w:rPr>
              <w:t xml:space="preserve"> </w:t>
            </w:r>
            <w:r w:rsidRPr="00F3332B">
              <w:rPr>
                <w:rFonts w:ascii="Times New Roman" w:hAnsi="Times New Roman"/>
                <w:sz w:val="22"/>
                <w:szCs w:val="22"/>
              </w:rPr>
              <w:t>(</w:t>
            </w:r>
            <w:r w:rsidRPr="00F3332B">
              <w:rPr>
                <w:rFonts w:ascii="Times New Roman" w:hAnsi="Times New Roman"/>
                <w:color w:val="000000"/>
                <w:sz w:val="22"/>
                <w:szCs w:val="22"/>
                <w:lang w:val="en-GB"/>
              </w:rPr>
              <w:t>δ = 0</w:t>
            </w:r>
            <w:r w:rsidRPr="00F3332B">
              <w:rPr>
                <w:rFonts w:ascii="Times New Roman" w:hAnsi="Times New Roman"/>
                <w:sz w:val="22"/>
                <w:szCs w:val="22"/>
              </w:rPr>
              <w:t>)</w:t>
            </w:r>
          </w:p>
        </w:tc>
        <w:tc>
          <w:tcPr>
            <w:tcW w:w="1021" w:type="dxa"/>
            <w:vAlign w:val="bottom"/>
          </w:tcPr>
          <w:p w:rsidR="00D65692" w:rsidRPr="008A4578" w:rsidRDefault="00D65692" w:rsidP="001160E4">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60.101</w:t>
            </w:r>
          </w:p>
        </w:tc>
        <w:tc>
          <w:tcPr>
            <w:tcW w:w="992" w:type="dxa"/>
            <w:vAlign w:val="bottom"/>
          </w:tcPr>
          <w:p w:rsidR="00D65692" w:rsidRPr="00D65692" w:rsidRDefault="00D65692" w:rsidP="00793C58">
            <w:pPr>
              <w:widowControl w:val="0"/>
              <w:tabs>
                <w:tab w:val="decimal" w:pos="168"/>
              </w:tabs>
              <w:adjustRightInd w:val="0"/>
              <w:spacing w:before="36" w:after="36"/>
              <w:ind w:left="-26" w:right="-108" w:firstLine="0"/>
              <w:jc w:val="left"/>
              <w:textAlignment w:val="baseline"/>
              <w:rPr>
                <w:bCs/>
                <w:sz w:val="22"/>
                <w:szCs w:val="22"/>
              </w:rPr>
            </w:pPr>
            <w:r w:rsidRPr="00D65692">
              <w:rPr>
                <w:bCs/>
                <w:sz w:val="22"/>
                <w:szCs w:val="22"/>
              </w:rPr>
              <w:t>0.431</w:t>
            </w:r>
          </w:p>
        </w:tc>
        <w:tc>
          <w:tcPr>
            <w:tcW w:w="992" w:type="dxa"/>
            <w:vAlign w:val="bottom"/>
          </w:tcPr>
          <w:p w:rsidR="00D65692" w:rsidRPr="008A4578" w:rsidRDefault="00D65692" w:rsidP="004F12D9">
            <w:pPr>
              <w:widowControl w:val="0"/>
              <w:tabs>
                <w:tab w:val="decimal" w:pos="168"/>
              </w:tabs>
              <w:adjustRightInd w:val="0"/>
              <w:spacing w:before="36" w:after="36"/>
              <w:ind w:left="-26" w:right="-108" w:firstLine="0"/>
              <w:jc w:val="left"/>
              <w:textAlignment w:val="baseline"/>
              <w:rPr>
                <w:bCs/>
                <w:sz w:val="22"/>
                <w:szCs w:val="22"/>
              </w:rPr>
            </w:pPr>
            <w:r w:rsidRPr="008A4578">
              <w:rPr>
                <w:bCs/>
                <w:sz w:val="22"/>
                <w:szCs w:val="22"/>
              </w:rPr>
              <w:t>0.72</w:t>
            </w:r>
            <w:r w:rsidR="007C441F">
              <w:rPr>
                <w:bCs/>
                <w:sz w:val="22"/>
                <w:szCs w:val="22"/>
              </w:rPr>
              <w:t>7</w:t>
            </w:r>
          </w:p>
        </w:tc>
        <w:tc>
          <w:tcPr>
            <w:tcW w:w="992" w:type="dxa"/>
            <w:vAlign w:val="bottom"/>
          </w:tcPr>
          <w:p w:rsidR="00D65692" w:rsidRPr="008A4578" w:rsidRDefault="00D65692" w:rsidP="001160E4">
            <w:pPr>
              <w:widowControl w:val="0"/>
              <w:tabs>
                <w:tab w:val="decimal" w:pos="282"/>
              </w:tabs>
              <w:adjustRightInd w:val="0"/>
              <w:spacing w:before="36" w:after="36"/>
              <w:ind w:left="-26" w:right="-108" w:firstLine="0"/>
              <w:jc w:val="left"/>
              <w:textAlignment w:val="baseline"/>
              <w:rPr>
                <w:bCs/>
                <w:sz w:val="22"/>
                <w:szCs w:val="22"/>
              </w:rPr>
            </w:pPr>
            <w:r w:rsidRPr="008A4578">
              <w:rPr>
                <w:bCs/>
                <w:sz w:val="22"/>
                <w:szCs w:val="22"/>
              </w:rPr>
              <w:t>3.50</w:t>
            </w:r>
            <w:r w:rsidR="0069184A">
              <w:rPr>
                <w:bCs/>
                <w:sz w:val="22"/>
                <w:szCs w:val="22"/>
              </w:rPr>
              <w:t>5</w:t>
            </w:r>
          </w:p>
        </w:tc>
        <w:tc>
          <w:tcPr>
            <w:tcW w:w="1186" w:type="dxa"/>
            <w:vAlign w:val="bottom"/>
          </w:tcPr>
          <w:p w:rsidR="00D65692" w:rsidRPr="008A4578" w:rsidRDefault="00D65692" w:rsidP="004F12D9">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56.561</w:t>
            </w:r>
          </w:p>
        </w:tc>
      </w:tr>
      <w:tr w:rsidR="00D65692" w:rsidTr="001160E4">
        <w:trPr>
          <w:jc w:val="center"/>
        </w:trPr>
        <w:tc>
          <w:tcPr>
            <w:tcW w:w="1827" w:type="dxa"/>
          </w:tcPr>
          <w:p w:rsidR="00D65692" w:rsidRPr="00F3332B" w:rsidRDefault="00D65692" w:rsidP="00661FF2">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05</w:t>
            </w:r>
            <w:r w:rsidRPr="00F3332B">
              <w:rPr>
                <w:rFonts w:ascii="Times New Roman" w:hAnsi="Times New Roman"/>
                <w:sz w:val="22"/>
                <w:szCs w:val="22"/>
              </w:rPr>
              <w:t>)</w:t>
            </w:r>
          </w:p>
        </w:tc>
        <w:tc>
          <w:tcPr>
            <w:tcW w:w="1021" w:type="dxa"/>
            <w:vAlign w:val="bottom"/>
          </w:tcPr>
          <w:p w:rsidR="00D65692" w:rsidRPr="008A4578" w:rsidRDefault="00D65692" w:rsidP="001160E4">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59.721</w:t>
            </w:r>
          </w:p>
        </w:tc>
        <w:tc>
          <w:tcPr>
            <w:tcW w:w="992" w:type="dxa"/>
            <w:vAlign w:val="bottom"/>
          </w:tcPr>
          <w:p w:rsidR="00D65692" w:rsidRPr="00403B66" w:rsidRDefault="00D65692" w:rsidP="00793C58">
            <w:pPr>
              <w:widowControl w:val="0"/>
              <w:tabs>
                <w:tab w:val="decimal" w:pos="168"/>
              </w:tabs>
              <w:adjustRightInd w:val="0"/>
              <w:spacing w:before="36" w:after="36"/>
              <w:ind w:left="-26" w:right="-108" w:firstLine="0"/>
              <w:jc w:val="left"/>
              <w:textAlignment w:val="baseline"/>
              <w:rPr>
                <w:bCs/>
                <w:sz w:val="22"/>
                <w:szCs w:val="22"/>
              </w:rPr>
            </w:pPr>
            <w:r w:rsidRPr="00403B66">
              <w:rPr>
                <w:bCs/>
                <w:sz w:val="22"/>
                <w:szCs w:val="22"/>
              </w:rPr>
              <w:t>0.434</w:t>
            </w:r>
          </w:p>
        </w:tc>
        <w:tc>
          <w:tcPr>
            <w:tcW w:w="992" w:type="dxa"/>
            <w:vAlign w:val="bottom"/>
          </w:tcPr>
          <w:p w:rsidR="00D65692" w:rsidRPr="008A4578" w:rsidRDefault="00D65692" w:rsidP="004F12D9">
            <w:pPr>
              <w:widowControl w:val="0"/>
              <w:tabs>
                <w:tab w:val="decimal" w:pos="168"/>
              </w:tabs>
              <w:adjustRightInd w:val="0"/>
              <w:spacing w:before="36" w:after="36"/>
              <w:ind w:left="-26" w:right="-108" w:firstLine="0"/>
              <w:jc w:val="left"/>
              <w:textAlignment w:val="baseline"/>
              <w:rPr>
                <w:bCs/>
                <w:sz w:val="22"/>
                <w:szCs w:val="22"/>
              </w:rPr>
            </w:pPr>
            <w:r w:rsidRPr="008A4578">
              <w:rPr>
                <w:bCs/>
                <w:sz w:val="22"/>
                <w:szCs w:val="22"/>
              </w:rPr>
              <w:t>0.142</w:t>
            </w:r>
          </w:p>
        </w:tc>
        <w:tc>
          <w:tcPr>
            <w:tcW w:w="992" w:type="dxa"/>
            <w:vAlign w:val="bottom"/>
          </w:tcPr>
          <w:p w:rsidR="00D65692" w:rsidRPr="008A4578" w:rsidRDefault="00D65692" w:rsidP="001160E4">
            <w:pPr>
              <w:widowControl w:val="0"/>
              <w:tabs>
                <w:tab w:val="decimal" w:pos="282"/>
              </w:tabs>
              <w:adjustRightInd w:val="0"/>
              <w:spacing w:before="36" w:after="36"/>
              <w:ind w:left="-26" w:right="-108" w:firstLine="0"/>
              <w:jc w:val="left"/>
              <w:textAlignment w:val="baseline"/>
              <w:rPr>
                <w:bCs/>
                <w:sz w:val="22"/>
                <w:szCs w:val="22"/>
              </w:rPr>
            </w:pPr>
            <w:r w:rsidRPr="008A4578">
              <w:rPr>
                <w:bCs/>
                <w:sz w:val="22"/>
                <w:szCs w:val="22"/>
              </w:rPr>
              <w:t>1.297</w:t>
            </w:r>
          </w:p>
        </w:tc>
        <w:tc>
          <w:tcPr>
            <w:tcW w:w="1186" w:type="dxa"/>
            <w:vAlign w:val="bottom"/>
          </w:tcPr>
          <w:p w:rsidR="00D65692" w:rsidRPr="008A4578" w:rsidRDefault="00D65692" w:rsidP="004F12D9">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55.560</w:t>
            </w:r>
          </w:p>
        </w:tc>
      </w:tr>
      <w:tr w:rsidR="00D65692" w:rsidTr="001160E4">
        <w:trPr>
          <w:jc w:val="center"/>
        </w:trPr>
        <w:tc>
          <w:tcPr>
            <w:tcW w:w="1827" w:type="dxa"/>
          </w:tcPr>
          <w:p w:rsidR="00D65692" w:rsidRPr="00F3332B" w:rsidRDefault="00D65692" w:rsidP="00661FF2">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0.1</w:t>
            </w:r>
            <w:r w:rsidRPr="00F3332B">
              <w:rPr>
                <w:rFonts w:ascii="Times New Roman" w:hAnsi="Times New Roman"/>
                <w:sz w:val="22"/>
                <w:szCs w:val="22"/>
              </w:rPr>
              <w:t>)</w:t>
            </w:r>
          </w:p>
        </w:tc>
        <w:tc>
          <w:tcPr>
            <w:tcW w:w="1021" w:type="dxa"/>
            <w:vAlign w:val="bottom"/>
          </w:tcPr>
          <w:p w:rsidR="00D65692" w:rsidRPr="008A4578" w:rsidRDefault="00D65692" w:rsidP="001160E4">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59.353</w:t>
            </w:r>
          </w:p>
        </w:tc>
        <w:tc>
          <w:tcPr>
            <w:tcW w:w="992" w:type="dxa"/>
            <w:vAlign w:val="bottom"/>
          </w:tcPr>
          <w:p w:rsidR="00D65692" w:rsidRPr="00403B66" w:rsidRDefault="00D65692" w:rsidP="00793C58">
            <w:pPr>
              <w:widowControl w:val="0"/>
              <w:tabs>
                <w:tab w:val="decimal" w:pos="168"/>
              </w:tabs>
              <w:adjustRightInd w:val="0"/>
              <w:spacing w:before="36" w:after="36"/>
              <w:ind w:left="-26" w:right="-108" w:firstLine="0"/>
              <w:jc w:val="left"/>
              <w:textAlignment w:val="baseline"/>
              <w:rPr>
                <w:bCs/>
                <w:sz w:val="22"/>
                <w:szCs w:val="22"/>
              </w:rPr>
            </w:pPr>
            <w:r w:rsidRPr="00403B66">
              <w:rPr>
                <w:bCs/>
                <w:sz w:val="22"/>
                <w:szCs w:val="22"/>
              </w:rPr>
              <w:t>0.44</w:t>
            </w:r>
            <w:r w:rsidR="007C441F">
              <w:rPr>
                <w:bCs/>
                <w:sz w:val="22"/>
                <w:szCs w:val="22"/>
              </w:rPr>
              <w:t>1</w:t>
            </w:r>
          </w:p>
        </w:tc>
        <w:tc>
          <w:tcPr>
            <w:tcW w:w="992" w:type="dxa"/>
            <w:vAlign w:val="bottom"/>
          </w:tcPr>
          <w:p w:rsidR="00D65692" w:rsidRPr="00D65692" w:rsidRDefault="00D65692" w:rsidP="004F12D9">
            <w:pPr>
              <w:widowControl w:val="0"/>
              <w:tabs>
                <w:tab w:val="decimal" w:pos="168"/>
              </w:tabs>
              <w:adjustRightInd w:val="0"/>
              <w:spacing w:before="36" w:after="36"/>
              <w:ind w:left="-26" w:right="-108" w:firstLine="0"/>
              <w:jc w:val="left"/>
              <w:textAlignment w:val="baseline"/>
              <w:rPr>
                <w:bCs/>
                <w:sz w:val="22"/>
                <w:szCs w:val="22"/>
              </w:rPr>
            </w:pPr>
            <w:r w:rsidRPr="00D65692">
              <w:rPr>
                <w:bCs/>
                <w:sz w:val="22"/>
                <w:szCs w:val="22"/>
              </w:rPr>
              <w:t>0.019</w:t>
            </w:r>
          </w:p>
        </w:tc>
        <w:tc>
          <w:tcPr>
            <w:tcW w:w="992" w:type="dxa"/>
            <w:vAlign w:val="bottom"/>
          </w:tcPr>
          <w:p w:rsidR="00D65692" w:rsidRPr="008A4578" w:rsidRDefault="00D65692" w:rsidP="001160E4">
            <w:pPr>
              <w:widowControl w:val="0"/>
              <w:tabs>
                <w:tab w:val="decimal" w:pos="282"/>
              </w:tabs>
              <w:adjustRightInd w:val="0"/>
              <w:spacing w:before="36" w:after="36"/>
              <w:ind w:left="-26" w:right="-108" w:firstLine="0"/>
              <w:jc w:val="left"/>
              <w:textAlignment w:val="baseline"/>
              <w:rPr>
                <w:bCs/>
                <w:sz w:val="22"/>
                <w:szCs w:val="22"/>
              </w:rPr>
            </w:pPr>
            <w:r w:rsidRPr="008A4578">
              <w:rPr>
                <w:bCs/>
                <w:sz w:val="22"/>
                <w:szCs w:val="22"/>
              </w:rPr>
              <w:t>0.141</w:t>
            </w:r>
          </w:p>
        </w:tc>
        <w:tc>
          <w:tcPr>
            <w:tcW w:w="1186" w:type="dxa"/>
            <w:vAlign w:val="bottom"/>
          </w:tcPr>
          <w:p w:rsidR="00D65692" w:rsidRPr="008A4578" w:rsidRDefault="00D65692" w:rsidP="004F12D9">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54.886</w:t>
            </w:r>
          </w:p>
        </w:tc>
      </w:tr>
      <w:tr w:rsidR="00D65692" w:rsidTr="001160E4">
        <w:trPr>
          <w:jc w:val="center"/>
        </w:trPr>
        <w:tc>
          <w:tcPr>
            <w:tcW w:w="1827" w:type="dxa"/>
          </w:tcPr>
          <w:p w:rsidR="00D65692" w:rsidRPr="00F3332B" w:rsidRDefault="00D65692" w:rsidP="00661FF2">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15</w:t>
            </w:r>
            <w:r w:rsidRPr="00F3332B">
              <w:rPr>
                <w:rFonts w:ascii="Times New Roman" w:hAnsi="Times New Roman"/>
                <w:sz w:val="22"/>
                <w:szCs w:val="22"/>
              </w:rPr>
              <w:t>)</w:t>
            </w:r>
          </w:p>
        </w:tc>
        <w:tc>
          <w:tcPr>
            <w:tcW w:w="1021" w:type="dxa"/>
            <w:vAlign w:val="bottom"/>
          </w:tcPr>
          <w:p w:rsidR="00D65692" w:rsidRPr="008A4578" w:rsidRDefault="00D65692" w:rsidP="001160E4">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59.445</w:t>
            </w:r>
          </w:p>
        </w:tc>
        <w:tc>
          <w:tcPr>
            <w:tcW w:w="992" w:type="dxa"/>
            <w:vAlign w:val="bottom"/>
          </w:tcPr>
          <w:p w:rsidR="00D65692" w:rsidRPr="00403B66" w:rsidRDefault="00D65692" w:rsidP="00793C58">
            <w:pPr>
              <w:widowControl w:val="0"/>
              <w:tabs>
                <w:tab w:val="decimal" w:pos="168"/>
              </w:tabs>
              <w:adjustRightInd w:val="0"/>
              <w:spacing w:before="36" w:after="36"/>
              <w:ind w:left="-26" w:right="-108" w:firstLine="0"/>
              <w:jc w:val="left"/>
              <w:textAlignment w:val="baseline"/>
              <w:rPr>
                <w:bCs/>
                <w:sz w:val="22"/>
                <w:szCs w:val="22"/>
              </w:rPr>
            </w:pPr>
            <w:r w:rsidRPr="00403B66">
              <w:rPr>
                <w:bCs/>
                <w:sz w:val="22"/>
                <w:szCs w:val="22"/>
              </w:rPr>
              <w:t>0.451</w:t>
            </w:r>
          </w:p>
        </w:tc>
        <w:tc>
          <w:tcPr>
            <w:tcW w:w="992" w:type="dxa"/>
            <w:vAlign w:val="bottom"/>
          </w:tcPr>
          <w:p w:rsidR="00D65692" w:rsidRPr="008A4578" w:rsidRDefault="00D65692" w:rsidP="004F12D9">
            <w:pPr>
              <w:widowControl w:val="0"/>
              <w:tabs>
                <w:tab w:val="decimal" w:pos="168"/>
              </w:tabs>
              <w:adjustRightInd w:val="0"/>
              <w:spacing w:before="36" w:after="36"/>
              <w:ind w:left="-26" w:right="-108" w:firstLine="0"/>
              <w:jc w:val="left"/>
              <w:textAlignment w:val="baseline"/>
              <w:rPr>
                <w:bCs/>
                <w:sz w:val="22"/>
                <w:szCs w:val="22"/>
              </w:rPr>
            </w:pPr>
            <w:r w:rsidRPr="008A4578">
              <w:rPr>
                <w:bCs/>
                <w:sz w:val="22"/>
                <w:szCs w:val="22"/>
              </w:rPr>
              <w:t>0.43</w:t>
            </w:r>
            <w:r w:rsidR="007C441F">
              <w:rPr>
                <w:bCs/>
                <w:sz w:val="22"/>
                <w:szCs w:val="22"/>
              </w:rPr>
              <w:t>1</w:t>
            </w:r>
          </w:p>
        </w:tc>
        <w:tc>
          <w:tcPr>
            <w:tcW w:w="992" w:type="dxa"/>
            <w:vAlign w:val="bottom"/>
          </w:tcPr>
          <w:p w:rsidR="00D65692" w:rsidRPr="008A4578" w:rsidRDefault="00D65692" w:rsidP="001160E4">
            <w:pPr>
              <w:widowControl w:val="0"/>
              <w:tabs>
                <w:tab w:val="decimal" w:pos="282"/>
              </w:tabs>
              <w:adjustRightInd w:val="0"/>
              <w:spacing w:before="36" w:after="36"/>
              <w:ind w:left="-26" w:right="-108" w:firstLine="0"/>
              <w:jc w:val="left"/>
              <w:textAlignment w:val="baseline"/>
              <w:rPr>
                <w:bCs/>
                <w:sz w:val="22"/>
                <w:szCs w:val="22"/>
              </w:rPr>
            </w:pPr>
            <w:r w:rsidRPr="008A4578">
              <w:rPr>
                <w:bCs/>
                <w:sz w:val="22"/>
                <w:szCs w:val="22"/>
              </w:rPr>
              <w:t>0.103</w:t>
            </w:r>
          </w:p>
        </w:tc>
        <w:tc>
          <w:tcPr>
            <w:tcW w:w="1186" w:type="dxa"/>
            <w:vAlign w:val="bottom"/>
          </w:tcPr>
          <w:p w:rsidR="00D65692" w:rsidRPr="008A4578" w:rsidRDefault="00D65692" w:rsidP="004F12D9">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54.73</w:t>
            </w:r>
            <w:r w:rsidR="0069184A">
              <w:rPr>
                <w:bCs/>
                <w:sz w:val="22"/>
                <w:szCs w:val="22"/>
              </w:rPr>
              <w:t>6</w:t>
            </w:r>
          </w:p>
        </w:tc>
      </w:tr>
      <w:tr w:rsidR="00D65692" w:rsidTr="001160E4">
        <w:trPr>
          <w:jc w:val="center"/>
        </w:trPr>
        <w:tc>
          <w:tcPr>
            <w:tcW w:w="1827" w:type="dxa"/>
          </w:tcPr>
          <w:p w:rsidR="00D65692" w:rsidRPr="00F3332B" w:rsidRDefault="00D65692" w:rsidP="00661FF2">
            <w:pPr>
              <w:pStyle w:val="Normaali1"/>
              <w:spacing w:before="60" w:after="60" w:line="240" w:lineRule="auto"/>
              <w:ind w:left="-4" w:right="-115"/>
              <w:jc w:val="left"/>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2</w:t>
            </w:r>
            <w:r w:rsidRPr="00F3332B">
              <w:rPr>
                <w:rFonts w:ascii="Times New Roman" w:hAnsi="Times New Roman"/>
                <w:sz w:val="22"/>
                <w:szCs w:val="22"/>
              </w:rPr>
              <w:t>)</w:t>
            </w:r>
          </w:p>
        </w:tc>
        <w:tc>
          <w:tcPr>
            <w:tcW w:w="1021" w:type="dxa"/>
            <w:vAlign w:val="bottom"/>
          </w:tcPr>
          <w:p w:rsidR="00D65692" w:rsidRPr="008A4578" w:rsidRDefault="00D65692" w:rsidP="001160E4">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60.207</w:t>
            </w:r>
          </w:p>
        </w:tc>
        <w:tc>
          <w:tcPr>
            <w:tcW w:w="992" w:type="dxa"/>
            <w:vAlign w:val="bottom"/>
          </w:tcPr>
          <w:p w:rsidR="00D65692" w:rsidRPr="00403B66" w:rsidRDefault="00D65692" w:rsidP="00793C58">
            <w:pPr>
              <w:widowControl w:val="0"/>
              <w:tabs>
                <w:tab w:val="decimal" w:pos="168"/>
              </w:tabs>
              <w:adjustRightInd w:val="0"/>
              <w:spacing w:before="36" w:after="36"/>
              <w:ind w:left="-26" w:right="-108" w:firstLine="0"/>
              <w:jc w:val="left"/>
              <w:textAlignment w:val="baseline"/>
              <w:rPr>
                <w:bCs/>
                <w:sz w:val="22"/>
                <w:szCs w:val="22"/>
              </w:rPr>
            </w:pPr>
            <w:r w:rsidRPr="00403B66">
              <w:rPr>
                <w:bCs/>
                <w:sz w:val="22"/>
                <w:szCs w:val="22"/>
              </w:rPr>
              <w:t>0.46</w:t>
            </w:r>
            <w:r w:rsidR="007C441F">
              <w:rPr>
                <w:bCs/>
                <w:sz w:val="22"/>
                <w:szCs w:val="22"/>
              </w:rPr>
              <w:t>9</w:t>
            </w:r>
          </w:p>
        </w:tc>
        <w:tc>
          <w:tcPr>
            <w:tcW w:w="992" w:type="dxa"/>
            <w:vAlign w:val="bottom"/>
          </w:tcPr>
          <w:p w:rsidR="00D65692" w:rsidRPr="008A4578" w:rsidRDefault="00D65692" w:rsidP="004F12D9">
            <w:pPr>
              <w:widowControl w:val="0"/>
              <w:tabs>
                <w:tab w:val="decimal" w:pos="168"/>
              </w:tabs>
              <w:adjustRightInd w:val="0"/>
              <w:spacing w:before="36" w:after="36"/>
              <w:ind w:left="-26" w:right="-108" w:firstLine="0"/>
              <w:jc w:val="left"/>
              <w:textAlignment w:val="baseline"/>
              <w:rPr>
                <w:bCs/>
                <w:sz w:val="22"/>
                <w:szCs w:val="22"/>
              </w:rPr>
            </w:pPr>
            <w:r w:rsidRPr="008A4578">
              <w:rPr>
                <w:bCs/>
                <w:sz w:val="22"/>
                <w:szCs w:val="22"/>
              </w:rPr>
              <w:t>1.342</w:t>
            </w:r>
          </w:p>
        </w:tc>
        <w:tc>
          <w:tcPr>
            <w:tcW w:w="992" w:type="dxa"/>
            <w:vAlign w:val="bottom"/>
          </w:tcPr>
          <w:p w:rsidR="00D65692" w:rsidRPr="008A4578" w:rsidRDefault="00D65692" w:rsidP="001160E4">
            <w:pPr>
              <w:widowControl w:val="0"/>
              <w:tabs>
                <w:tab w:val="decimal" w:pos="282"/>
              </w:tabs>
              <w:adjustRightInd w:val="0"/>
              <w:spacing w:before="36" w:after="36"/>
              <w:ind w:left="-26" w:right="-108" w:firstLine="0"/>
              <w:jc w:val="left"/>
              <w:textAlignment w:val="baseline"/>
              <w:rPr>
                <w:bCs/>
                <w:sz w:val="22"/>
                <w:szCs w:val="22"/>
              </w:rPr>
            </w:pPr>
            <w:r w:rsidRPr="008A4578">
              <w:rPr>
                <w:bCs/>
                <w:sz w:val="22"/>
                <w:szCs w:val="22"/>
              </w:rPr>
              <w:t>1.12</w:t>
            </w:r>
            <w:r w:rsidR="0069184A">
              <w:rPr>
                <w:bCs/>
                <w:sz w:val="22"/>
                <w:szCs w:val="22"/>
              </w:rPr>
              <w:t>7</w:t>
            </w:r>
          </w:p>
        </w:tc>
        <w:tc>
          <w:tcPr>
            <w:tcW w:w="1186" w:type="dxa"/>
            <w:vAlign w:val="bottom"/>
          </w:tcPr>
          <w:p w:rsidR="00D65692" w:rsidRPr="008A4578" w:rsidRDefault="00D65692" w:rsidP="004F12D9">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55.131</w:t>
            </w:r>
          </w:p>
        </w:tc>
      </w:tr>
      <w:tr w:rsidR="00D65692" w:rsidTr="001160E4">
        <w:trPr>
          <w:jc w:val="center"/>
        </w:trPr>
        <w:tc>
          <w:tcPr>
            <w:tcW w:w="1827" w:type="dxa"/>
          </w:tcPr>
          <w:p w:rsidR="00D65692" w:rsidRPr="00F3332B" w:rsidRDefault="00D65692" w:rsidP="0086246B">
            <w:pPr>
              <w:pStyle w:val="Normaali1"/>
              <w:spacing w:before="60" w:after="60" w:line="240" w:lineRule="auto"/>
              <w:ind w:right="-91" w:firstLine="6"/>
              <w:jc w:val="left"/>
              <w:rPr>
                <w:rFonts w:ascii="Times New Roman" w:hAnsi="Times New Roman"/>
                <w:sz w:val="22"/>
                <w:szCs w:val="22"/>
              </w:rPr>
            </w:pPr>
            <w:r>
              <w:rPr>
                <w:rFonts w:ascii="Times New Roman" w:hAnsi="Times New Roman"/>
                <w:sz w:val="22"/>
                <w:szCs w:val="22"/>
              </w:rPr>
              <w:t>A</w:t>
            </w:r>
            <w:r w:rsidRPr="00F3332B">
              <w:rPr>
                <w:rFonts w:ascii="Times New Roman" w:hAnsi="Times New Roman"/>
                <w:sz w:val="22"/>
                <w:szCs w:val="22"/>
              </w:rPr>
              <w:t>FLQ</w:t>
            </w:r>
            <w:r>
              <w:rPr>
                <w:rFonts w:ascii="Times New Roman" w:hAnsi="Times New Roman"/>
                <w:sz w:val="22"/>
                <w:szCs w:val="22"/>
              </w:rPr>
              <w:t xml:space="preserve"> </w:t>
            </w:r>
            <w:r w:rsidRPr="00F3332B">
              <w:rPr>
                <w:rFonts w:ascii="Times New Roman" w:hAnsi="Times New Roman"/>
                <w:sz w:val="22"/>
                <w:szCs w:val="22"/>
              </w:rPr>
              <w:t>(</w:t>
            </w:r>
            <w:r w:rsidRPr="00F3332B">
              <w:rPr>
                <w:rFonts w:ascii="Times New Roman" w:hAnsi="Times New Roman"/>
                <w:color w:val="000000"/>
                <w:sz w:val="22"/>
                <w:szCs w:val="22"/>
                <w:lang w:val="en-GB"/>
              </w:rPr>
              <w:t>δ = 0</w:t>
            </w:r>
            <w:r w:rsidRPr="00F3332B">
              <w:rPr>
                <w:rFonts w:ascii="Times New Roman" w:hAnsi="Times New Roman"/>
                <w:sz w:val="22"/>
                <w:szCs w:val="22"/>
              </w:rPr>
              <w:t>)</w:t>
            </w:r>
          </w:p>
        </w:tc>
        <w:tc>
          <w:tcPr>
            <w:tcW w:w="1021" w:type="dxa"/>
            <w:vAlign w:val="bottom"/>
          </w:tcPr>
          <w:p w:rsidR="00D65692" w:rsidRPr="008A4578" w:rsidRDefault="00D65692" w:rsidP="001160E4">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61.093</w:t>
            </w:r>
          </w:p>
        </w:tc>
        <w:tc>
          <w:tcPr>
            <w:tcW w:w="992" w:type="dxa"/>
            <w:vAlign w:val="bottom"/>
          </w:tcPr>
          <w:p w:rsidR="00D65692" w:rsidRPr="00403B66" w:rsidRDefault="00D65692" w:rsidP="00793C58">
            <w:pPr>
              <w:widowControl w:val="0"/>
              <w:tabs>
                <w:tab w:val="decimal" w:pos="168"/>
              </w:tabs>
              <w:adjustRightInd w:val="0"/>
              <w:spacing w:before="36" w:after="36"/>
              <w:ind w:left="-26" w:right="-108" w:firstLine="0"/>
              <w:jc w:val="left"/>
              <w:textAlignment w:val="baseline"/>
              <w:rPr>
                <w:bCs/>
                <w:sz w:val="22"/>
                <w:szCs w:val="22"/>
              </w:rPr>
            </w:pPr>
            <w:r w:rsidRPr="00403B66">
              <w:rPr>
                <w:bCs/>
                <w:sz w:val="22"/>
                <w:szCs w:val="22"/>
              </w:rPr>
              <w:t>0.45</w:t>
            </w:r>
            <w:r w:rsidR="007C441F">
              <w:rPr>
                <w:bCs/>
                <w:sz w:val="22"/>
                <w:szCs w:val="22"/>
              </w:rPr>
              <w:t>9</w:t>
            </w:r>
          </w:p>
        </w:tc>
        <w:tc>
          <w:tcPr>
            <w:tcW w:w="992" w:type="dxa"/>
            <w:vAlign w:val="bottom"/>
          </w:tcPr>
          <w:p w:rsidR="00D65692" w:rsidRPr="008A4578" w:rsidRDefault="00D65692" w:rsidP="004F12D9">
            <w:pPr>
              <w:widowControl w:val="0"/>
              <w:tabs>
                <w:tab w:val="decimal" w:pos="168"/>
              </w:tabs>
              <w:adjustRightInd w:val="0"/>
              <w:spacing w:before="36" w:after="36"/>
              <w:ind w:left="-26" w:right="-108" w:firstLine="0"/>
              <w:jc w:val="left"/>
              <w:textAlignment w:val="baseline"/>
              <w:rPr>
                <w:bCs/>
                <w:sz w:val="22"/>
                <w:szCs w:val="22"/>
              </w:rPr>
            </w:pPr>
            <w:r w:rsidRPr="008A4578">
              <w:rPr>
                <w:bCs/>
                <w:sz w:val="22"/>
                <w:szCs w:val="22"/>
              </w:rPr>
              <w:t>1.74</w:t>
            </w:r>
            <w:r w:rsidR="007C441F">
              <w:rPr>
                <w:bCs/>
                <w:sz w:val="22"/>
                <w:szCs w:val="22"/>
              </w:rPr>
              <w:t>4</w:t>
            </w:r>
          </w:p>
        </w:tc>
        <w:tc>
          <w:tcPr>
            <w:tcW w:w="992" w:type="dxa"/>
            <w:vAlign w:val="bottom"/>
          </w:tcPr>
          <w:p w:rsidR="00D65692" w:rsidRPr="008A4578" w:rsidRDefault="00D65692" w:rsidP="001160E4">
            <w:pPr>
              <w:widowControl w:val="0"/>
              <w:tabs>
                <w:tab w:val="decimal" w:pos="282"/>
              </w:tabs>
              <w:adjustRightInd w:val="0"/>
              <w:spacing w:before="36" w:after="36"/>
              <w:ind w:left="-26" w:right="-108" w:firstLine="0"/>
              <w:jc w:val="left"/>
              <w:textAlignment w:val="baseline"/>
              <w:rPr>
                <w:bCs/>
                <w:sz w:val="22"/>
                <w:szCs w:val="22"/>
              </w:rPr>
            </w:pPr>
            <w:r w:rsidRPr="008A4578">
              <w:rPr>
                <w:bCs/>
                <w:sz w:val="22"/>
                <w:szCs w:val="22"/>
              </w:rPr>
              <w:t>4.409</w:t>
            </w:r>
          </w:p>
        </w:tc>
        <w:tc>
          <w:tcPr>
            <w:tcW w:w="1186" w:type="dxa"/>
            <w:vAlign w:val="bottom"/>
          </w:tcPr>
          <w:p w:rsidR="00D65692" w:rsidRPr="008A4578" w:rsidRDefault="00D65692" w:rsidP="004F12D9">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56.96</w:t>
            </w:r>
            <w:r w:rsidR="0069184A">
              <w:rPr>
                <w:bCs/>
                <w:sz w:val="22"/>
                <w:szCs w:val="22"/>
              </w:rPr>
              <w:t>2</w:t>
            </w:r>
          </w:p>
        </w:tc>
      </w:tr>
      <w:tr w:rsidR="00D65692" w:rsidTr="001160E4">
        <w:trPr>
          <w:jc w:val="center"/>
        </w:trPr>
        <w:tc>
          <w:tcPr>
            <w:tcW w:w="1827" w:type="dxa"/>
          </w:tcPr>
          <w:p w:rsidR="00D65692" w:rsidRPr="00F3332B" w:rsidRDefault="00D65692" w:rsidP="0086246B">
            <w:pPr>
              <w:pStyle w:val="Normaali1"/>
              <w:spacing w:before="60" w:after="60" w:line="240" w:lineRule="auto"/>
              <w:ind w:right="-84" w:firstLine="6"/>
              <w:rPr>
                <w:rFonts w:ascii="Times New Roman" w:hAnsi="Times New Roman"/>
                <w:sz w:val="22"/>
                <w:szCs w:val="22"/>
              </w:rPr>
            </w:pPr>
            <w:r>
              <w:rPr>
                <w:rFonts w:ascii="Times New Roman" w:hAnsi="Times New Roman"/>
                <w:sz w:val="22"/>
                <w:szCs w:val="22"/>
              </w:rPr>
              <w:t>A</w:t>
            </w: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05</w:t>
            </w:r>
            <w:r w:rsidRPr="00F3332B">
              <w:rPr>
                <w:rFonts w:ascii="Times New Roman" w:hAnsi="Times New Roman"/>
                <w:sz w:val="22"/>
                <w:szCs w:val="22"/>
              </w:rPr>
              <w:t>)</w:t>
            </w:r>
          </w:p>
        </w:tc>
        <w:tc>
          <w:tcPr>
            <w:tcW w:w="1021" w:type="dxa"/>
            <w:vAlign w:val="bottom"/>
          </w:tcPr>
          <w:p w:rsidR="00D65692" w:rsidRPr="008A4578" w:rsidRDefault="00D65692" w:rsidP="001160E4">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59.897</w:t>
            </w:r>
          </w:p>
        </w:tc>
        <w:tc>
          <w:tcPr>
            <w:tcW w:w="992" w:type="dxa"/>
            <w:vAlign w:val="bottom"/>
          </w:tcPr>
          <w:p w:rsidR="00D65692" w:rsidRPr="00403B66" w:rsidRDefault="00D65692" w:rsidP="00793C58">
            <w:pPr>
              <w:widowControl w:val="0"/>
              <w:tabs>
                <w:tab w:val="decimal" w:pos="168"/>
              </w:tabs>
              <w:adjustRightInd w:val="0"/>
              <w:spacing w:before="36" w:after="36"/>
              <w:ind w:left="-26" w:right="-108" w:firstLine="0"/>
              <w:jc w:val="left"/>
              <w:textAlignment w:val="baseline"/>
              <w:rPr>
                <w:bCs/>
                <w:sz w:val="22"/>
                <w:szCs w:val="22"/>
              </w:rPr>
            </w:pPr>
            <w:r w:rsidRPr="00403B66">
              <w:rPr>
                <w:bCs/>
                <w:sz w:val="22"/>
                <w:szCs w:val="22"/>
              </w:rPr>
              <w:t>0.446</w:t>
            </w:r>
          </w:p>
        </w:tc>
        <w:tc>
          <w:tcPr>
            <w:tcW w:w="992" w:type="dxa"/>
            <w:vAlign w:val="bottom"/>
          </w:tcPr>
          <w:p w:rsidR="00D65692" w:rsidRPr="008A4578" w:rsidRDefault="00D65692" w:rsidP="004F12D9">
            <w:pPr>
              <w:widowControl w:val="0"/>
              <w:tabs>
                <w:tab w:val="decimal" w:pos="168"/>
              </w:tabs>
              <w:adjustRightInd w:val="0"/>
              <w:spacing w:before="36" w:after="36"/>
              <w:ind w:left="-26" w:right="-108" w:firstLine="0"/>
              <w:jc w:val="left"/>
              <w:textAlignment w:val="baseline"/>
              <w:rPr>
                <w:bCs/>
                <w:sz w:val="22"/>
                <w:szCs w:val="22"/>
              </w:rPr>
            </w:pPr>
            <w:r w:rsidRPr="008A4578">
              <w:rPr>
                <w:bCs/>
                <w:sz w:val="22"/>
                <w:szCs w:val="22"/>
              </w:rPr>
              <w:t>0.655</w:t>
            </w:r>
          </w:p>
        </w:tc>
        <w:tc>
          <w:tcPr>
            <w:tcW w:w="992" w:type="dxa"/>
            <w:vAlign w:val="bottom"/>
          </w:tcPr>
          <w:p w:rsidR="00D65692" w:rsidRPr="008A4578" w:rsidRDefault="00D65692" w:rsidP="001160E4">
            <w:pPr>
              <w:widowControl w:val="0"/>
              <w:tabs>
                <w:tab w:val="decimal" w:pos="282"/>
              </w:tabs>
              <w:adjustRightInd w:val="0"/>
              <w:spacing w:before="36" w:after="36"/>
              <w:ind w:left="-26" w:right="-108" w:firstLine="0"/>
              <w:jc w:val="left"/>
              <w:textAlignment w:val="baseline"/>
              <w:rPr>
                <w:bCs/>
                <w:sz w:val="22"/>
                <w:szCs w:val="22"/>
              </w:rPr>
            </w:pPr>
            <w:r w:rsidRPr="008A4578">
              <w:rPr>
                <w:bCs/>
                <w:sz w:val="22"/>
                <w:szCs w:val="22"/>
              </w:rPr>
              <w:t>1.738</w:t>
            </w:r>
          </w:p>
        </w:tc>
        <w:tc>
          <w:tcPr>
            <w:tcW w:w="1186" w:type="dxa"/>
            <w:vAlign w:val="bottom"/>
          </w:tcPr>
          <w:p w:rsidR="00D65692" w:rsidRPr="008A4578" w:rsidRDefault="00D65692" w:rsidP="004F12D9">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55.66</w:t>
            </w:r>
            <w:r w:rsidR="0069184A">
              <w:rPr>
                <w:bCs/>
                <w:sz w:val="22"/>
                <w:szCs w:val="22"/>
              </w:rPr>
              <w:t>8</w:t>
            </w:r>
          </w:p>
        </w:tc>
      </w:tr>
      <w:tr w:rsidR="00D65692" w:rsidTr="001160E4">
        <w:trPr>
          <w:jc w:val="center"/>
        </w:trPr>
        <w:tc>
          <w:tcPr>
            <w:tcW w:w="1827" w:type="dxa"/>
          </w:tcPr>
          <w:p w:rsidR="00D65692" w:rsidRPr="00F3332B" w:rsidRDefault="00D65692" w:rsidP="0086246B">
            <w:pPr>
              <w:pStyle w:val="Normaali1"/>
              <w:spacing w:before="60" w:after="60" w:line="240" w:lineRule="auto"/>
              <w:ind w:right="-84" w:firstLine="6"/>
              <w:rPr>
                <w:rFonts w:ascii="Times New Roman" w:hAnsi="Times New Roman"/>
                <w:sz w:val="22"/>
                <w:szCs w:val="22"/>
              </w:rPr>
            </w:pPr>
            <w:r>
              <w:rPr>
                <w:rFonts w:ascii="Times New Roman" w:hAnsi="Times New Roman"/>
                <w:sz w:val="22"/>
                <w:szCs w:val="22"/>
              </w:rPr>
              <w:t>A</w:t>
            </w:r>
            <w:r w:rsidRPr="00F3332B">
              <w:rPr>
                <w:rFonts w:ascii="Times New Roman" w:hAnsi="Times New Roman"/>
                <w:sz w:val="22"/>
                <w:szCs w:val="22"/>
              </w:rPr>
              <w:t>FLQ (</w:t>
            </w:r>
            <w:r w:rsidRPr="00F3332B">
              <w:rPr>
                <w:rFonts w:ascii="Times New Roman" w:hAnsi="Times New Roman"/>
                <w:color w:val="000000"/>
                <w:sz w:val="22"/>
                <w:szCs w:val="22"/>
                <w:lang w:val="en-GB"/>
              </w:rPr>
              <w:t>δ = 0.1</w:t>
            </w:r>
            <w:r w:rsidRPr="00F3332B">
              <w:rPr>
                <w:rFonts w:ascii="Times New Roman" w:hAnsi="Times New Roman"/>
                <w:sz w:val="22"/>
                <w:szCs w:val="22"/>
              </w:rPr>
              <w:t>)</w:t>
            </w:r>
          </w:p>
        </w:tc>
        <w:tc>
          <w:tcPr>
            <w:tcW w:w="1021" w:type="dxa"/>
            <w:vAlign w:val="bottom"/>
          </w:tcPr>
          <w:p w:rsidR="00D65692" w:rsidRPr="008A4578" w:rsidRDefault="00D65692" w:rsidP="001160E4">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58.875</w:t>
            </w:r>
          </w:p>
        </w:tc>
        <w:tc>
          <w:tcPr>
            <w:tcW w:w="992" w:type="dxa"/>
            <w:vAlign w:val="bottom"/>
          </w:tcPr>
          <w:p w:rsidR="00D65692" w:rsidRPr="00403B66" w:rsidRDefault="00D65692" w:rsidP="00793C58">
            <w:pPr>
              <w:widowControl w:val="0"/>
              <w:tabs>
                <w:tab w:val="decimal" w:pos="168"/>
              </w:tabs>
              <w:adjustRightInd w:val="0"/>
              <w:spacing w:before="36" w:after="36"/>
              <w:ind w:left="-26" w:right="-108" w:firstLine="0"/>
              <w:jc w:val="left"/>
              <w:textAlignment w:val="baseline"/>
              <w:rPr>
                <w:bCs/>
                <w:sz w:val="22"/>
                <w:szCs w:val="22"/>
              </w:rPr>
            </w:pPr>
            <w:r w:rsidRPr="00403B66">
              <w:rPr>
                <w:bCs/>
                <w:sz w:val="22"/>
                <w:szCs w:val="22"/>
              </w:rPr>
              <w:t>0.439</w:t>
            </w:r>
          </w:p>
        </w:tc>
        <w:tc>
          <w:tcPr>
            <w:tcW w:w="992" w:type="dxa"/>
            <w:vAlign w:val="bottom"/>
          </w:tcPr>
          <w:p w:rsidR="00D65692" w:rsidRPr="008A4578" w:rsidRDefault="00D65692" w:rsidP="004F12D9">
            <w:pPr>
              <w:widowControl w:val="0"/>
              <w:tabs>
                <w:tab w:val="decimal" w:pos="168"/>
              </w:tabs>
              <w:adjustRightInd w:val="0"/>
              <w:spacing w:before="36" w:after="36"/>
              <w:ind w:left="-26" w:right="-108" w:firstLine="0"/>
              <w:jc w:val="left"/>
              <w:textAlignment w:val="baseline"/>
              <w:rPr>
                <w:bCs/>
                <w:sz w:val="22"/>
                <w:szCs w:val="22"/>
              </w:rPr>
            </w:pPr>
            <w:r w:rsidRPr="008A4578">
              <w:rPr>
                <w:bCs/>
                <w:sz w:val="22"/>
                <w:szCs w:val="22"/>
              </w:rPr>
              <w:t>0.070</w:t>
            </w:r>
          </w:p>
        </w:tc>
        <w:tc>
          <w:tcPr>
            <w:tcW w:w="992" w:type="dxa"/>
            <w:vAlign w:val="bottom"/>
          </w:tcPr>
          <w:p w:rsidR="00D65692" w:rsidRPr="008A4578" w:rsidRDefault="00D65692" w:rsidP="001160E4">
            <w:pPr>
              <w:widowControl w:val="0"/>
              <w:tabs>
                <w:tab w:val="decimal" w:pos="282"/>
              </w:tabs>
              <w:adjustRightInd w:val="0"/>
              <w:spacing w:before="36" w:after="36"/>
              <w:ind w:left="-26" w:right="-108" w:firstLine="0"/>
              <w:jc w:val="left"/>
              <w:textAlignment w:val="baseline"/>
              <w:rPr>
                <w:bCs/>
                <w:sz w:val="22"/>
                <w:szCs w:val="22"/>
              </w:rPr>
            </w:pPr>
            <w:r w:rsidRPr="008A4578">
              <w:rPr>
                <w:bCs/>
                <w:sz w:val="22"/>
                <w:szCs w:val="22"/>
              </w:rPr>
              <w:t>0.28</w:t>
            </w:r>
            <w:r w:rsidR="0069184A">
              <w:rPr>
                <w:bCs/>
                <w:sz w:val="22"/>
                <w:szCs w:val="22"/>
              </w:rPr>
              <w:t>9</w:t>
            </w:r>
          </w:p>
        </w:tc>
        <w:tc>
          <w:tcPr>
            <w:tcW w:w="1186" w:type="dxa"/>
            <w:vAlign w:val="bottom"/>
          </w:tcPr>
          <w:p w:rsidR="00D65692" w:rsidRPr="008A4578" w:rsidRDefault="00D65692" w:rsidP="004F12D9">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54.780</w:t>
            </w:r>
          </w:p>
        </w:tc>
      </w:tr>
      <w:tr w:rsidR="00D65692" w:rsidTr="001160E4">
        <w:trPr>
          <w:jc w:val="center"/>
        </w:trPr>
        <w:tc>
          <w:tcPr>
            <w:tcW w:w="1827" w:type="dxa"/>
          </w:tcPr>
          <w:p w:rsidR="00D65692" w:rsidRPr="00F3332B" w:rsidRDefault="00D65692" w:rsidP="0086246B">
            <w:pPr>
              <w:pStyle w:val="Normaali1"/>
              <w:spacing w:before="60" w:after="60" w:line="240" w:lineRule="auto"/>
              <w:ind w:right="-84" w:firstLine="6"/>
              <w:rPr>
                <w:rFonts w:ascii="Times New Roman" w:hAnsi="Times New Roman"/>
                <w:sz w:val="22"/>
                <w:szCs w:val="22"/>
              </w:rPr>
            </w:pPr>
            <w:r>
              <w:rPr>
                <w:rFonts w:ascii="Times New Roman" w:hAnsi="Times New Roman"/>
                <w:sz w:val="22"/>
                <w:szCs w:val="22"/>
              </w:rPr>
              <w:t>A</w:t>
            </w: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15</w:t>
            </w:r>
            <w:r w:rsidRPr="00F3332B">
              <w:rPr>
                <w:rFonts w:ascii="Times New Roman" w:hAnsi="Times New Roman"/>
                <w:sz w:val="22"/>
                <w:szCs w:val="22"/>
              </w:rPr>
              <w:t>)</w:t>
            </w:r>
          </w:p>
        </w:tc>
        <w:tc>
          <w:tcPr>
            <w:tcW w:w="1021" w:type="dxa"/>
            <w:vAlign w:val="bottom"/>
          </w:tcPr>
          <w:p w:rsidR="00D65692" w:rsidRPr="00D65692" w:rsidRDefault="00D65692" w:rsidP="001160E4">
            <w:pPr>
              <w:widowControl w:val="0"/>
              <w:tabs>
                <w:tab w:val="decimal" w:pos="311"/>
              </w:tabs>
              <w:adjustRightInd w:val="0"/>
              <w:spacing w:before="36" w:after="36"/>
              <w:ind w:left="-26" w:right="-108" w:firstLine="0"/>
              <w:jc w:val="left"/>
              <w:textAlignment w:val="baseline"/>
              <w:rPr>
                <w:bCs/>
                <w:sz w:val="22"/>
                <w:szCs w:val="22"/>
              </w:rPr>
            </w:pPr>
            <w:r w:rsidRPr="00D65692">
              <w:rPr>
                <w:bCs/>
                <w:sz w:val="22"/>
                <w:szCs w:val="22"/>
              </w:rPr>
              <w:t>58.463</w:t>
            </w:r>
          </w:p>
        </w:tc>
        <w:tc>
          <w:tcPr>
            <w:tcW w:w="992" w:type="dxa"/>
            <w:vAlign w:val="bottom"/>
          </w:tcPr>
          <w:p w:rsidR="00D65692" w:rsidRPr="00403B66" w:rsidRDefault="00D65692" w:rsidP="00793C58">
            <w:pPr>
              <w:widowControl w:val="0"/>
              <w:tabs>
                <w:tab w:val="decimal" w:pos="168"/>
              </w:tabs>
              <w:adjustRightInd w:val="0"/>
              <w:spacing w:before="36" w:after="36"/>
              <w:ind w:left="-26" w:right="-108" w:firstLine="0"/>
              <w:jc w:val="left"/>
              <w:textAlignment w:val="baseline"/>
              <w:rPr>
                <w:bCs/>
                <w:sz w:val="22"/>
                <w:szCs w:val="22"/>
              </w:rPr>
            </w:pPr>
            <w:r w:rsidRPr="00403B66">
              <w:rPr>
                <w:bCs/>
                <w:sz w:val="22"/>
                <w:szCs w:val="22"/>
              </w:rPr>
              <w:t>0.439</w:t>
            </w:r>
          </w:p>
        </w:tc>
        <w:tc>
          <w:tcPr>
            <w:tcW w:w="992" w:type="dxa"/>
            <w:vAlign w:val="bottom"/>
          </w:tcPr>
          <w:p w:rsidR="00D65692" w:rsidRPr="008A4578" w:rsidRDefault="00D65692" w:rsidP="004F12D9">
            <w:pPr>
              <w:widowControl w:val="0"/>
              <w:tabs>
                <w:tab w:val="decimal" w:pos="168"/>
              </w:tabs>
              <w:adjustRightInd w:val="0"/>
              <w:spacing w:before="36" w:after="36"/>
              <w:ind w:left="-26" w:right="-108" w:firstLine="0"/>
              <w:jc w:val="left"/>
              <w:textAlignment w:val="baseline"/>
              <w:rPr>
                <w:bCs/>
                <w:sz w:val="22"/>
                <w:szCs w:val="22"/>
              </w:rPr>
            </w:pPr>
            <w:r w:rsidRPr="008A4578">
              <w:rPr>
                <w:bCs/>
                <w:sz w:val="22"/>
                <w:szCs w:val="22"/>
              </w:rPr>
              <w:t>0.073</w:t>
            </w:r>
          </w:p>
        </w:tc>
        <w:tc>
          <w:tcPr>
            <w:tcW w:w="992" w:type="dxa"/>
            <w:vAlign w:val="bottom"/>
          </w:tcPr>
          <w:p w:rsidR="00D65692" w:rsidRPr="00D65692" w:rsidRDefault="00D65692" w:rsidP="001160E4">
            <w:pPr>
              <w:widowControl w:val="0"/>
              <w:tabs>
                <w:tab w:val="decimal" w:pos="282"/>
              </w:tabs>
              <w:adjustRightInd w:val="0"/>
              <w:spacing w:before="36" w:after="36"/>
              <w:ind w:left="-26" w:right="-108" w:firstLine="0"/>
              <w:jc w:val="left"/>
              <w:textAlignment w:val="baseline"/>
              <w:rPr>
                <w:bCs/>
                <w:sz w:val="22"/>
                <w:szCs w:val="22"/>
              </w:rPr>
            </w:pPr>
            <w:r w:rsidRPr="00D65692">
              <w:rPr>
                <w:bCs/>
                <w:sz w:val="22"/>
                <w:szCs w:val="22"/>
              </w:rPr>
              <w:t>0.02</w:t>
            </w:r>
            <w:r w:rsidR="0069184A">
              <w:rPr>
                <w:bCs/>
                <w:sz w:val="22"/>
                <w:szCs w:val="22"/>
              </w:rPr>
              <w:t>3</w:t>
            </w:r>
          </w:p>
        </w:tc>
        <w:tc>
          <w:tcPr>
            <w:tcW w:w="1186" w:type="dxa"/>
            <w:vAlign w:val="bottom"/>
          </w:tcPr>
          <w:p w:rsidR="00D65692" w:rsidRPr="00D65692" w:rsidRDefault="00D65692" w:rsidP="004F12D9">
            <w:pPr>
              <w:widowControl w:val="0"/>
              <w:tabs>
                <w:tab w:val="decimal" w:pos="311"/>
              </w:tabs>
              <w:adjustRightInd w:val="0"/>
              <w:spacing w:before="36" w:after="36"/>
              <w:ind w:left="-26" w:right="-108" w:firstLine="0"/>
              <w:jc w:val="left"/>
              <w:textAlignment w:val="baseline"/>
              <w:rPr>
                <w:bCs/>
                <w:sz w:val="22"/>
                <w:szCs w:val="22"/>
              </w:rPr>
            </w:pPr>
            <w:r w:rsidRPr="00D65692">
              <w:rPr>
                <w:bCs/>
                <w:sz w:val="22"/>
                <w:szCs w:val="22"/>
              </w:rPr>
              <w:t>54.47</w:t>
            </w:r>
            <w:r w:rsidR="0069184A">
              <w:rPr>
                <w:bCs/>
                <w:sz w:val="22"/>
                <w:szCs w:val="22"/>
              </w:rPr>
              <w:t>4</w:t>
            </w:r>
          </w:p>
        </w:tc>
      </w:tr>
      <w:tr w:rsidR="00D65692" w:rsidTr="001160E4">
        <w:trPr>
          <w:jc w:val="center"/>
        </w:trPr>
        <w:tc>
          <w:tcPr>
            <w:tcW w:w="1827" w:type="dxa"/>
          </w:tcPr>
          <w:p w:rsidR="00D65692" w:rsidRPr="00F3332B" w:rsidRDefault="00D65692" w:rsidP="0086246B">
            <w:pPr>
              <w:pStyle w:val="Normaali1"/>
              <w:spacing w:before="60" w:after="60" w:line="240" w:lineRule="auto"/>
              <w:ind w:left="-4" w:right="-115"/>
              <w:jc w:val="left"/>
              <w:rPr>
                <w:rFonts w:ascii="Times New Roman" w:hAnsi="Times New Roman"/>
                <w:sz w:val="22"/>
                <w:szCs w:val="22"/>
              </w:rPr>
            </w:pPr>
            <w:r>
              <w:rPr>
                <w:rFonts w:ascii="Times New Roman" w:hAnsi="Times New Roman"/>
                <w:sz w:val="22"/>
                <w:szCs w:val="22"/>
              </w:rPr>
              <w:t>A</w:t>
            </w: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2</w:t>
            </w:r>
            <w:r w:rsidRPr="00F3332B">
              <w:rPr>
                <w:rFonts w:ascii="Times New Roman" w:hAnsi="Times New Roman"/>
                <w:sz w:val="22"/>
                <w:szCs w:val="22"/>
              </w:rPr>
              <w:t>)</w:t>
            </w:r>
          </w:p>
        </w:tc>
        <w:tc>
          <w:tcPr>
            <w:tcW w:w="1021" w:type="dxa"/>
            <w:vAlign w:val="bottom"/>
          </w:tcPr>
          <w:p w:rsidR="00D65692" w:rsidRPr="008A4578" w:rsidRDefault="00D65692" w:rsidP="001160E4">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58.733</w:t>
            </w:r>
          </w:p>
        </w:tc>
        <w:tc>
          <w:tcPr>
            <w:tcW w:w="992" w:type="dxa"/>
            <w:vAlign w:val="bottom"/>
          </w:tcPr>
          <w:p w:rsidR="00D65692" w:rsidRPr="00403B66" w:rsidRDefault="00D65692" w:rsidP="00793C58">
            <w:pPr>
              <w:widowControl w:val="0"/>
              <w:tabs>
                <w:tab w:val="decimal" w:pos="168"/>
              </w:tabs>
              <w:adjustRightInd w:val="0"/>
              <w:spacing w:before="36" w:after="36"/>
              <w:ind w:left="-26" w:right="-108" w:firstLine="0"/>
              <w:jc w:val="left"/>
              <w:textAlignment w:val="baseline"/>
              <w:rPr>
                <w:bCs/>
                <w:sz w:val="22"/>
                <w:szCs w:val="22"/>
              </w:rPr>
            </w:pPr>
            <w:r w:rsidRPr="00403B66">
              <w:rPr>
                <w:bCs/>
                <w:sz w:val="22"/>
                <w:szCs w:val="22"/>
              </w:rPr>
              <w:t>0.446</w:t>
            </w:r>
          </w:p>
        </w:tc>
        <w:tc>
          <w:tcPr>
            <w:tcW w:w="992" w:type="dxa"/>
            <w:vAlign w:val="bottom"/>
          </w:tcPr>
          <w:p w:rsidR="00D65692" w:rsidRPr="008A4578" w:rsidRDefault="00D65692" w:rsidP="004F12D9">
            <w:pPr>
              <w:widowControl w:val="0"/>
              <w:tabs>
                <w:tab w:val="decimal" w:pos="168"/>
              </w:tabs>
              <w:adjustRightInd w:val="0"/>
              <w:spacing w:before="36" w:after="36"/>
              <w:ind w:left="-26" w:right="-108" w:firstLine="0"/>
              <w:jc w:val="left"/>
              <w:textAlignment w:val="baseline"/>
              <w:rPr>
                <w:bCs/>
                <w:sz w:val="22"/>
                <w:szCs w:val="22"/>
              </w:rPr>
            </w:pPr>
            <w:r w:rsidRPr="008A4578">
              <w:rPr>
                <w:bCs/>
                <w:sz w:val="22"/>
                <w:szCs w:val="22"/>
              </w:rPr>
              <w:t>0.632</w:t>
            </w:r>
          </w:p>
        </w:tc>
        <w:tc>
          <w:tcPr>
            <w:tcW w:w="992" w:type="dxa"/>
            <w:vAlign w:val="bottom"/>
          </w:tcPr>
          <w:p w:rsidR="00D65692" w:rsidRPr="008A4578" w:rsidRDefault="00D65692" w:rsidP="001160E4">
            <w:pPr>
              <w:widowControl w:val="0"/>
              <w:tabs>
                <w:tab w:val="decimal" w:pos="282"/>
              </w:tabs>
              <w:adjustRightInd w:val="0"/>
              <w:spacing w:before="36" w:after="36"/>
              <w:ind w:left="-26" w:right="-108" w:firstLine="0"/>
              <w:jc w:val="left"/>
              <w:textAlignment w:val="baseline"/>
              <w:rPr>
                <w:bCs/>
                <w:sz w:val="22"/>
                <w:szCs w:val="22"/>
              </w:rPr>
            </w:pPr>
            <w:r w:rsidRPr="008A4578">
              <w:rPr>
                <w:bCs/>
                <w:sz w:val="22"/>
                <w:szCs w:val="22"/>
              </w:rPr>
              <w:t>0.605</w:t>
            </w:r>
          </w:p>
        </w:tc>
        <w:tc>
          <w:tcPr>
            <w:tcW w:w="1186" w:type="dxa"/>
            <w:vAlign w:val="bottom"/>
          </w:tcPr>
          <w:p w:rsidR="00D65692" w:rsidRPr="008A4578" w:rsidRDefault="00D65692" w:rsidP="004F12D9">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54.642</w:t>
            </w:r>
          </w:p>
        </w:tc>
      </w:tr>
      <w:tr w:rsidR="00D65692" w:rsidTr="001160E4">
        <w:trPr>
          <w:jc w:val="center"/>
        </w:trPr>
        <w:tc>
          <w:tcPr>
            <w:tcW w:w="1827" w:type="dxa"/>
          </w:tcPr>
          <w:p w:rsidR="00D65692" w:rsidRPr="00F3332B" w:rsidRDefault="00D65692" w:rsidP="00661FF2">
            <w:pPr>
              <w:pStyle w:val="Normaali1"/>
              <w:spacing w:before="60" w:after="60" w:line="240" w:lineRule="auto"/>
              <w:ind w:right="-84" w:firstLine="6"/>
              <w:rPr>
                <w:rFonts w:ascii="Times New Roman" w:hAnsi="Times New Roman"/>
                <w:sz w:val="22"/>
                <w:szCs w:val="22"/>
              </w:rPr>
            </w:pPr>
            <w:r>
              <w:rPr>
                <w:rFonts w:ascii="Times New Roman" w:hAnsi="Times New Roman"/>
                <w:sz w:val="22"/>
                <w:szCs w:val="22"/>
              </w:rPr>
              <w:t xml:space="preserve">Optimal </w:t>
            </w:r>
            <w:r w:rsidRPr="00F3332B">
              <w:rPr>
                <w:rFonts w:ascii="Times New Roman" w:hAnsi="Times New Roman"/>
                <w:color w:val="000000"/>
                <w:sz w:val="22"/>
                <w:szCs w:val="22"/>
                <w:lang w:val="en-GB"/>
              </w:rPr>
              <w:t>δ</w:t>
            </w:r>
            <w:r>
              <w:rPr>
                <w:rFonts w:ascii="Times New Roman" w:hAnsi="Times New Roman"/>
                <w:color w:val="000000"/>
                <w:sz w:val="22"/>
                <w:szCs w:val="22"/>
                <w:lang w:val="en-GB"/>
              </w:rPr>
              <w:t xml:space="preserve"> FLQ</w:t>
            </w:r>
          </w:p>
        </w:tc>
        <w:tc>
          <w:tcPr>
            <w:tcW w:w="1021" w:type="dxa"/>
            <w:vAlign w:val="bottom"/>
          </w:tcPr>
          <w:p w:rsidR="00D65692" w:rsidRPr="008A4578" w:rsidRDefault="00D65692" w:rsidP="001160E4">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0.118</w:t>
            </w:r>
          </w:p>
        </w:tc>
        <w:tc>
          <w:tcPr>
            <w:tcW w:w="992" w:type="dxa"/>
            <w:vAlign w:val="bottom"/>
          </w:tcPr>
          <w:p w:rsidR="00D65692" w:rsidRPr="008A4578" w:rsidRDefault="00D65692" w:rsidP="00793C58">
            <w:pPr>
              <w:widowControl w:val="0"/>
              <w:tabs>
                <w:tab w:val="decimal" w:pos="168"/>
              </w:tabs>
              <w:adjustRightInd w:val="0"/>
              <w:spacing w:before="36" w:after="36"/>
              <w:ind w:left="-26" w:right="-108" w:firstLine="0"/>
              <w:jc w:val="left"/>
              <w:textAlignment w:val="baseline"/>
              <w:rPr>
                <w:bCs/>
                <w:sz w:val="22"/>
                <w:szCs w:val="22"/>
              </w:rPr>
            </w:pPr>
            <w:r w:rsidRPr="008A4578">
              <w:rPr>
                <w:bCs/>
                <w:sz w:val="22"/>
                <w:szCs w:val="22"/>
              </w:rPr>
              <w:t>0.008</w:t>
            </w:r>
          </w:p>
        </w:tc>
        <w:tc>
          <w:tcPr>
            <w:tcW w:w="992" w:type="dxa"/>
            <w:vAlign w:val="bottom"/>
          </w:tcPr>
          <w:p w:rsidR="00D65692" w:rsidRPr="008A4578" w:rsidRDefault="00D65692" w:rsidP="004F12D9">
            <w:pPr>
              <w:widowControl w:val="0"/>
              <w:tabs>
                <w:tab w:val="decimal" w:pos="168"/>
              </w:tabs>
              <w:adjustRightInd w:val="0"/>
              <w:spacing w:before="36" w:after="36"/>
              <w:ind w:left="-26" w:right="-108" w:firstLine="0"/>
              <w:jc w:val="left"/>
              <w:textAlignment w:val="baseline"/>
              <w:rPr>
                <w:bCs/>
                <w:sz w:val="22"/>
                <w:szCs w:val="22"/>
              </w:rPr>
            </w:pPr>
            <w:r w:rsidRPr="008A4578">
              <w:rPr>
                <w:bCs/>
                <w:sz w:val="22"/>
                <w:szCs w:val="22"/>
              </w:rPr>
              <w:t>0.087</w:t>
            </w:r>
          </w:p>
        </w:tc>
        <w:tc>
          <w:tcPr>
            <w:tcW w:w="992" w:type="dxa"/>
            <w:vAlign w:val="bottom"/>
          </w:tcPr>
          <w:p w:rsidR="00D65692" w:rsidRPr="008A4578" w:rsidRDefault="00D65692" w:rsidP="001160E4">
            <w:pPr>
              <w:widowControl w:val="0"/>
              <w:tabs>
                <w:tab w:val="decimal" w:pos="282"/>
              </w:tabs>
              <w:adjustRightInd w:val="0"/>
              <w:spacing w:before="36" w:after="36"/>
              <w:ind w:left="-26" w:right="-108" w:firstLine="0"/>
              <w:jc w:val="left"/>
              <w:textAlignment w:val="baseline"/>
              <w:rPr>
                <w:bCs/>
                <w:sz w:val="22"/>
                <w:szCs w:val="22"/>
              </w:rPr>
            </w:pPr>
            <w:r w:rsidRPr="008A4578">
              <w:rPr>
                <w:bCs/>
                <w:sz w:val="22"/>
                <w:szCs w:val="22"/>
              </w:rPr>
              <w:t>0.126</w:t>
            </w:r>
          </w:p>
        </w:tc>
        <w:tc>
          <w:tcPr>
            <w:tcW w:w="1186" w:type="dxa"/>
            <w:vAlign w:val="bottom"/>
          </w:tcPr>
          <w:p w:rsidR="00D65692" w:rsidRPr="008A4578" w:rsidRDefault="00D65692" w:rsidP="004F12D9">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0.139</w:t>
            </w:r>
          </w:p>
        </w:tc>
      </w:tr>
      <w:tr w:rsidR="00D65692" w:rsidTr="001160E4">
        <w:trPr>
          <w:jc w:val="center"/>
        </w:trPr>
        <w:tc>
          <w:tcPr>
            <w:tcW w:w="1827" w:type="dxa"/>
          </w:tcPr>
          <w:p w:rsidR="00D65692" w:rsidRDefault="00D65692" w:rsidP="00661FF2">
            <w:pPr>
              <w:pStyle w:val="Normaali1"/>
              <w:spacing w:before="60" w:after="60" w:line="240" w:lineRule="auto"/>
              <w:ind w:right="-84" w:firstLine="6"/>
              <w:rPr>
                <w:rFonts w:ascii="Times New Roman" w:hAnsi="Times New Roman"/>
                <w:sz w:val="22"/>
                <w:szCs w:val="22"/>
              </w:rPr>
            </w:pPr>
            <w:r>
              <w:rPr>
                <w:rFonts w:ascii="Times New Roman" w:hAnsi="Times New Roman"/>
                <w:sz w:val="22"/>
                <w:szCs w:val="22"/>
              </w:rPr>
              <w:t xml:space="preserve">Optimal </w:t>
            </w:r>
            <w:r w:rsidRPr="00F3332B">
              <w:rPr>
                <w:rFonts w:ascii="Times New Roman" w:hAnsi="Times New Roman"/>
                <w:color w:val="000000"/>
                <w:sz w:val="22"/>
                <w:szCs w:val="22"/>
                <w:lang w:val="en-GB"/>
              </w:rPr>
              <w:t>δ</w:t>
            </w:r>
            <w:r>
              <w:rPr>
                <w:rFonts w:ascii="Times New Roman" w:hAnsi="Times New Roman"/>
                <w:color w:val="000000"/>
                <w:sz w:val="22"/>
                <w:szCs w:val="22"/>
                <w:lang w:val="en-GB"/>
              </w:rPr>
              <w:t xml:space="preserve"> AFLQ</w:t>
            </w:r>
          </w:p>
        </w:tc>
        <w:tc>
          <w:tcPr>
            <w:tcW w:w="1021" w:type="dxa"/>
            <w:vAlign w:val="bottom"/>
          </w:tcPr>
          <w:p w:rsidR="00D65692" w:rsidRPr="008A4578" w:rsidRDefault="00D65692" w:rsidP="001160E4">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0.149</w:t>
            </w:r>
          </w:p>
        </w:tc>
        <w:tc>
          <w:tcPr>
            <w:tcW w:w="992" w:type="dxa"/>
            <w:vAlign w:val="bottom"/>
          </w:tcPr>
          <w:p w:rsidR="00D65692" w:rsidRPr="008A4578" w:rsidRDefault="00D65692" w:rsidP="00793C58">
            <w:pPr>
              <w:widowControl w:val="0"/>
              <w:tabs>
                <w:tab w:val="decimal" w:pos="168"/>
              </w:tabs>
              <w:adjustRightInd w:val="0"/>
              <w:spacing w:before="36" w:after="36"/>
              <w:ind w:left="-26" w:right="-108" w:firstLine="0"/>
              <w:jc w:val="left"/>
              <w:textAlignment w:val="baseline"/>
              <w:rPr>
                <w:bCs/>
                <w:sz w:val="22"/>
                <w:szCs w:val="22"/>
              </w:rPr>
            </w:pPr>
            <w:r w:rsidRPr="008A4578">
              <w:rPr>
                <w:bCs/>
                <w:sz w:val="22"/>
                <w:szCs w:val="22"/>
              </w:rPr>
              <w:t>0.120</w:t>
            </w:r>
          </w:p>
        </w:tc>
        <w:tc>
          <w:tcPr>
            <w:tcW w:w="992" w:type="dxa"/>
            <w:vAlign w:val="bottom"/>
          </w:tcPr>
          <w:p w:rsidR="00D65692" w:rsidRPr="008A4578" w:rsidRDefault="00D65692" w:rsidP="004F12D9">
            <w:pPr>
              <w:widowControl w:val="0"/>
              <w:tabs>
                <w:tab w:val="decimal" w:pos="168"/>
              </w:tabs>
              <w:adjustRightInd w:val="0"/>
              <w:spacing w:before="36" w:after="36"/>
              <w:ind w:left="-26" w:right="-108" w:firstLine="0"/>
              <w:jc w:val="left"/>
              <w:textAlignment w:val="baseline"/>
              <w:rPr>
                <w:bCs/>
                <w:sz w:val="22"/>
                <w:szCs w:val="22"/>
              </w:rPr>
            </w:pPr>
            <w:r w:rsidRPr="008A4578">
              <w:rPr>
                <w:bCs/>
                <w:sz w:val="22"/>
                <w:szCs w:val="22"/>
              </w:rPr>
              <w:t>0.125</w:t>
            </w:r>
          </w:p>
        </w:tc>
        <w:tc>
          <w:tcPr>
            <w:tcW w:w="992" w:type="dxa"/>
            <w:vAlign w:val="bottom"/>
          </w:tcPr>
          <w:p w:rsidR="00D65692" w:rsidRPr="008A4578" w:rsidRDefault="00D65692" w:rsidP="001160E4">
            <w:pPr>
              <w:widowControl w:val="0"/>
              <w:tabs>
                <w:tab w:val="decimal" w:pos="282"/>
              </w:tabs>
              <w:adjustRightInd w:val="0"/>
              <w:spacing w:before="36" w:after="36"/>
              <w:ind w:left="-26" w:right="-108" w:firstLine="0"/>
              <w:jc w:val="left"/>
              <w:textAlignment w:val="baseline"/>
              <w:rPr>
                <w:bCs/>
                <w:sz w:val="22"/>
                <w:szCs w:val="22"/>
              </w:rPr>
            </w:pPr>
            <w:r w:rsidRPr="008A4578">
              <w:rPr>
                <w:bCs/>
                <w:sz w:val="22"/>
                <w:szCs w:val="22"/>
              </w:rPr>
              <w:t>0.138</w:t>
            </w:r>
          </w:p>
        </w:tc>
        <w:tc>
          <w:tcPr>
            <w:tcW w:w="1186" w:type="dxa"/>
            <w:vAlign w:val="bottom"/>
          </w:tcPr>
          <w:p w:rsidR="00D65692" w:rsidRPr="008A4578" w:rsidRDefault="00D65692" w:rsidP="004F12D9">
            <w:pPr>
              <w:widowControl w:val="0"/>
              <w:tabs>
                <w:tab w:val="decimal" w:pos="311"/>
              </w:tabs>
              <w:adjustRightInd w:val="0"/>
              <w:spacing w:before="36" w:after="36"/>
              <w:ind w:left="-26" w:right="-108" w:firstLine="0"/>
              <w:jc w:val="left"/>
              <w:textAlignment w:val="baseline"/>
              <w:rPr>
                <w:bCs/>
                <w:sz w:val="22"/>
                <w:szCs w:val="22"/>
              </w:rPr>
            </w:pPr>
            <w:r w:rsidRPr="008A4578">
              <w:rPr>
                <w:bCs/>
                <w:sz w:val="22"/>
                <w:szCs w:val="22"/>
              </w:rPr>
              <w:t>0.151</w:t>
            </w:r>
          </w:p>
        </w:tc>
      </w:tr>
    </w:tbl>
    <w:p w:rsidR="002A6C3D" w:rsidRPr="00891059" w:rsidRDefault="002A6C3D" w:rsidP="002A6C3D">
      <w:pPr>
        <w:tabs>
          <w:tab w:val="left" w:pos="1134"/>
        </w:tabs>
        <w:spacing w:before="120"/>
        <w:ind w:firstLine="0"/>
        <w:rPr>
          <w:lang w:val="en-US"/>
        </w:rPr>
      </w:pPr>
      <w:r>
        <w:rPr>
          <w:lang w:val="en-US"/>
        </w:rPr>
        <w:tab/>
      </w:r>
    </w:p>
    <w:p w:rsidR="003C2FD9" w:rsidRDefault="003C2FD9">
      <w:pPr>
        <w:spacing w:after="0"/>
        <w:ind w:firstLine="0"/>
        <w:jc w:val="left"/>
        <w:rPr>
          <w:color w:val="000000"/>
          <w:szCs w:val="26"/>
        </w:rPr>
      </w:pPr>
    </w:p>
    <w:p w:rsidR="002A6C3D" w:rsidRDefault="002A6C3D">
      <w:pPr>
        <w:spacing w:after="0"/>
        <w:ind w:firstLine="0"/>
        <w:jc w:val="left"/>
        <w:rPr>
          <w:color w:val="000000"/>
          <w:szCs w:val="26"/>
        </w:rPr>
      </w:pPr>
      <w:r>
        <w:rPr>
          <w:color w:val="000000"/>
          <w:szCs w:val="26"/>
        </w:rPr>
        <w:br w:type="page"/>
      </w:r>
    </w:p>
    <w:p w:rsidR="002D5668" w:rsidRDefault="002D5668" w:rsidP="009B04C5">
      <w:pPr>
        <w:ind w:left="851" w:right="662" w:firstLine="0"/>
        <w:jc w:val="left"/>
        <w:rPr>
          <w:color w:val="000000"/>
          <w:szCs w:val="26"/>
        </w:rPr>
      </w:pPr>
      <w:proofErr w:type="gramStart"/>
      <w:r w:rsidRPr="00C46245">
        <w:rPr>
          <w:color w:val="000000"/>
          <w:szCs w:val="26"/>
        </w:rPr>
        <w:lastRenderedPageBreak/>
        <w:t>T</w:t>
      </w:r>
      <w:r>
        <w:rPr>
          <w:color w:val="000000"/>
          <w:szCs w:val="26"/>
        </w:rPr>
        <w:t xml:space="preserve">ABLE </w:t>
      </w:r>
      <w:r w:rsidR="00F31790">
        <w:rPr>
          <w:color w:val="000000"/>
          <w:szCs w:val="26"/>
        </w:rPr>
        <w:t>3</w:t>
      </w:r>
      <w:r w:rsidRPr="00C46245">
        <w:rPr>
          <w:color w:val="000000"/>
          <w:szCs w:val="26"/>
        </w:rPr>
        <w:t>.</w:t>
      </w:r>
      <w:proofErr w:type="gramEnd"/>
      <w:r>
        <w:rPr>
          <w:color w:val="000000"/>
          <w:szCs w:val="26"/>
        </w:rPr>
        <w:t xml:space="preserve">  </w:t>
      </w:r>
      <w:r w:rsidRPr="005C4B7A">
        <w:rPr>
          <w:color w:val="000000"/>
          <w:szCs w:val="26"/>
        </w:rPr>
        <w:t>Assessment of accuracy using different criteria: sectoral type I</w:t>
      </w:r>
      <w:r>
        <w:rPr>
          <w:color w:val="000000"/>
          <w:szCs w:val="26"/>
        </w:rPr>
        <w:t xml:space="preserve"> </w:t>
      </w:r>
      <w:r w:rsidRPr="005C4B7A">
        <w:rPr>
          <w:color w:val="000000"/>
          <w:szCs w:val="26"/>
        </w:rPr>
        <w:t xml:space="preserve">output multipliers for </w:t>
      </w:r>
      <w:r w:rsidR="0024163C" w:rsidRPr="0024163C">
        <w:rPr>
          <w:lang w:val="en-US"/>
        </w:rPr>
        <w:t>Córdoba</w:t>
      </w:r>
      <w:r w:rsidR="0024163C">
        <w:rPr>
          <w:b/>
          <w:lang w:val="en-US"/>
        </w:rPr>
        <w:t xml:space="preserve"> </w:t>
      </w:r>
      <w:r w:rsidRPr="005C4B7A">
        <w:rPr>
          <w:color w:val="000000"/>
          <w:szCs w:val="26"/>
        </w:rPr>
        <w:t>in 200</w:t>
      </w:r>
      <w:r w:rsidR="0024163C">
        <w:rPr>
          <w:color w:val="000000"/>
          <w:szCs w:val="26"/>
        </w:rPr>
        <w:t>3</w:t>
      </w:r>
      <w:r w:rsidR="002A6C3D">
        <w:rPr>
          <w:color w:val="000000"/>
          <w:szCs w:val="26"/>
        </w:rPr>
        <w:t xml:space="preserve"> (</w:t>
      </w:r>
      <w:r w:rsidR="00DC325B">
        <w:rPr>
          <w:i/>
          <w:color w:val="000000"/>
          <w:szCs w:val="26"/>
        </w:rPr>
        <w:t>n</w:t>
      </w:r>
      <w:r w:rsidR="002A6C3D">
        <w:rPr>
          <w:color w:val="000000"/>
          <w:szCs w:val="26"/>
        </w:rPr>
        <w:t xml:space="preserve"> = 28)</w:t>
      </w:r>
    </w:p>
    <w:tbl>
      <w:tblPr>
        <w:tblW w:w="7535" w:type="dxa"/>
        <w:jc w:val="center"/>
        <w:tblInd w:w="2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07"/>
        <w:gridCol w:w="992"/>
        <w:gridCol w:w="851"/>
        <w:gridCol w:w="884"/>
        <w:gridCol w:w="992"/>
        <w:gridCol w:w="992"/>
        <w:gridCol w:w="1017"/>
      </w:tblGrid>
      <w:tr w:rsidR="00343159" w:rsidTr="000639CA">
        <w:trPr>
          <w:trHeight w:val="375"/>
          <w:jc w:val="center"/>
        </w:trPr>
        <w:tc>
          <w:tcPr>
            <w:tcW w:w="1807" w:type="dxa"/>
            <w:vMerge w:val="restart"/>
          </w:tcPr>
          <w:p w:rsidR="00343159" w:rsidRPr="00F3332B" w:rsidRDefault="00343159" w:rsidP="008E2749">
            <w:pPr>
              <w:pStyle w:val="Normaali1"/>
              <w:spacing w:before="60" w:after="60" w:line="240" w:lineRule="auto"/>
              <w:ind w:left="5" w:right="125"/>
              <w:rPr>
                <w:rFonts w:ascii="Times New Roman" w:hAnsi="Times New Roman"/>
                <w:sz w:val="22"/>
                <w:szCs w:val="22"/>
              </w:rPr>
            </w:pPr>
          </w:p>
          <w:p w:rsidR="00343159" w:rsidRPr="00F3332B" w:rsidRDefault="00343159" w:rsidP="008E2749">
            <w:pPr>
              <w:pStyle w:val="Normaali1"/>
              <w:spacing w:before="60" w:after="60" w:line="240" w:lineRule="auto"/>
              <w:ind w:left="-4" w:right="125"/>
              <w:rPr>
                <w:rFonts w:ascii="Times New Roman" w:hAnsi="Times New Roman"/>
                <w:sz w:val="22"/>
                <w:szCs w:val="22"/>
              </w:rPr>
            </w:pPr>
            <w:r w:rsidRPr="00F3332B">
              <w:rPr>
                <w:rFonts w:ascii="Times New Roman" w:hAnsi="Times New Roman"/>
                <w:sz w:val="22"/>
                <w:szCs w:val="22"/>
              </w:rPr>
              <w:t>Method</w:t>
            </w:r>
          </w:p>
        </w:tc>
        <w:tc>
          <w:tcPr>
            <w:tcW w:w="5728" w:type="dxa"/>
            <w:gridSpan w:val="6"/>
          </w:tcPr>
          <w:p w:rsidR="00343159" w:rsidRPr="00F3332B" w:rsidRDefault="00343159" w:rsidP="008E2749">
            <w:pPr>
              <w:pStyle w:val="Normaali1"/>
              <w:spacing w:before="60" w:after="60" w:line="240" w:lineRule="auto"/>
              <w:ind w:left="-37" w:right="284"/>
              <w:jc w:val="center"/>
              <w:rPr>
                <w:rFonts w:ascii="Times New Roman" w:hAnsi="Times New Roman"/>
                <w:sz w:val="22"/>
                <w:szCs w:val="22"/>
              </w:rPr>
            </w:pPr>
            <w:r w:rsidRPr="00F3332B">
              <w:rPr>
                <w:rFonts w:ascii="Times New Roman" w:hAnsi="Times New Roman"/>
                <w:sz w:val="22"/>
                <w:szCs w:val="22"/>
              </w:rPr>
              <w:t>Criterion</w:t>
            </w:r>
          </w:p>
        </w:tc>
      </w:tr>
      <w:tr w:rsidR="00343159" w:rsidTr="00753933">
        <w:trPr>
          <w:trHeight w:val="375"/>
          <w:jc w:val="center"/>
        </w:trPr>
        <w:tc>
          <w:tcPr>
            <w:tcW w:w="1807" w:type="dxa"/>
            <w:vMerge/>
          </w:tcPr>
          <w:p w:rsidR="00343159" w:rsidRPr="00F3332B" w:rsidRDefault="00343159" w:rsidP="008E2749">
            <w:pPr>
              <w:pStyle w:val="Normaali1"/>
              <w:tabs>
                <w:tab w:val="left" w:pos="360"/>
                <w:tab w:val="left" w:pos="972"/>
              </w:tabs>
              <w:spacing w:before="60" w:after="60" w:line="240" w:lineRule="auto"/>
              <w:ind w:left="397" w:right="284"/>
              <w:rPr>
                <w:rFonts w:ascii="Times New Roman" w:hAnsi="Times New Roman"/>
                <w:sz w:val="22"/>
                <w:szCs w:val="22"/>
              </w:rPr>
            </w:pPr>
          </w:p>
        </w:tc>
        <w:tc>
          <w:tcPr>
            <w:tcW w:w="992" w:type="dxa"/>
          </w:tcPr>
          <w:p w:rsidR="00343159" w:rsidRPr="00F3332B" w:rsidRDefault="00343159" w:rsidP="007D2440">
            <w:pPr>
              <w:pStyle w:val="Normaali1"/>
              <w:spacing w:before="60" w:after="60" w:line="240" w:lineRule="auto"/>
              <w:ind w:left="-115" w:right="-115"/>
              <w:jc w:val="center"/>
              <w:rPr>
                <w:rFonts w:ascii="Times New Roman" w:hAnsi="Times New Roman"/>
                <w:sz w:val="22"/>
                <w:szCs w:val="22"/>
              </w:rPr>
            </w:pPr>
            <w:r>
              <w:rPr>
                <w:rFonts w:ascii="Times New Roman" w:hAnsi="Times New Roman"/>
                <w:sz w:val="22"/>
                <w:szCs w:val="22"/>
              </w:rPr>
              <w:t>MPE</w:t>
            </w:r>
          </w:p>
        </w:tc>
        <w:tc>
          <w:tcPr>
            <w:tcW w:w="851" w:type="dxa"/>
            <w:shd w:val="clear" w:color="auto" w:fill="auto"/>
          </w:tcPr>
          <w:p w:rsidR="00343159" w:rsidRPr="00F3332B" w:rsidRDefault="00343159" w:rsidP="008E2749">
            <w:pPr>
              <w:pStyle w:val="Normaali1"/>
              <w:spacing w:before="60" w:after="60" w:line="240" w:lineRule="auto"/>
              <w:ind w:left="-115" w:right="-115"/>
              <w:jc w:val="center"/>
              <w:rPr>
                <w:rFonts w:ascii="Times New Roman" w:hAnsi="Times New Roman"/>
                <w:sz w:val="22"/>
                <w:szCs w:val="22"/>
              </w:rPr>
            </w:pPr>
            <w:r w:rsidRPr="00F3332B">
              <w:rPr>
                <w:rFonts w:ascii="Times New Roman" w:hAnsi="Times New Roman"/>
                <w:sz w:val="22"/>
                <w:szCs w:val="22"/>
              </w:rPr>
              <w:t>STPE</w:t>
            </w:r>
          </w:p>
        </w:tc>
        <w:tc>
          <w:tcPr>
            <w:tcW w:w="884" w:type="dxa"/>
            <w:shd w:val="clear" w:color="auto" w:fill="auto"/>
          </w:tcPr>
          <w:p w:rsidR="00343159" w:rsidRPr="00F3332B" w:rsidRDefault="00343159" w:rsidP="008E2749">
            <w:pPr>
              <w:pStyle w:val="Normaali1"/>
              <w:spacing w:before="60" w:after="60" w:line="240" w:lineRule="auto"/>
              <w:ind w:left="-115" w:right="-115"/>
              <w:jc w:val="center"/>
              <w:rPr>
                <w:rFonts w:ascii="Times New Roman" w:hAnsi="Times New Roman"/>
                <w:sz w:val="22"/>
                <w:szCs w:val="22"/>
              </w:rPr>
            </w:pPr>
            <w:r>
              <w:rPr>
                <w:rFonts w:ascii="Times New Roman" w:hAnsi="Times New Roman"/>
                <w:sz w:val="22"/>
                <w:szCs w:val="22"/>
              </w:rPr>
              <w:t>WMAE</w:t>
            </w:r>
          </w:p>
        </w:tc>
        <w:tc>
          <w:tcPr>
            <w:tcW w:w="992" w:type="dxa"/>
          </w:tcPr>
          <w:p w:rsidR="00343159" w:rsidRPr="00EF08AF" w:rsidRDefault="00343159" w:rsidP="008E2749">
            <w:pPr>
              <w:pStyle w:val="Normaali1"/>
              <w:spacing w:before="60" w:after="60" w:line="240" w:lineRule="auto"/>
              <w:ind w:right="26" w:hanging="5"/>
              <w:jc w:val="center"/>
              <w:rPr>
                <w:rFonts w:ascii="Times New Roman" w:hAnsi="Times New Roman"/>
                <w:sz w:val="22"/>
                <w:szCs w:val="22"/>
              </w:rPr>
            </w:pPr>
            <w:r w:rsidRPr="00E41343">
              <w:rPr>
                <w:rFonts w:ascii="Times New Roman" w:hAnsi="Times New Roman"/>
                <w:sz w:val="22"/>
                <w:szCs w:val="22"/>
              </w:rPr>
              <w:t>Ũ</w:t>
            </w:r>
            <w:r w:rsidRPr="00E41343">
              <w:rPr>
                <w:rFonts w:ascii="Times New Roman" w:hAnsi="Times New Roman"/>
                <w:sz w:val="22"/>
                <w:szCs w:val="22"/>
                <w:vertAlign w:val="superscript"/>
              </w:rPr>
              <w:t>M</w:t>
            </w:r>
            <w:r>
              <w:rPr>
                <w:rFonts w:ascii="Times New Roman" w:hAnsi="Times New Roman"/>
                <w:szCs w:val="24"/>
              </w:rPr>
              <w:t xml:space="preserve"> </w:t>
            </w:r>
            <w:r w:rsidRPr="00E41343">
              <w:rPr>
                <w:rFonts w:ascii="Times New Roman" w:hAnsi="Times New Roman"/>
                <w:noProof/>
                <w:color w:val="000000"/>
                <w:sz w:val="22"/>
                <w:szCs w:val="22"/>
              </w:rPr>
              <w:t>× 10</w:t>
            </w:r>
            <w:r w:rsidRPr="00E41343">
              <w:rPr>
                <w:rFonts w:ascii="Times New Roman" w:hAnsi="Times New Roman"/>
                <w:noProof/>
                <w:color w:val="000000"/>
                <w:sz w:val="22"/>
                <w:szCs w:val="22"/>
                <w:vertAlign w:val="superscript"/>
              </w:rPr>
              <w:t>3</w:t>
            </w:r>
          </w:p>
        </w:tc>
        <w:tc>
          <w:tcPr>
            <w:tcW w:w="992" w:type="dxa"/>
          </w:tcPr>
          <w:p w:rsidR="00343159" w:rsidRPr="00E41343" w:rsidRDefault="00343159" w:rsidP="008E2749">
            <w:pPr>
              <w:pStyle w:val="Normaali1"/>
              <w:spacing w:before="60" w:after="60" w:line="240" w:lineRule="auto"/>
              <w:ind w:left="-115" w:right="-115"/>
              <w:jc w:val="center"/>
              <w:rPr>
                <w:rFonts w:ascii="Times New Roman" w:hAnsi="Times New Roman"/>
                <w:sz w:val="22"/>
                <w:szCs w:val="22"/>
              </w:rPr>
            </w:pPr>
            <w:r w:rsidRPr="00E41343">
              <w:rPr>
                <w:rFonts w:ascii="Times New Roman" w:hAnsi="Times New Roman"/>
                <w:sz w:val="22"/>
                <w:szCs w:val="22"/>
              </w:rPr>
              <w:t>Ũ</w:t>
            </w:r>
            <w:r w:rsidRPr="00E41343">
              <w:rPr>
                <w:rFonts w:ascii="Times New Roman" w:hAnsi="Times New Roman"/>
                <w:sz w:val="22"/>
                <w:szCs w:val="22"/>
                <w:vertAlign w:val="superscript"/>
              </w:rPr>
              <w:t>S</w:t>
            </w:r>
            <w:r w:rsidRPr="00E41343">
              <w:rPr>
                <w:rFonts w:ascii="Times New Roman" w:hAnsi="Times New Roman"/>
                <w:sz w:val="22"/>
                <w:szCs w:val="22"/>
              </w:rPr>
              <w:t xml:space="preserve"> </w:t>
            </w:r>
            <w:r w:rsidRPr="00E41343">
              <w:rPr>
                <w:rFonts w:ascii="Times New Roman" w:hAnsi="Times New Roman"/>
                <w:noProof/>
                <w:color w:val="000000"/>
                <w:sz w:val="22"/>
                <w:szCs w:val="22"/>
              </w:rPr>
              <w:t>× 10</w:t>
            </w:r>
            <w:r w:rsidRPr="00E41343">
              <w:rPr>
                <w:rFonts w:ascii="Times New Roman" w:hAnsi="Times New Roman"/>
                <w:noProof/>
                <w:color w:val="000000"/>
                <w:sz w:val="22"/>
                <w:szCs w:val="22"/>
                <w:vertAlign w:val="superscript"/>
              </w:rPr>
              <w:t>3</w:t>
            </w:r>
          </w:p>
        </w:tc>
        <w:tc>
          <w:tcPr>
            <w:tcW w:w="1017" w:type="dxa"/>
          </w:tcPr>
          <w:p w:rsidR="00343159" w:rsidRPr="00F3332B" w:rsidRDefault="00343159" w:rsidP="008E2749">
            <w:pPr>
              <w:pStyle w:val="Normaali1"/>
              <w:spacing w:before="60" w:after="60" w:line="240" w:lineRule="auto"/>
              <w:ind w:left="-115" w:right="-115"/>
              <w:jc w:val="center"/>
              <w:rPr>
                <w:rFonts w:ascii="Times New Roman" w:hAnsi="Times New Roman"/>
                <w:sz w:val="22"/>
                <w:szCs w:val="22"/>
              </w:rPr>
            </w:pPr>
            <w:r>
              <w:rPr>
                <w:rFonts w:ascii="Times New Roman" w:hAnsi="Times New Roman"/>
                <w:sz w:val="22"/>
                <w:szCs w:val="22"/>
              </w:rPr>
              <w:t>U</w:t>
            </w:r>
          </w:p>
        </w:tc>
      </w:tr>
      <w:tr w:rsidR="00A27E10" w:rsidTr="00753933">
        <w:trPr>
          <w:jc w:val="center"/>
        </w:trPr>
        <w:tc>
          <w:tcPr>
            <w:tcW w:w="1807" w:type="dxa"/>
          </w:tcPr>
          <w:p w:rsidR="00A27E10" w:rsidRPr="00F3332B" w:rsidRDefault="00A27E10" w:rsidP="008E2749">
            <w:pPr>
              <w:pStyle w:val="Normaali1"/>
              <w:tabs>
                <w:tab w:val="left" w:pos="360"/>
                <w:tab w:val="left" w:pos="972"/>
              </w:tabs>
              <w:spacing w:before="60" w:after="60" w:line="240" w:lineRule="auto"/>
              <w:ind w:left="403" w:right="288" w:hanging="397"/>
              <w:rPr>
                <w:rFonts w:ascii="Times New Roman" w:hAnsi="Times New Roman"/>
                <w:sz w:val="22"/>
                <w:szCs w:val="22"/>
              </w:rPr>
            </w:pPr>
            <w:r w:rsidRPr="00F3332B">
              <w:rPr>
                <w:rFonts w:ascii="Times New Roman" w:hAnsi="Times New Roman"/>
                <w:sz w:val="22"/>
                <w:szCs w:val="22"/>
              </w:rPr>
              <w:t>SLQ</w:t>
            </w:r>
          </w:p>
        </w:tc>
        <w:tc>
          <w:tcPr>
            <w:tcW w:w="992" w:type="dxa"/>
            <w:vAlign w:val="bottom"/>
          </w:tcPr>
          <w:p w:rsidR="00A27E10" w:rsidRPr="008A4578" w:rsidRDefault="00A27E10" w:rsidP="00753933">
            <w:pPr>
              <w:widowControl w:val="0"/>
              <w:tabs>
                <w:tab w:val="decimal" w:pos="310"/>
              </w:tabs>
              <w:adjustRightInd w:val="0"/>
              <w:spacing w:before="36" w:after="36"/>
              <w:ind w:left="-26" w:right="-108" w:firstLine="0"/>
              <w:jc w:val="left"/>
              <w:textAlignment w:val="baseline"/>
              <w:rPr>
                <w:bCs/>
                <w:sz w:val="22"/>
                <w:szCs w:val="22"/>
              </w:rPr>
            </w:pPr>
            <w:r w:rsidRPr="008A4578">
              <w:rPr>
                <w:bCs/>
                <w:sz w:val="22"/>
                <w:szCs w:val="22"/>
              </w:rPr>
              <w:t>3.963</w:t>
            </w:r>
          </w:p>
        </w:tc>
        <w:tc>
          <w:tcPr>
            <w:tcW w:w="851"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12.020</w:t>
            </w:r>
          </w:p>
        </w:tc>
        <w:tc>
          <w:tcPr>
            <w:tcW w:w="884"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0.190</w:t>
            </w:r>
          </w:p>
        </w:tc>
        <w:tc>
          <w:tcPr>
            <w:tcW w:w="992"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3.143</w:t>
            </w:r>
          </w:p>
        </w:tc>
        <w:tc>
          <w:tcPr>
            <w:tcW w:w="992" w:type="dxa"/>
            <w:vAlign w:val="bottom"/>
          </w:tcPr>
          <w:p w:rsidR="00A27E10" w:rsidRPr="008A4578" w:rsidRDefault="00A27E10" w:rsidP="003D3501">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13.222</w:t>
            </w:r>
          </w:p>
        </w:tc>
        <w:tc>
          <w:tcPr>
            <w:tcW w:w="1017" w:type="dxa"/>
            <w:vAlign w:val="bottom"/>
          </w:tcPr>
          <w:p w:rsidR="00A27E10" w:rsidRPr="008A4578" w:rsidRDefault="00A27E10" w:rsidP="00982A4C">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14.085</w:t>
            </w:r>
          </w:p>
        </w:tc>
      </w:tr>
      <w:tr w:rsidR="00A27E10" w:rsidTr="00753933">
        <w:trPr>
          <w:jc w:val="center"/>
        </w:trPr>
        <w:tc>
          <w:tcPr>
            <w:tcW w:w="1807" w:type="dxa"/>
          </w:tcPr>
          <w:p w:rsidR="00A27E10" w:rsidRPr="00F3332B" w:rsidRDefault="00A27E10" w:rsidP="00E8494E">
            <w:pPr>
              <w:pStyle w:val="Normaali1"/>
              <w:tabs>
                <w:tab w:val="left" w:pos="360"/>
                <w:tab w:val="left" w:pos="972"/>
              </w:tabs>
              <w:spacing w:before="60" w:after="60" w:line="240" w:lineRule="auto"/>
              <w:ind w:left="403" w:right="288" w:hanging="397"/>
              <w:rPr>
                <w:rFonts w:ascii="Times New Roman" w:hAnsi="Times New Roman"/>
                <w:sz w:val="22"/>
                <w:szCs w:val="22"/>
              </w:rPr>
            </w:pPr>
            <w:r w:rsidRPr="00F3332B">
              <w:rPr>
                <w:rFonts w:ascii="Times New Roman" w:hAnsi="Times New Roman"/>
                <w:sz w:val="22"/>
                <w:szCs w:val="22"/>
              </w:rPr>
              <w:t>CILQ</w:t>
            </w:r>
          </w:p>
        </w:tc>
        <w:tc>
          <w:tcPr>
            <w:tcW w:w="992" w:type="dxa"/>
            <w:vAlign w:val="bottom"/>
          </w:tcPr>
          <w:p w:rsidR="00A27E10" w:rsidRPr="008A4578" w:rsidRDefault="00A27E10" w:rsidP="00753933">
            <w:pPr>
              <w:widowControl w:val="0"/>
              <w:tabs>
                <w:tab w:val="decimal" w:pos="310"/>
              </w:tabs>
              <w:adjustRightInd w:val="0"/>
              <w:spacing w:before="36" w:after="36"/>
              <w:ind w:left="-26" w:right="-108" w:firstLine="0"/>
              <w:jc w:val="left"/>
              <w:textAlignment w:val="baseline"/>
              <w:rPr>
                <w:bCs/>
                <w:sz w:val="22"/>
                <w:szCs w:val="22"/>
              </w:rPr>
            </w:pPr>
            <w:r w:rsidRPr="008A4578">
              <w:rPr>
                <w:bCs/>
                <w:sz w:val="22"/>
                <w:szCs w:val="22"/>
              </w:rPr>
              <w:t>9.182</w:t>
            </w:r>
          </w:p>
        </w:tc>
        <w:tc>
          <w:tcPr>
            <w:tcW w:w="851"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13.089</w:t>
            </w:r>
          </w:p>
        </w:tc>
        <w:tc>
          <w:tcPr>
            <w:tcW w:w="884" w:type="dxa"/>
            <w:vAlign w:val="bottom"/>
          </w:tcPr>
          <w:p w:rsidR="00A27E10" w:rsidRPr="008A4578" w:rsidRDefault="00A27E10" w:rsidP="00753933">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0.08</w:t>
            </w:r>
            <w:r w:rsidR="00753933">
              <w:rPr>
                <w:bCs/>
                <w:sz w:val="22"/>
                <w:szCs w:val="22"/>
              </w:rPr>
              <w:t>4</w:t>
            </w:r>
          </w:p>
        </w:tc>
        <w:tc>
          <w:tcPr>
            <w:tcW w:w="992"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14.680</w:t>
            </w:r>
          </w:p>
        </w:tc>
        <w:tc>
          <w:tcPr>
            <w:tcW w:w="992" w:type="dxa"/>
            <w:vAlign w:val="bottom"/>
          </w:tcPr>
          <w:p w:rsidR="00A27E10" w:rsidRPr="008A4578" w:rsidRDefault="00A27E10" w:rsidP="003D3501">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11.489</w:t>
            </w:r>
          </w:p>
        </w:tc>
        <w:tc>
          <w:tcPr>
            <w:tcW w:w="1017" w:type="dxa"/>
            <w:vAlign w:val="bottom"/>
          </w:tcPr>
          <w:p w:rsidR="00A27E10" w:rsidRPr="008A4578" w:rsidRDefault="00A27E10" w:rsidP="00982A4C">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18.635</w:t>
            </w:r>
          </w:p>
        </w:tc>
      </w:tr>
      <w:tr w:rsidR="00A27E10" w:rsidTr="00753933">
        <w:trPr>
          <w:jc w:val="center"/>
        </w:trPr>
        <w:tc>
          <w:tcPr>
            <w:tcW w:w="1807" w:type="dxa"/>
          </w:tcPr>
          <w:p w:rsidR="00A27E10" w:rsidRPr="00F3332B" w:rsidRDefault="00A27E10" w:rsidP="00404D2B">
            <w:pPr>
              <w:pStyle w:val="Normaali1"/>
              <w:spacing w:before="60" w:after="60" w:line="240" w:lineRule="auto"/>
              <w:ind w:right="-81"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w:t>
            </w:r>
          </w:p>
        </w:tc>
        <w:tc>
          <w:tcPr>
            <w:tcW w:w="992" w:type="dxa"/>
            <w:vAlign w:val="bottom"/>
          </w:tcPr>
          <w:p w:rsidR="00A27E10" w:rsidRPr="008A4578" w:rsidRDefault="00A27E10" w:rsidP="00753933">
            <w:pPr>
              <w:widowControl w:val="0"/>
              <w:tabs>
                <w:tab w:val="decimal" w:pos="310"/>
              </w:tabs>
              <w:adjustRightInd w:val="0"/>
              <w:spacing w:before="36" w:after="36"/>
              <w:ind w:left="-26" w:right="-108" w:firstLine="0"/>
              <w:jc w:val="left"/>
              <w:textAlignment w:val="baseline"/>
              <w:rPr>
                <w:bCs/>
                <w:sz w:val="22"/>
                <w:szCs w:val="22"/>
              </w:rPr>
            </w:pPr>
            <w:r w:rsidRPr="008A4578">
              <w:rPr>
                <w:bCs/>
                <w:sz w:val="22"/>
                <w:szCs w:val="22"/>
              </w:rPr>
              <w:t>3.145</w:t>
            </w:r>
          </w:p>
        </w:tc>
        <w:tc>
          <w:tcPr>
            <w:tcW w:w="851"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8.527</w:t>
            </w:r>
          </w:p>
        </w:tc>
        <w:tc>
          <w:tcPr>
            <w:tcW w:w="884" w:type="dxa"/>
            <w:vAlign w:val="bottom"/>
          </w:tcPr>
          <w:p w:rsidR="00A27E10" w:rsidRPr="008A4578" w:rsidRDefault="00A27E10" w:rsidP="00753933">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0.07</w:t>
            </w:r>
            <w:r w:rsidR="00753933">
              <w:rPr>
                <w:bCs/>
                <w:sz w:val="22"/>
                <w:szCs w:val="22"/>
              </w:rPr>
              <w:t>2</w:t>
            </w:r>
          </w:p>
        </w:tc>
        <w:tc>
          <w:tcPr>
            <w:tcW w:w="992"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1.553</w:t>
            </w:r>
          </w:p>
        </w:tc>
        <w:tc>
          <w:tcPr>
            <w:tcW w:w="992" w:type="dxa"/>
            <w:vAlign w:val="bottom"/>
          </w:tcPr>
          <w:p w:rsidR="00A27E10" w:rsidRPr="008A4578" w:rsidRDefault="00A27E10" w:rsidP="003D3501">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2.343</w:t>
            </w:r>
          </w:p>
        </w:tc>
        <w:tc>
          <w:tcPr>
            <w:tcW w:w="1017" w:type="dxa"/>
            <w:vAlign w:val="bottom"/>
          </w:tcPr>
          <w:p w:rsidR="00A27E10" w:rsidRPr="008A4578" w:rsidRDefault="00A27E10" w:rsidP="00982A4C">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11.646</w:t>
            </w:r>
          </w:p>
        </w:tc>
      </w:tr>
      <w:tr w:rsidR="00A27E10" w:rsidTr="00753933">
        <w:trPr>
          <w:jc w:val="center"/>
        </w:trPr>
        <w:tc>
          <w:tcPr>
            <w:tcW w:w="1807" w:type="dxa"/>
          </w:tcPr>
          <w:p w:rsidR="00A27E10" w:rsidRPr="00F3332B" w:rsidRDefault="00A27E10" w:rsidP="00765736">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05</w:t>
            </w:r>
            <w:r w:rsidRPr="00F3332B">
              <w:rPr>
                <w:rFonts w:ascii="Times New Roman" w:hAnsi="Times New Roman"/>
                <w:sz w:val="22"/>
                <w:szCs w:val="22"/>
              </w:rPr>
              <w:t>)</w:t>
            </w:r>
          </w:p>
        </w:tc>
        <w:tc>
          <w:tcPr>
            <w:tcW w:w="992" w:type="dxa"/>
            <w:vAlign w:val="bottom"/>
          </w:tcPr>
          <w:p w:rsidR="00A27E10" w:rsidRPr="008A4578" w:rsidRDefault="00A27E10" w:rsidP="00753933">
            <w:pPr>
              <w:widowControl w:val="0"/>
              <w:tabs>
                <w:tab w:val="decimal" w:pos="310"/>
              </w:tabs>
              <w:adjustRightInd w:val="0"/>
              <w:spacing w:before="36" w:after="36"/>
              <w:ind w:left="-26" w:right="-108" w:firstLine="0"/>
              <w:jc w:val="left"/>
              <w:textAlignment w:val="baseline"/>
              <w:rPr>
                <w:bCs/>
                <w:sz w:val="22"/>
                <w:szCs w:val="22"/>
              </w:rPr>
            </w:pPr>
            <w:r w:rsidRPr="008A4578">
              <w:rPr>
                <w:bCs/>
                <w:sz w:val="22"/>
                <w:szCs w:val="22"/>
              </w:rPr>
              <w:t>1.236</w:t>
            </w:r>
          </w:p>
        </w:tc>
        <w:tc>
          <w:tcPr>
            <w:tcW w:w="851"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8.349</w:t>
            </w:r>
          </w:p>
        </w:tc>
        <w:tc>
          <w:tcPr>
            <w:tcW w:w="884" w:type="dxa"/>
            <w:vAlign w:val="bottom"/>
          </w:tcPr>
          <w:p w:rsidR="00A27E10" w:rsidRPr="008A4578" w:rsidRDefault="00A27E10" w:rsidP="00753933">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0.068</w:t>
            </w:r>
          </w:p>
        </w:tc>
        <w:tc>
          <w:tcPr>
            <w:tcW w:w="992"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0.165</w:t>
            </w:r>
          </w:p>
        </w:tc>
        <w:tc>
          <w:tcPr>
            <w:tcW w:w="992" w:type="dxa"/>
            <w:vAlign w:val="bottom"/>
          </w:tcPr>
          <w:p w:rsidR="00A27E10" w:rsidRPr="008A4578" w:rsidRDefault="00A27E10" w:rsidP="003D3501">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1.827</w:t>
            </w:r>
          </w:p>
        </w:tc>
        <w:tc>
          <w:tcPr>
            <w:tcW w:w="1017" w:type="dxa"/>
            <w:vAlign w:val="bottom"/>
          </w:tcPr>
          <w:p w:rsidR="00A27E10" w:rsidRPr="008A4578" w:rsidRDefault="00A27E10" w:rsidP="00982A4C">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11.105</w:t>
            </w:r>
          </w:p>
        </w:tc>
      </w:tr>
      <w:tr w:rsidR="00A27E10" w:rsidTr="00753933">
        <w:trPr>
          <w:jc w:val="center"/>
        </w:trPr>
        <w:tc>
          <w:tcPr>
            <w:tcW w:w="1807" w:type="dxa"/>
          </w:tcPr>
          <w:p w:rsidR="00A27E10" w:rsidRPr="00F3332B" w:rsidRDefault="00A27E10" w:rsidP="008E2749">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0.1</w:t>
            </w:r>
            <w:r w:rsidRPr="00F3332B">
              <w:rPr>
                <w:rFonts w:ascii="Times New Roman" w:hAnsi="Times New Roman"/>
                <w:sz w:val="22"/>
                <w:szCs w:val="22"/>
              </w:rPr>
              <w:t>)</w:t>
            </w:r>
          </w:p>
        </w:tc>
        <w:tc>
          <w:tcPr>
            <w:tcW w:w="992" w:type="dxa"/>
            <w:vAlign w:val="bottom"/>
          </w:tcPr>
          <w:p w:rsidR="00A27E10" w:rsidRPr="008A4578" w:rsidRDefault="00257056" w:rsidP="00753933">
            <w:pPr>
              <w:widowControl w:val="0"/>
              <w:tabs>
                <w:tab w:val="decimal" w:pos="310"/>
              </w:tabs>
              <w:adjustRightInd w:val="0"/>
              <w:spacing w:before="36" w:after="36"/>
              <w:ind w:left="-26" w:right="-108" w:firstLine="0"/>
              <w:jc w:val="left"/>
              <w:textAlignment w:val="baseline"/>
              <w:rPr>
                <w:bCs/>
                <w:sz w:val="22"/>
                <w:szCs w:val="22"/>
              </w:rPr>
            </w:pPr>
            <w:r w:rsidRPr="009849D8">
              <w:rPr>
                <w:sz w:val="22"/>
                <w:szCs w:val="22"/>
              </w:rPr>
              <w:sym w:font="Symbol" w:char="F02D"/>
            </w:r>
            <w:r w:rsidR="00A27E10" w:rsidRPr="008A4578">
              <w:rPr>
                <w:bCs/>
                <w:sz w:val="22"/>
                <w:szCs w:val="22"/>
              </w:rPr>
              <w:t>0.735</w:t>
            </w:r>
          </w:p>
        </w:tc>
        <w:tc>
          <w:tcPr>
            <w:tcW w:w="851"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8.502</w:t>
            </w:r>
          </w:p>
        </w:tc>
        <w:tc>
          <w:tcPr>
            <w:tcW w:w="884" w:type="dxa"/>
            <w:vAlign w:val="bottom"/>
          </w:tcPr>
          <w:p w:rsidR="00A27E10" w:rsidRPr="00A27E10" w:rsidRDefault="00A27E10" w:rsidP="00753933">
            <w:pPr>
              <w:widowControl w:val="0"/>
              <w:tabs>
                <w:tab w:val="decimal" w:pos="198"/>
              </w:tabs>
              <w:adjustRightInd w:val="0"/>
              <w:spacing w:before="36" w:after="36"/>
              <w:ind w:left="-26" w:right="-108" w:firstLine="0"/>
              <w:jc w:val="left"/>
              <w:textAlignment w:val="baseline"/>
              <w:rPr>
                <w:bCs/>
                <w:sz w:val="22"/>
                <w:szCs w:val="22"/>
              </w:rPr>
            </w:pPr>
            <w:r w:rsidRPr="00A27E10">
              <w:rPr>
                <w:bCs/>
                <w:sz w:val="22"/>
                <w:szCs w:val="22"/>
              </w:rPr>
              <w:t>0.067</w:t>
            </w:r>
          </w:p>
        </w:tc>
        <w:tc>
          <w:tcPr>
            <w:tcW w:w="992"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0.209</w:t>
            </w:r>
          </w:p>
        </w:tc>
        <w:tc>
          <w:tcPr>
            <w:tcW w:w="992" w:type="dxa"/>
            <w:vAlign w:val="bottom"/>
          </w:tcPr>
          <w:p w:rsidR="00A27E10" w:rsidRPr="008A4578" w:rsidRDefault="00A27E10" w:rsidP="003D3501">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1.413</w:t>
            </w:r>
          </w:p>
        </w:tc>
        <w:tc>
          <w:tcPr>
            <w:tcW w:w="1017" w:type="dxa"/>
            <w:vAlign w:val="bottom"/>
          </w:tcPr>
          <w:p w:rsidR="00A27E10" w:rsidRPr="008A4578" w:rsidRDefault="00A27E10" w:rsidP="00982A4C">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10.885</w:t>
            </w:r>
          </w:p>
        </w:tc>
      </w:tr>
      <w:tr w:rsidR="00A27E10" w:rsidTr="00753933">
        <w:trPr>
          <w:jc w:val="center"/>
        </w:trPr>
        <w:tc>
          <w:tcPr>
            <w:tcW w:w="1807" w:type="dxa"/>
          </w:tcPr>
          <w:p w:rsidR="00A27E10" w:rsidRPr="00F3332B" w:rsidRDefault="00A27E10" w:rsidP="008E2749">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0.15</w:t>
            </w:r>
            <w:r w:rsidRPr="00F3332B">
              <w:rPr>
                <w:rFonts w:ascii="Times New Roman" w:hAnsi="Times New Roman"/>
                <w:sz w:val="22"/>
                <w:szCs w:val="22"/>
              </w:rPr>
              <w:t>)</w:t>
            </w:r>
          </w:p>
        </w:tc>
        <w:tc>
          <w:tcPr>
            <w:tcW w:w="992" w:type="dxa"/>
            <w:vAlign w:val="bottom"/>
          </w:tcPr>
          <w:p w:rsidR="00A27E10" w:rsidRPr="008A4578" w:rsidRDefault="00257056" w:rsidP="00753933">
            <w:pPr>
              <w:widowControl w:val="0"/>
              <w:tabs>
                <w:tab w:val="decimal" w:pos="310"/>
              </w:tabs>
              <w:adjustRightInd w:val="0"/>
              <w:spacing w:before="36" w:after="36"/>
              <w:ind w:left="-26" w:right="-108" w:firstLine="0"/>
              <w:jc w:val="left"/>
              <w:textAlignment w:val="baseline"/>
              <w:rPr>
                <w:bCs/>
                <w:sz w:val="22"/>
                <w:szCs w:val="22"/>
              </w:rPr>
            </w:pPr>
            <w:r w:rsidRPr="009849D8">
              <w:rPr>
                <w:sz w:val="22"/>
                <w:szCs w:val="22"/>
              </w:rPr>
              <w:sym w:font="Symbol" w:char="F02D"/>
            </w:r>
            <w:r w:rsidR="00A27E10" w:rsidRPr="008A4578">
              <w:rPr>
                <w:bCs/>
                <w:sz w:val="22"/>
                <w:szCs w:val="22"/>
              </w:rPr>
              <w:t>2.625</w:t>
            </w:r>
          </w:p>
        </w:tc>
        <w:tc>
          <w:tcPr>
            <w:tcW w:w="851"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8.883</w:t>
            </w:r>
          </w:p>
        </w:tc>
        <w:tc>
          <w:tcPr>
            <w:tcW w:w="884" w:type="dxa"/>
            <w:vAlign w:val="bottom"/>
          </w:tcPr>
          <w:p w:rsidR="00A27E10" w:rsidRPr="008A4578" w:rsidRDefault="00A27E10" w:rsidP="00753933">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0.07</w:t>
            </w:r>
            <w:r w:rsidR="00753933">
              <w:rPr>
                <w:bCs/>
                <w:sz w:val="22"/>
                <w:szCs w:val="22"/>
              </w:rPr>
              <w:t>7</w:t>
            </w:r>
          </w:p>
        </w:tc>
        <w:tc>
          <w:tcPr>
            <w:tcW w:w="992"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1.650</w:t>
            </w:r>
          </w:p>
        </w:tc>
        <w:tc>
          <w:tcPr>
            <w:tcW w:w="992" w:type="dxa"/>
            <w:vAlign w:val="bottom"/>
          </w:tcPr>
          <w:p w:rsidR="00A27E10" w:rsidRPr="008A4578" w:rsidRDefault="00A27E10" w:rsidP="003D3501">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1.105</w:t>
            </w:r>
          </w:p>
        </w:tc>
        <w:tc>
          <w:tcPr>
            <w:tcW w:w="1017" w:type="dxa"/>
            <w:vAlign w:val="bottom"/>
          </w:tcPr>
          <w:p w:rsidR="00A27E10" w:rsidRPr="008A4578" w:rsidRDefault="00A27E10" w:rsidP="00982A4C">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11.026</w:t>
            </w:r>
          </w:p>
        </w:tc>
      </w:tr>
      <w:tr w:rsidR="00A27E10" w:rsidTr="00753933">
        <w:trPr>
          <w:jc w:val="center"/>
        </w:trPr>
        <w:tc>
          <w:tcPr>
            <w:tcW w:w="1807" w:type="dxa"/>
          </w:tcPr>
          <w:p w:rsidR="00A27E10" w:rsidRPr="00F3332B" w:rsidRDefault="00A27E10" w:rsidP="008E2749">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0.2</w:t>
            </w:r>
            <w:r w:rsidRPr="00F3332B">
              <w:rPr>
                <w:rFonts w:ascii="Times New Roman" w:hAnsi="Times New Roman"/>
                <w:sz w:val="22"/>
                <w:szCs w:val="22"/>
              </w:rPr>
              <w:t>)</w:t>
            </w:r>
          </w:p>
        </w:tc>
        <w:tc>
          <w:tcPr>
            <w:tcW w:w="992" w:type="dxa"/>
            <w:vAlign w:val="bottom"/>
          </w:tcPr>
          <w:p w:rsidR="00A27E10" w:rsidRPr="008A4578" w:rsidRDefault="00257056" w:rsidP="00753933">
            <w:pPr>
              <w:widowControl w:val="0"/>
              <w:tabs>
                <w:tab w:val="decimal" w:pos="310"/>
              </w:tabs>
              <w:adjustRightInd w:val="0"/>
              <w:spacing w:before="36" w:after="36"/>
              <w:ind w:left="-26" w:right="-108" w:firstLine="0"/>
              <w:jc w:val="left"/>
              <w:textAlignment w:val="baseline"/>
              <w:rPr>
                <w:bCs/>
                <w:sz w:val="22"/>
                <w:szCs w:val="22"/>
              </w:rPr>
            </w:pPr>
            <w:r w:rsidRPr="009849D8">
              <w:rPr>
                <w:sz w:val="22"/>
                <w:szCs w:val="22"/>
              </w:rPr>
              <w:sym w:font="Symbol" w:char="F02D"/>
            </w:r>
            <w:r w:rsidR="00A27E10" w:rsidRPr="008A4578">
              <w:rPr>
                <w:bCs/>
                <w:sz w:val="22"/>
                <w:szCs w:val="22"/>
              </w:rPr>
              <w:t>4.385</w:t>
            </w:r>
          </w:p>
        </w:tc>
        <w:tc>
          <w:tcPr>
            <w:tcW w:w="851"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9.600</w:t>
            </w:r>
          </w:p>
        </w:tc>
        <w:tc>
          <w:tcPr>
            <w:tcW w:w="884" w:type="dxa"/>
            <w:vAlign w:val="bottom"/>
          </w:tcPr>
          <w:p w:rsidR="00A27E10" w:rsidRPr="008A4578" w:rsidRDefault="00A27E10" w:rsidP="00753933">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0.09</w:t>
            </w:r>
            <w:r w:rsidR="00753933">
              <w:rPr>
                <w:bCs/>
                <w:sz w:val="22"/>
                <w:szCs w:val="22"/>
              </w:rPr>
              <w:t>4</w:t>
            </w:r>
          </w:p>
        </w:tc>
        <w:tc>
          <w:tcPr>
            <w:tcW w:w="992"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4.237</w:t>
            </w:r>
          </w:p>
        </w:tc>
        <w:tc>
          <w:tcPr>
            <w:tcW w:w="992" w:type="dxa"/>
            <w:vAlign w:val="bottom"/>
          </w:tcPr>
          <w:p w:rsidR="00A27E10" w:rsidRPr="00A27E10" w:rsidRDefault="00A27E10" w:rsidP="003D3501">
            <w:pPr>
              <w:widowControl w:val="0"/>
              <w:tabs>
                <w:tab w:val="decimal" w:pos="277"/>
              </w:tabs>
              <w:adjustRightInd w:val="0"/>
              <w:spacing w:before="36" w:after="36"/>
              <w:ind w:left="-26" w:right="-108" w:firstLine="0"/>
              <w:jc w:val="left"/>
              <w:textAlignment w:val="baseline"/>
              <w:rPr>
                <w:bCs/>
                <w:sz w:val="22"/>
                <w:szCs w:val="22"/>
              </w:rPr>
            </w:pPr>
            <w:r w:rsidRPr="00A27E10">
              <w:rPr>
                <w:bCs/>
                <w:sz w:val="22"/>
                <w:szCs w:val="22"/>
              </w:rPr>
              <w:t>0.779</w:t>
            </w:r>
          </w:p>
        </w:tc>
        <w:tc>
          <w:tcPr>
            <w:tcW w:w="1017" w:type="dxa"/>
            <w:vAlign w:val="bottom"/>
          </w:tcPr>
          <w:p w:rsidR="00A27E10" w:rsidRPr="008A4578" w:rsidRDefault="00A27E10" w:rsidP="00982A4C">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11.461</w:t>
            </w:r>
          </w:p>
        </w:tc>
      </w:tr>
      <w:tr w:rsidR="00A27E10" w:rsidTr="00753933">
        <w:trPr>
          <w:jc w:val="center"/>
        </w:trPr>
        <w:tc>
          <w:tcPr>
            <w:tcW w:w="1807" w:type="dxa"/>
          </w:tcPr>
          <w:p w:rsidR="00A27E10" w:rsidRPr="00F3332B" w:rsidRDefault="00A27E10" w:rsidP="0086246B">
            <w:pPr>
              <w:pStyle w:val="Normaali1"/>
              <w:spacing w:before="60" w:after="60" w:line="240" w:lineRule="auto"/>
              <w:ind w:right="-81" w:firstLine="6"/>
              <w:rPr>
                <w:rFonts w:ascii="Times New Roman" w:hAnsi="Times New Roman"/>
                <w:sz w:val="22"/>
                <w:szCs w:val="22"/>
              </w:rPr>
            </w:pPr>
            <w:r>
              <w:rPr>
                <w:rFonts w:ascii="Times New Roman" w:hAnsi="Times New Roman"/>
                <w:sz w:val="22"/>
                <w:szCs w:val="22"/>
              </w:rPr>
              <w:t>A</w:t>
            </w: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w:t>
            </w:r>
          </w:p>
        </w:tc>
        <w:tc>
          <w:tcPr>
            <w:tcW w:w="992" w:type="dxa"/>
            <w:vAlign w:val="bottom"/>
          </w:tcPr>
          <w:p w:rsidR="00A27E10" w:rsidRPr="008A4578" w:rsidRDefault="00A27E10" w:rsidP="00753933">
            <w:pPr>
              <w:widowControl w:val="0"/>
              <w:tabs>
                <w:tab w:val="decimal" w:pos="310"/>
              </w:tabs>
              <w:adjustRightInd w:val="0"/>
              <w:spacing w:before="36" w:after="36"/>
              <w:ind w:left="-26" w:right="-108" w:firstLine="0"/>
              <w:jc w:val="left"/>
              <w:textAlignment w:val="baseline"/>
              <w:rPr>
                <w:bCs/>
                <w:sz w:val="22"/>
                <w:szCs w:val="22"/>
              </w:rPr>
            </w:pPr>
            <w:r w:rsidRPr="008A4578">
              <w:rPr>
                <w:bCs/>
                <w:sz w:val="22"/>
                <w:szCs w:val="22"/>
              </w:rPr>
              <w:t>4.922</w:t>
            </w:r>
          </w:p>
        </w:tc>
        <w:tc>
          <w:tcPr>
            <w:tcW w:w="851"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8.658</w:t>
            </w:r>
          </w:p>
        </w:tc>
        <w:tc>
          <w:tcPr>
            <w:tcW w:w="884" w:type="dxa"/>
            <w:vAlign w:val="bottom"/>
          </w:tcPr>
          <w:p w:rsidR="00A27E10" w:rsidRPr="008A4578" w:rsidRDefault="00A27E10" w:rsidP="00753933">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0.10</w:t>
            </w:r>
            <w:r w:rsidR="00753933">
              <w:rPr>
                <w:bCs/>
                <w:sz w:val="22"/>
                <w:szCs w:val="22"/>
              </w:rPr>
              <w:t>1</w:t>
            </w:r>
          </w:p>
        </w:tc>
        <w:tc>
          <w:tcPr>
            <w:tcW w:w="992"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4.226</w:t>
            </w:r>
          </w:p>
        </w:tc>
        <w:tc>
          <w:tcPr>
            <w:tcW w:w="992" w:type="dxa"/>
            <w:vAlign w:val="bottom"/>
          </w:tcPr>
          <w:p w:rsidR="00A27E10" w:rsidRPr="008A4578" w:rsidRDefault="00A27E10" w:rsidP="003D3501">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2.805</w:t>
            </w:r>
          </w:p>
        </w:tc>
        <w:tc>
          <w:tcPr>
            <w:tcW w:w="1017" w:type="dxa"/>
            <w:vAlign w:val="bottom"/>
          </w:tcPr>
          <w:p w:rsidR="00A27E10" w:rsidRPr="008A4578" w:rsidRDefault="00A27E10" w:rsidP="00982A4C">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11.770</w:t>
            </w:r>
          </w:p>
        </w:tc>
      </w:tr>
      <w:tr w:rsidR="00A27E10" w:rsidTr="00753933">
        <w:trPr>
          <w:jc w:val="center"/>
        </w:trPr>
        <w:tc>
          <w:tcPr>
            <w:tcW w:w="1807" w:type="dxa"/>
          </w:tcPr>
          <w:p w:rsidR="00A27E10" w:rsidRPr="00F3332B" w:rsidRDefault="00A27E10" w:rsidP="0086246B">
            <w:pPr>
              <w:pStyle w:val="Normaali1"/>
              <w:spacing w:before="60" w:after="60" w:line="240" w:lineRule="auto"/>
              <w:ind w:right="-84" w:firstLine="6"/>
              <w:rPr>
                <w:rFonts w:ascii="Times New Roman" w:hAnsi="Times New Roman"/>
                <w:sz w:val="22"/>
                <w:szCs w:val="22"/>
              </w:rPr>
            </w:pPr>
            <w:r>
              <w:rPr>
                <w:rFonts w:ascii="Times New Roman" w:hAnsi="Times New Roman"/>
                <w:sz w:val="22"/>
                <w:szCs w:val="22"/>
              </w:rPr>
              <w:t>A</w:t>
            </w: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05</w:t>
            </w:r>
            <w:r w:rsidRPr="00F3332B">
              <w:rPr>
                <w:rFonts w:ascii="Times New Roman" w:hAnsi="Times New Roman"/>
                <w:sz w:val="22"/>
                <w:szCs w:val="22"/>
              </w:rPr>
              <w:t>)</w:t>
            </w:r>
          </w:p>
        </w:tc>
        <w:tc>
          <w:tcPr>
            <w:tcW w:w="992" w:type="dxa"/>
            <w:vAlign w:val="bottom"/>
          </w:tcPr>
          <w:p w:rsidR="00A27E10" w:rsidRPr="008A4578" w:rsidRDefault="00A27E10" w:rsidP="00753933">
            <w:pPr>
              <w:widowControl w:val="0"/>
              <w:tabs>
                <w:tab w:val="decimal" w:pos="310"/>
              </w:tabs>
              <w:adjustRightInd w:val="0"/>
              <w:spacing w:before="36" w:after="36"/>
              <w:ind w:left="-26" w:right="-108" w:firstLine="0"/>
              <w:jc w:val="left"/>
              <w:textAlignment w:val="baseline"/>
              <w:rPr>
                <w:bCs/>
                <w:sz w:val="22"/>
                <w:szCs w:val="22"/>
              </w:rPr>
            </w:pPr>
            <w:r w:rsidRPr="008A4578">
              <w:rPr>
                <w:bCs/>
                <w:sz w:val="22"/>
                <w:szCs w:val="22"/>
              </w:rPr>
              <w:t>2.850</w:t>
            </w:r>
          </w:p>
        </w:tc>
        <w:tc>
          <w:tcPr>
            <w:tcW w:w="851"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8.135</w:t>
            </w:r>
          </w:p>
        </w:tc>
        <w:tc>
          <w:tcPr>
            <w:tcW w:w="884" w:type="dxa"/>
            <w:vAlign w:val="bottom"/>
          </w:tcPr>
          <w:p w:rsidR="00A27E10" w:rsidRPr="008A4578" w:rsidRDefault="00A27E10" w:rsidP="00753933">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0.090</w:t>
            </w:r>
          </w:p>
        </w:tc>
        <w:tc>
          <w:tcPr>
            <w:tcW w:w="992"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1.303</w:t>
            </w:r>
          </w:p>
        </w:tc>
        <w:tc>
          <w:tcPr>
            <w:tcW w:w="992" w:type="dxa"/>
            <w:vAlign w:val="bottom"/>
          </w:tcPr>
          <w:p w:rsidR="00A27E10" w:rsidRPr="008A4578" w:rsidRDefault="00A27E10" w:rsidP="003D3501">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2.199</w:t>
            </w:r>
          </w:p>
        </w:tc>
        <w:tc>
          <w:tcPr>
            <w:tcW w:w="1017" w:type="dxa"/>
            <w:vAlign w:val="bottom"/>
          </w:tcPr>
          <w:p w:rsidR="00A27E10" w:rsidRPr="008A4578" w:rsidRDefault="00A27E10" w:rsidP="00982A4C">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10.920</w:t>
            </w:r>
          </w:p>
        </w:tc>
      </w:tr>
      <w:tr w:rsidR="00A27E10" w:rsidTr="00753933">
        <w:trPr>
          <w:jc w:val="center"/>
        </w:trPr>
        <w:tc>
          <w:tcPr>
            <w:tcW w:w="1807" w:type="dxa"/>
          </w:tcPr>
          <w:p w:rsidR="00A27E10" w:rsidRPr="00F3332B" w:rsidRDefault="00A27E10" w:rsidP="0086246B">
            <w:pPr>
              <w:pStyle w:val="Normaali1"/>
              <w:spacing w:before="60" w:after="60" w:line="240" w:lineRule="auto"/>
              <w:ind w:right="-84" w:firstLine="6"/>
              <w:rPr>
                <w:rFonts w:ascii="Times New Roman" w:hAnsi="Times New Roman"/>
                <w:sz w:val="22"/>
                <w:szCs w:val="22"/>
              </w:rPr>
            </w:pPr>
            <w:r>
              <w:rPr>
                <w:rFonts w:ascii="Times New Roman" w:hAnsi="Times New Roman"/>
                <w:sz w:val="22"/>
                <w:szCs w:val="22"/>
              </w:rPr>
              <w:t>A</w:t>
            </w:r>
            <w:r w:rsidRPr="00F3332B">
              <w:rPr>
                <w:rFonts w:ascii="Times New Roman" w:hAnsi="Times New Roman"/>
                <w:sz w:val="22"/>
                <w:szCs w:val="22"/>
              </w:rPr>
              <w:t>FLQ (</w:t>
            </w:r>
            <w:r w:rsidRPr="00F3332B">
              <w:rPr>
                <w:rFonts w:ascii="Times New Roman" w:hAnsi="Times New Roman"/>
                <w:color w:val="000000"/>
                <w:sz w:val="22"/>
                <w:szCs w:val="22"/>
                <w:lang w:val="en-GB"/>
              </w:rPr>
              <w:t>δ = 0.1</w:t>
            </w:r>
            <w:r w:rsidRPr="00F3332B">
              <w:rPr>
                <w:rFonts w:ascii="Times New Roman" w:hAnsi="Times New Roman"/>
                <w:sz w:val="22"/>
                <w:szCs w:val="22"/>
              </w:rPr>
              <w:t>)</w:t>
            </w:r>
          </w:p>
        </w:tc>
        <w:tc>
          <w:tcPr>
            <w:tcW w:w="992" w:type="dxa"/>
            <w:vAlign w:val="bottom"/>
          </w:tcPr>
          <w:p w:rsidR="00A27E10" w:rsidRPr="00A27E10" w:rsidRDefault="00A27E10" w:rsidP="00753933">
            <w:pPr>
              <w:widowControl w:val="0"/>
              <w:tabs>
                <w:tab w:val="decimal" w:pos="310"/>
              </w:tabs>
              <w:adjustRightInd w:val="0"/>
              <w:spacing w:before="36" w:after="36"/>
              <w:ind w:left="-26" w:right="-108" w:firstLine="0"/>
              <w:jc w:val="left"/>
              <w:textAlignment w:val="baseline"/>
              <w:rPr>
                <w:bCs/>
                <w:sz w:val="22"/>
                <w:szCs w:val="22"/>
              </w:rPr>
            </w:pPr>
            <w:r w:rsidRPr="00A27E10">
              <w:rPr>
                <w:bCs/>
                <w:sz w:val="22"/>
                <w:szCs w:val="22"/>
              </w:rPr>
              <w:t>0.729</w:t>
            </w:r>
          </w:p>
        </w:tc>
        <w:tc>
          <w:tcPr>
            <w:tcW w:w="851" w:type="dxa"/>
            <w:vAlign w:val="bottom"/>
          </w:tcPr>
          <w:p w:rsidR="00A27E10" w:rsidRPr="00A27E10"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A27E10">
              <w:rPr>
                <w:bCs/>
                <w:sz w:val="22"/>
                <w:szCs w:val="22"/>
              </w:rPr>
              <w:t>8.126</w:t>
            </w:r>
          </w:p>
        </w:tc>
        <w:tc>
          <w:tcPr>
            <w:tcW w:w="884" w:type="dxa"/>
            <w:vAlign w:val="bottom"/>
          </w:tcPr>
          <w:p w:rsidR="00A27E10" w:rsidRPr="00A27E10" w:rsidRDefault="00A27E10" w:rsidP="00753933">
            <w:pPr>
              <w:widowControl w:val="0"/>
              <w:tabs>
                <w:tab w:val="decimal" w:pos="198"/>
              </w:tabs>
              <w:adjustRightInd w:val="0"/>
              <w:spacing w:before="36" w:after="36"/>
              <w:ind w:left="-26" w:right="-108" w:firstLine="0"/>
              <w:jc w:val="left"/>
              <w:textAlignment w:val="baseline"/>
              <w:rPr>
                <w:bCs/>
                <w:sz w:val="22"/>
                <w:szCs w:val="22"/>
              </w:rPr>
            </w:pPr>
            <w:r w:rsidRPr="00A27E10">
              <w:rPr>
                <w:bCs/>
                <w:sz w:val="22"/>
                <w:szCs w:val="22"/>
              </w:rPr>
              <w:t>0.085</w:t>
            </w:r>
          </w:p>
        </w:tc>
        <w:tc>
          <w:tcPr>
            <w:tcW w:w="992" w:type="dxa"/>
            <w:vAlign w:val="bottom"/>
          </w:tcPr>
          <w:p w:rsidR="00A27E10" w:rsidRPr="00A27E10"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A27E10">
              <w:rPr>
                <w:bCs/>
                <w:sz w:val="22"/>
                <w:szCs w:val="22"/>
              </w:rPr>
              <w:t>0.044</w:t>
            </w:r>
          </w:p>
        </w:tc>
        <w:tc>
          <w:tcPr>
            <w:tcW w:w="992" w:type="dxa"/>
            <w:vAlign w:val="bottom"/>
          </w:tcPr>
          <w:p w:rsidR="00A27E10" w:rsidRPr="008A4578" w:rsidRDefault="00A27E10" w:rsidP="003D3501">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1.716</w:t>
            </w:r>
          </w:p>
        </w:tc>
        <w:tc>
          <w:tcPr>
            <w:tcW w:w="1017" w:type="dxa"/>
            <w:vAlign w:val="bottom"/>
          </w:tcPr>
          <w:p w:rsidR="00A27E10" w:rsidRPr="008A4578" w:rsidRDefault="00A27E10" w:rsidP="00982A4C">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10.418</w:t>
            </w:r>
          </w:p>
        </w:tc>
      </w:tr>
      <w:tr w:rsidR="00A27E10" w:rsidTr="00753933">
        <w:trPr>
          <w:jc w:val="center"/>
        </w:trPr>
        <w:tc>
          <w:tcPr>
            <w:tcW w:w="1807" w:type="dxa"/>
          </w:tcPr>
          <w:p w:rsidR="00A27E10" w:rsidRPr="00F3332B" w:rsidRDefault="00A27E10" w:rsidP="0086246B">
            <w:pPr>
              <w:pStyle w:val="Normaali1"/>
              <w:spacing w:before="60" w:after="60" w:line="240" w:lineRule="auto"/>
              <w:ind w:right="-84" w:firstLine="6"/>
              <w:rPr>
                <w:rFonts w:ascii="Times New Roman" w:hAnsi="Times New Roman"/>
                <w:sz w:val="22"/>
                <w:szCs w:val="22"/>
              </w:rPr>
            </w:pPr>
            <w:r>
              <w:rPr>
                <w:rFonts w:ascii="Times New Roman" w:hAnsi="Times New Roman"/>
                <w:sz w:val="22"/>
                <w:szCs w:val="22"/>
              </w:rPr>
              <w:t>A</w:t>
            </w:r>
            <w:r w:rsidRPr="00F3332B">
              <w:rPr>
                <w:rFonts w:ascii="Times New Roman" w:hAnsi="Times New Roman"/>
                <w:sz w:val="22"/>
                <w:szCs w:val="22"/>
              </w:rPr>
              <w:t>FLQ (</w:t>
            </w:r>
            <w:r w:rsidRPr="00F3332B">
              <w:rPr>
                <w:rFonts w:ascii="Times New Roman" w:hAnsi="Times New Roman"/>
                <w:color w:val="000000"/>
                <w:sz w:val="22"/>
                <w:szCs w:val="22"/>
                <w:lang w:val="en-GB"/>
              </w:rPr>
              <w:t>δ = 0.15</w:t>
            </w:r>
            <w:r w:rsidRPr="00F3332B">
              <w:rPr>
                <w:rFonts w:ascii="Times New Roman" w:hAnsi="Times New Roman"/>
                <w:sz w:val="22"/>
                <w:szCs w:val="22"/>
              </w:rPr>
              <w:t>)</w:t>
            </w:r>
          </w:p>
        </w:tc>
        <w:tc>
          <w:tcPr>
            <w:tcW w:w="992" w:type="dxa"/>
            <w:vAlign w:val="bottom"/>
          </w:tcPr>
          <w:p w:rsidR="00A27E10" w:rsidRPr="008A4578" w:rsidRDefault="00257056" w:rsidP="00753933">
            <w:pPr>
              <w:widowControl w:val="0"/>
              <w:tabs>
                <w:tab w:val="decimal" w:pos="310"/>
              </w:tabs>
              <w:adjustRightInd w:val="0"/>
              <w:spacing w:before="36" w:after="36"/>
              <w:ind w:left="-26" w:right="-108" w:firstLine="0"/>
              <w:jc w:val="left"/>
              <w:textAlignment w:val="baseline"/>
              <w:rPr>
                <w:bCs/>
                <w:sz w:val="22"/>
                <w:szCs w:val="22"/>
              </w:rPr>
            </w:pPr>
            <w:r w:rsidRPr="009849D8">
              <w:rPr>
                <w:sz w:val="22"/>
                <w:szCs w:val="22"/>
              </w:rPr>
              <w:sym w:font="Symbol" w:char="F02D"/>
            </w:r>
            <w:r w:rsidR="00A27E10" w:rsidRPr="008A4578">
              <w:rPr>
                <w:bCs/>
                <w:sz w:val="22"/>
                <w:szCs w:val="22"/>
              </w:rPr>
              <w:t>1.278</w:t>
            </w:r>
          </w:p>
        </w:tc>
        <w:tc>
          <w:tcPr>
            <w:tcW w:w="851"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8.388</w:t>
            </w:r>
          </w:p>
        </w:tc>
        <w:tc>
          <w:tcPr>
            <w:tcW w:w="884" w:type="dxa"/>
            <w:vAlign w:val="bottom"/>
          </w:tcPr>
          <w:p w:rsidR="00A27E10" w:rsidRPr="008A4578" w:rsidRDefault="00A27E10" w:rsidP="00753933">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0.084</w:t>
            </w:r>
          </w:p>
        </w:tc>
        <w:tc>
          <w:tcPr>
            <w:tcW w:w="992"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0.451</w:t>
            </w:r>
          </w:p>
        </w:tc>
        <w:tc>
          <w:tcPr>
            <w:tcW w:w="992" w:type="dxa"/>
            <w:vAlign w:val="bottom"/>
          </w:tcPr>
          <w:p w:rsidR="00A27E10" w:rsidRPr="008A4578" w:rsidRDefault="00A27E10" w:rsidP="003D3501">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1.343</w:t>
            </w:r>
          </w:p>
        </w:tc>
        <w:tc>
          <w:tcPr>
            <w:tcW w:w="1017" w:type="dxa"/>
            <w:vAlign w:val="bottom"/>
          </w:tcPr>
          <w:p w:rsidR="00A27E10" w:rsidRPr="00A27E10" w:rsidRDefault="00A27E10" w:rsidP="00982A4C">
            <w:pPr>
              <w:widowControl w:val="0"/>
              <w:tabs>
                <w:tab w:val="decimal" w:pos="277"/>
              </w:tabs>
              <w:adjustRightInd w:val="0"/>
              <w:spacing w:before="36" w:after="36"/>
              <w:ind w:left="-26" w:right="-108" w:firstLine="0"/>
              <w:jc w:val="left"/>
              <w:textAlignment w:val="baseline"/>
              <w:rPr>
                <w:bCs/>
                <w:sz w:val="22"/>
                <w:szCs w:val="22"/>
              </w:rPr>
            </w:pPr>
            <w:r w:rsidRPr="00A27E10">
              <w:rPr>
                <w:bCs/>
                <w:sz w:val="22"/>
                <w:szCs w:val="22"/>
              </w:rPr>
              <w:t>10.333</w:t>
            </w:r>
          </w:p>
        </w:tc>
      </w:tr>
      <w:tr w:rsidR="00A27E10" w:rsidTr="00753933">
        <w:trPr>
          <w:jc w:val="center"/>
        </w:trPr>
        <w:tc>
          <w:tcPr>
            <w:tcW w:w="1807" w:type="dxa"/>
          </w:tcPr>
          <w:p w:rsidR="00A27E10" w:rsidRPr="00F3332B" w:rsidRDefault="00A27E10" w:rsidP="0086246B">
            <w:pPr>
              <w:pStyle w:val="Normaali1"/>
              <w:spacing w:before="60" w:after="60" w:line="240" w:lineRule="auto"/>
              <w:ind w:right="-84" w:firstLine="6"/>
              <w:rPr>
                <w:rFonts w:ascii="Times New Roman" w:hAnsi="Times New Roman"/>
                <w:sz w:val="22"/>
                <w:szCs w:val="22"/>
              </w:rPr>
            </w:pPr>
            <w:r>
              <w:rPr>
                <w:rFonts w:ascii="Times New Roman" w:hAnsi="Times New Roman"/>
                <w:sz w:val="22"/>
                <w:szCs w:val="22"/>
              </w:rPr>
              <w:t>A</w:t>
            </w:r>
            <w:r w:rsidRPr="00F3332B">
              <w:rPr>
                <w:rFonts w:ascii="Times New Roman" w:hAnsi="Times New Roman"/>
                <w:sz w:val="22"/>
                <w:szCs w:val="22"/>
              </w:rPr>
              <w:t>FLQ (</w:t>
            </w:r>
            <w:r w:rsidRPr="00F3332B">
              <w:rPr>
                <w:rFonts w:ascii="Times New Roman" w:hAnsi="Times New Roman"/>
                <w:color w:val="000000"/>
                <w:sz w:val="22"/>
                <w:szCs w:val="22"/>
                <w:lang w:val="en-GB"/>
              </w:rPr>
              <w:t>δ = 0.2</w:t>
            </w:r>
            <w:r w:rsidRPr="00F3332B">
              <w:rPr>
                <w:rFonts w:ascii="Times New Roman" w:hAnsi="Times New Roman"/>
                <w:sz w:val="22"/>
                <w:szCs w:val="22"/>
              </w:rPr>
              <w:t>)</w:t>
            </w:r>
          </w:p>
        </w:tc>
        <w:tc>
          <w:tcPr>
            <w:tcW w:w="992" w:type="dxa"/>
            <w:vAlign w:val="bottom"/>
          </w:tcPr>
          <w:p w:rsidR="00A27E10" w:rsidRPr="008A4578" w:rsidRDefault="00257056" w:rsidP="00753933">
            <w:pPr>
              <w:widowControl w:val="0"/>
              <w:tabs>
                <w:tab w:val="decimal" w:pos="310"/>
              </w:tabs>
              <w:adjustRightInd w:val="0"/>
              <w:spacing w:before="36" w:after="36"/>
              <w:ind w:left="-26" w:right="-108" w:firstLine="0"/>
              <w:jc w:val="left"/>
              <w:textAlignment w:val="baseline"/>
              <w:rPr>
                <w:bCs/>
                <w:sz w:val="22"/>
                <w:szCs w:val="22"/>
              </w:rPr>
            </w:pPr>
            <w:r w:rsidRPr="009849D8">
              <w:rPr>
                <w:sz w:val="22"/>
                <w:szCs w:val="22"/>
              </w:rPr>
              <w:sym w:font="Symbol" w:char="F02D"/>
            </w:r>
            <w:r w:rsidR="00A27E10" w:rsidRPr="008A4578">
              <w:rPr>
                <w:bCs/>
                <w:sz w:val="22"/>
                <w:szCs w:val="22"/>
              </w:rPr>
              <w:t>3.150</w:t>
            </w:r>
          </w:p>
        </w:tc>
        <w:tc>
          <w:tcPr>
            <w:tcW w:w="851"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8.850</w:t>
            </w:r>
          </w:p>
        </w:tc>
        <w:tc>
          <w:tcPr>
            <w:tcW w:w="884" w:type="dxa"/>
            <w:vAlign w:val="bottom"/>
          </w:tcPr>
          <w:p w:rsidR="00A27E10" w:rsidRPr="008A4578" w:rsidRDefault="00A27E10" w:rsidP="00753933">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0.086</w:t>
            </w:r>
          </w:p>
        </w:tc>
        <w:tc>
          <w:tcPr>
            <w:tcW w:w="992"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2.230</w:t>
            </w:r>
          </w:p>
        </w:tc>
        <w:tc>
          <w:tcPr>
            <w:tcW w:w="992" w:type="dxa"/>
            <w:vAlign w:val="bottom"/>
          </w:tcPr>
          <w:p w:rsidR="00A27E10" w:rsidRPr="008A4578" w:rsidRDefault="00A27E10" w:rsidP="003D3501">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1.048</w:t>
            </w:r>
          </w:p>
        </w:tc>
        <w:tc>
          <w:tcPr>
            <w:tcW w:w="1017" w:type="dxa"/>
            <w:vAlign w:val="bottom"/>
          </w:tcPr>
          <w:p w:rsidR="00A27E10" w:rsidRPr="008A4578" w:rsidRDefault="00A27E10" w:rsidP="00982A4C">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10.652</w:t>
            </w:r>
          </w:p>
        </w:tc>
      </w:tr>
      <w:tr w:rsidR="00A27E10" w:rsidTr="00753933">
        <w:trPr>
          <w:jc w:val="center"/>
        </w:trPr>
        <w:tc>
          <w:tcPr>
            <w:tcW w:w="1807" w:type="dxa"/>
          </w:tcPr>
          <w:p w:rsidR="00A27E10" w:rsidRPr="00F3332B" w:rsidRDefault="00A27E10" w:rsidP="00404D2B">
            <w:pPr>
              <w:pStyle w:val="Normaali1"/>
              <w:spacing w:before="60" w:after="60" w:line="240" w:lineRule="auto"/>
              <w:ind w:right="-84"/>
              <w:rPr>
                <w:rFonts w:ascii="Times New Roman" w:hAnsi="Times New Roman"/>
                <w:sz w:val="22"/>
                <w:szCs w:val="22"/>
              </w:rPr>
            </w:pPr>
            <w:r>
              <w:rPr>
                <w:rFonts w:ascii="Times New Roman" w:hAnsi="Times New Roman"/>
                <w:sz w:val="22"/>
                <w:szCs w:val="22"/>
              </w:rPr>
              <w:t xml:space="preserve">Optimal </w:t>
            </w:r>
            <w:r w:rsidRPr="00F3332B">
              <w:rPr>
                <w:rFonts w:ascii="Times New Roman" w:hAnsi="Times New Roman"/>
                <w:color w:val="000000"/>
                <w:sz w:val="22"/>
                <w:szCs w:val="22"/>
                <w:lang w:val="en-GB"/>
              </w:rPr>
              <w:t>δ</w:t>
            </w:r>
            <w:r>
              <w:rPr>
                <w:rFonts w:ascii="Times New Roman" w:hAnsi="Times New Roman"/>
                <w:color w:val="000000"/>
                <w:sz w:val="22"/>
                <w:szCs w:val="22"/>
                <w:lang w:val="en-GB"/>
              </w:rPr>
              <w:t xml:space="preserve"> FLQ</w:t>
            </w:r>
          </w:p>
        </w:tc>
        <w:tc>
          <w:tcPr>
            <w:tcW w:w="992" w:type="dxa"/>
            <w:vAlign w:val="bottom"/>
          </w:tcPr>
          <w:p w:rsidR="00A27E10" w:rsidRPr="008A4578" w:rsidRDefault="00A27E10" w:rsidP="00753933">
            <w:pPr>
              <w:widowControl w:val="0"/>
              <w:tabs>
                <w:tab w:val="decimal" w:pos="310"/>
              </w:tabs>
              <w:adjustRightInd w:val="0"/>
              <w:spacing w:before="36" w:after="36"/>
              <w:ind w:left="-26" w:right="-108" w:firstLine="0"/>
              <w:jc w:val="left"/>
              <w:textAlignment w:val="baseline"/>
              <w:rPr>
                <w:bCs/>
                <w:sz w:val="22"/>
                <w:szCs w:val="22"/>
              </w:rPr>
            </w:pPr>
            <w:r w:rsidRPr="008A4578">
              <w:rPr>
                <w:bCs/>
                <w:sz w:val="22"/>
                <w:szCs w:val="22"/>
              </w:rPr>
              <w:t>0.081</w:t>
            </w:r>
          </w:p>
        </w:tc>
        <w:tc>
          <w:tcPr>
            <w:tcW w:w="851"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0.042</w:t>
            </w:r>
          </w:p>
        </w:tc>
        <w:tc>
          <w:tcPr>
            <w:tcW w:w="884"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0.088</w:t>
            </w:r>
          </w:p>
        </w:tc>
        <w:tc>
          <w:tcPr>
            <w:tcW w:w="992"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0.073</w:t>
            </w:r>
          </w:p>
        </w:tc>
        <w:tc>
          <w:tcPr>
            <w:tcW w:w="992" w:type="dxa"/>
            <w:vAlign w:val="bottom"/>
          </w:tcPr>
          <w:p w:rsidR="00A27E10" w:rsidRPr="008A4578" w:rsidRDefault="00A27E10" w:rsidP="003D3501">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0.321</w:t>
            </w:r>
          </w:p>
        </w:tc>
        <w:tc>
          <w:tcPr>
            <w:tcW w:w="1017" w:type="dxa"/>
            <w:vAlign w:val="bottom"/>
          </w:tcPr>
          <w:p w:rsidR="00A27E10" w:rsidRPr="008A4578" w:rsidRDefault="00A27E10" w:rsidP="00982A4C">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0.104</w:t>
            </w:r>
          </w:p>
        </w:tc>
      </w:tr>
      <w:tr w:rsidR="00A27E10" w:rsidTr="00753933">
        <w:trPr>
          <w:jc w:val="center"/>
        </w:trPr>
        <w:tc>
          <w:tcPr>
            <w:tcW w:w="1807" w:type="dxa"/>
          </w:tcPr>
          <w:p w:rsidR="00A27E10" w:rsidRDefault="00A27E10" w:rsidP="00404D2B">
            <w:pPr>
              <w:pStyle w:val="Normaali1"/>
              <w:spacing w:before="60" w:after="60" w:line="240" w:lineRule="auto"/>
              <w:ind w:right="-84"/>
              <w:rPr>
                <w:rFonts w:ascii="Times New Roman" w:hAnsi="Times New Roman"/>
                <w:sz w:val="22"/>
                <w:szCs w:val="22"/>
              </w:rPr>
            </w:pPr>
            <w:r>
              <w:rPr>
                <w:rFonts w:ascii="Times New Roman" w:hAnsi="Times New Roman"/>
                <w:sz w:val="22"/>
                <w:szCs w:val="22"/>
              </w:rPr>
              <w:t xml:space="preserve">Optimal </w:t>
            </w:r>
            <w:r w:rsidRPr="00F3332B">
              <w:rPr>
                <w:rFonts w:ascii="Times New Roman" w:hAnsi="Times New Roman"/>
                <w:color w:val="000000"/>
                <w:sz w:val="22"/>
                <w:szCs w:val="22"/>
                <w:lang w:val="en-GB"/>
              </w:rPr>
              <w:t>δ</w:t>
            </w:r>
            <w:r>
              <w:rPr>
                <w:rFonts w:ascii="Times New Roman" w:hAnsi="Times New Roman"/>
                <w:color w:val="000000"/>
                <w:sz w:val="22"/>
                <w:szCs w:val="22"/>
                <w:lang w:val="en-GB"/>
              </w:rPr>
              <w:t xml:space="preserve"> AFLQ</w:t>
            </w:r>
          </w:p>
        </w:tc>
        <w:tc>
          <w:tcPr>
            <w:tcW w:w="992" w:type="dxa"/>
            <w:vAlign w:val="bottom"/>
          </w:tcPr>
          <w:p w:rsidR="00A27E10" w:rsidRPr="008A4578" w:rsidRDefault="00A27E10" w:rsidP="00753933">
            <w:pPr>
              <w:widowControl w:val="0"/>
              <w:tabs>
                <w:tab w:val="decimal" w:pos="310"/>
              </w:tabs>
              <w:adjustRightInd w:val="0"/>
              <w:spacing w:before="36" w:after="36"/>
              <w:ind w:left="-26" w:right="-108" w:firstLine="0"/>
              <w:jc w:val="left"/>
              <w:textAlignment w:val="baseline"/>
              <w:rPr>
                <w:bCs/>
                <w:sz w:val="22"/>
                <w:szCs w:val="22"/>
              </w:rPr>
            </w:pPr>
            <w:r w:rsidRPr="008A4578">
              <w:rPr>
                <w:bCs/>
                <w:sz w:val="22"/>
                <w:szCs w:val="22"/>
              </w:rPr>
              <w:t>0.118</w:t>
            </w:r>
          </w:p>
        </w:tc>
        <w:tc>
          <w:tcPr>
            <w:tcW w:w="851"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0.095</w:t>
            </w:r>
          </w:p>
        </w:tc>
        <w:tc>
          <w:tcPr>
            <w:tcW w:w="884"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0.136</w:t>
            </w:r>
          </w:p>
        </w:tc>
        <w:tc>
          <w:tcPr>
            <w:tcW w:w="992" w:type="dxa"/>
            <w:vAlign w:val="bottom"/>
          </w:tcPr>
          <w:p w:rsidR="00A27E10" w:rsidRPr="008A4578" w:rsidRDefault="00A27E10" w:rsidP="0086246B">
            <w:pPr>
              <w:widowControl w:val="0"/>
              <w:tabs>
                <w:tab w:val="decimal" w:pos="198"/>
              </w:tabs>
              <w:adjustRightInd w:val="0"/>
              <w:spacing w:before="36" w:after="36"/>
              <w:ind w:left="-26" w:right="-108" w:firstLine="0"/>
              <w:jc w:val="left"/>
              <w:textAlignment w:val="baseline"/>
              <w:rPr>
                <w:bCs/>
                <w:sz w:val="22"/>
                <w:szCs w:val="22"/>
              </w:rPr>
            </w:pPr>
            <w:r w:rsidRPr="008A4578">
              <w:rPr>
                <w:bCs/>
                <w:sz w:val="22"/>
                <w:szCs w:val="22"/>
              </w:rPr>
              <w:t>0.112</w:t>
            </w:r>
          </w:p>
        </w:tc>
        <w:tc>
          <w:tcPr>
            <w:tcW w:w="992" w:type="dxa"/>
            <w:vAlign w:val="bottom"/>
          </w:tcPr>
          <w:p w:rsidR="00A27E10" w:rsidRPr="008A4578" w:rsidRDefault="00A27E10" w:rsidP="003D3501">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0.368</w:t>
            </w:r>
          </w:p>
        </w:tc>
        <w:tc>
          <w:tcPr>
            <w:tcW w:w="1017" w:type="dxa"/>
            <w:vAlign w:val="bottom"/>
          </w:tcPr>
          <w:p w:rsidR="00A27E10" w:rsidRPr="008A4578" w:rsidRDefault="00A27E10" w:rsidP="00982A4C">
            <w:pPr>
              <w:widowControl w:val="0"/>
              <w:tabs>
                <w:tab w:val="decimal" w:pos="277"/>
              </w:tabs>
              <w:adjustRightInd w:val="0"/>
              <w:spacing w:before="36" w:after="36"/>
              <w:ind w:left="-26" w:right="-108" w:firstLine="0"/>
              <w:jc w:val="left"/>
              <w:textAlignment w:val="baseline"/>
              <w:rPr>
                <w:bCs/>
                <w:sz w:val="22"/>
                <w:szCs w:val="22"/>
              </w:rPr>
            </w:pPr>
            <w:r w:rsidRPr="008A4578">
              <w:rPr>
                <w:bCs/>
                <w:sz w:val="22"/>
                <w:szCs w:val="22"/>
              </w:rPr>
              <w:t>0.137</w:t>
            </w:r>
          </w:p>
        </w:tc>
      </w:tr>
    </w:tbl>
    <w:p w:rsidR="00F626C5" w:rsidRDefault="00F626C5" w:rsidP="003A6FDA">
      <w:pPr>
        <w:spacing w:before="120"/>
        <w:ind w:firstLine="0"/>
        <w:rPr>
          <w:lang w:val="en-US"/>
        </w:rPr>
      </w:pPr>
    </w:p>
    <w:p w:rsidR="00F626C5" w:rsidRDefault="00F626C5">
      <w:pPr>
        <w:spacing w:after="0"/>
        <w:ind w:firstLine="0"/>
        <w:jc w:val="left"/>
        <w:rPr>
          <w:lang w:val="en-US"/>
        </w:rPr>
      </w:pPr>
      <w:r>
        <w:rPr>
          <w:lang w:val="en-US"/>
        </w:rPr>
        <w:br w:type="page"/>
      </w:r>
    </w:p>
    <w:p w:rsidR="00F626C5" w:rsidRDefault="00F626C5" w:rsidP="00161E15">
      <w:pPr>
        <w:ind w:left="1701" w:right="662" w:firstLine="0"/>
        <w:jc w:val="left"/>
        <w:rPr>
          <w:color w:val="000000"/>
          <w:szCs w:val="26"/>
        </w:rPr>
      </w:pPr>
      <w:proofErr w:type="gramStart"/>
      <w:r w:rsidRPr="00C46245">
        <w:rPr>
          <w:color w:val="000000"/>
          <w:szCs w:val="26"/>
        </w:rPr>
        <w:lastRenderedPageBreak/>
        <w:t>T</w:t>
      </w:r>
      <w:r>
        <w:rPr>
          <w:color w:val="000000"/>
          <w:szCs w:val="26"/>
        </w:rPr>
        <w:t>ABLE 4</w:t>
      </w:r>
      <w:r w:rsidRPr="00C46245">
        <w:rPr>
          <w:color w:val="000000"/>
          <w:szCs w:val="26"/>
        </w:rPr>
        <w:t>.</w:t>
      </w:r>
      <w:proofErr w:type="gramEnd"/>
      <w:r>
        <w:rPr>
          <w:color w:val="000000"/>
          <w:szCs w:val="26"/>
        </w:rPr>
        <w:t xml:space="preserve">  </w:t>
      </w:r>
      <w:r w:rsidRPr="005C4B7A">
        <w:rPr>
          <w:color w:val="000000"/>
          <w:szCs w:val="26"/>
        </w:rPr>
        <w:t xml:space="preserve">Assessment of accuracy using different criteria: </w:t>
      </w:r>
      <w:r w:rsidRPr="0024163C">
        <w:rPr>
          <w:lang w:val="en-US"/>
        </w:rPr>
        <w:t>Córdoba</w:t>
      </w:r>
      <w:r>
        <w:rPr>
          <w:lang w:val="en-US"/>
        </w:rPr>
        <w:t>’s</w:t>
      </w:r>
      <w:r>
        <w:rPr>
          <w:color w:val="000000"/>
          <w:szCs w:val="26"/>
        </w:rPr>
        <w:t xml:space="preserve"> imports from other region</w:t>
      </w:r>
      <w:r w:rsidRPr="005C4B7A">
        <w:rPr>
          <w:color w:val="000000"/>
          <w:szCs w:val="26"/>
        </w:rPr>
        <w:t>s in 200</w:t>
      </w:r>
      <w:r>
        <w:rPr>
          <w:color w:val="000000"/>
          <w:szCs w:val="26"/>
        </w:rPr>
        <w:t>3 (</w:t>
      </w:r>
      <w:r>
        <w:rPr>
          <w:i/>
          <w:color w:val="000000"/>
          <w:szCs w:val="26"/>
        </w:rPr>
        <w:t>n</w:t>
      </w:r>
      <w:r>
        <w:rPr>
          <w:color w:val="000000"/>
          <w:szCs w:val="26"/>
        </w:rPr>
        <w:t xml:space="preserve"> = </w:t>
      </w:r>
      <w:r w:rsidR="0008522F">
        <w:rPr>
          <w:color w:val="000000"/>
          <w:szCs w:val="26"/>
        </w:rPr>
        <w:t>28</w:t>
      </w:r>
      <w:r>
        <w:rPr>
          <w:color w:val="000000"/>
          <w:szCs w:val="26"/>
        </w:rPr>
        <w:t>)</w:t>
      </w:r>
    </w:p>
    <w:tbl>
      <w:tblPr>
        <w:tblW w:w="5109" w:type="dxa"/>
        <w:jc w:val="center"/>
        <w:tblInd w:w="2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07"/>
        <w:gridCol w:w="1034"/>
        <w:gridCol w:w="992"/>
        <w:gridCol w:w="1276"/>
      </w:tblGrid>
      <w:tr w:rsidR="00C34BCD" w:rsidTr="00CB002F">
        <w:trPr>
          <w:trHeight w:val="375"/>
          <w:jc w:val="center"/>
        </w:trPr>
        <w:tc>
          <w:tcPr>
            <w:tcW w:w="1807" w:type="dxa"/>
            <w:vMerge w:val="restart"/>
          </w:tcPr>
          <w:p w:rsidR="00C34BCD" w:rsidRPr="00F3332B" w:rsidRDefault="00C34BCD" w:rsidP="0086246B">
            <w:pPr>
              <w:pStyle w:val="Normaali1"/>
              <w:spacing w:before="60" w:after="60" w:line="240" w:lineRule="auto"/>
              <w:ind w:left="5" w:right="125"/>
              <w:rPr>
                <w:rFonts w:ascii="Times New Roman" w:hAnsi="Times New Roman"/>
                <w:sz w:val="22"/>
                <w:szCs w:val="22"/>
              </w:rPr>
            </w:pPr>
          </w:p>
          <w:p w:rsidR="00C34BCD" w:rsidRPr="00F3332B" w:rsidRDefault="00C34BCD" w:rsidP="0086246B">
            <w:pPr>
              <w:pStyle w:val="Normaali1"/>
              <w:spacing w:before="60" w:after="60" w:line="240" w:lineRule="auto"/>
              <w:ind w:left="-4" w:right="125"/>
              <w:rPr>
                <w:rFonts w:ascii="Times New Roman" w:hAnsi="Times New Roman"/>
                <w:sz w:val="22"/>
                <w:szCs w:val="22"/>
              </w:rPr>
            </w:pPr>
            <w:r w:rsidRPr="00F3332B">
              <w:rPr>
                <w:rFonts w:ascii="Times New Roman" w:hAnsi="Times New Roman"/>
                <w:sz w:val="22"/>
                <w:szCs w:val="22"/>
              </w:rPr>
              <w:t>Method</w:t>
            </w:r>
          </w:p>
        </w:tc>
        <w:tc>
          <w:tcPr>
            <w:tcW w:w="3302" w:type="dxa"/>
            <w:gridSpan w:val="3"/>
          </w:tcPr>
          <w:p w:rsidR="00C34BCD" w:rsidRPr="00F3332B" w:rsidRDefault="00C34BCD" w:rsidP="0086246B">
            <w:pPr>
              <w:pStyle w:val="Normaali1"/>
              <w:spacing w:before="60" w:after="60" w:line="240" w:lineRule="auto"/>
              <w:ind w:left="-37" w:right="284"/>
              <w:jc w:val="center"/>
              <w:rPr>
                <w:rFonts w:ascii="Times New Roman" w:hAnsi="Times New Roman"/>
                <w:sz w:val="22"/>
                <w:szCs w:val="22"/>
              </w:rPr>
            </w:pPr>
            <w:r w:rsidRPr="00F3332B">
              <w:rPr>
                <w:rFonts w:ascii="Times New Roman" w:hAnsi="Times New Roman"/>
                <w:sz w:val="22"/>
                <w:szCs w:val="22"/>
              </w:rPr>
              <w:t>Criterion</w:t>
            </w:r>
          </w:p>
        </w:tc>
      </w:tr>
      <w:tr w:rsidR="00C34BCD" w:rsidTr="00CB002F">
        <w:trPr>
          <w:trHeight w:val="375"/>
          <w:jc w:val="center"/>
        </w:trPr>
        <w:tc>
          <w:tcPr>
            <w:tcW w:w="1807" w:type="dxa"/>
            <w:vMerge/>
          </w:tcPr>
          <w:p w:rsidR="00C34BCD" w:rsidRPr="00F3332B" w:rsidRDefault="00C34BCD" w:rsidP="0086246B">
            <w:pPr>
              <w:pStyle w:val="Normaali1"/>
              <w:tabs>
                <w:tab w:val="left" w:pos="360"/>
                <w:tab w:val="left" w:pos="972"/>
              </w:tabs>
              <w:spacing w:before="60" w:after="60" w:line="240" w:lineRule="auto"/>
              <w:ind w:left="397" w:right="284"/>
              <w:rPr>
                <w:rFonts w:ascii="Times New Roman" w:hAnsi="Times New Roman"/>
                <w:sz w:val="22"/>
                <w:szCs w:val="22"/>
              </w:rPr>
            </w:pPr>
          </w:p>
        </w:tc>
        <w:tc>
          <w:tcPr>
            <w:tcW w:w="1034" w:type="dxa"/>
            <w:shd w:val="clear" w:color="auto" w:fill="auto"/>
          </w:tcPr>
          <w:p w:rsidR="00C34BCD" w:rsidRPr="00F3332B" w:rsidRDefault="00C34BCD" w:rsidP="00972888">
            <w:pPr>
              <w:pStyle w:val="Normaali1"/>
              <w:tabs>
                <w:tab w:val="left" w:pos="278"/>
              </w:tabs>
              <w:spacing w:before="60" w:after="60" w:line="240" w:lineRule="auto"/>
              <w:ind w:left="-115" w:right="-115"/>
              <w:jc w:val="center"/>
              <w:rPr>
                <w:rFonts w:ascii="Times New Roman" w:hAnsi="Times New Roman"/>
                <w:sz w:val="22"/>
                <w:szCs w:val="22"/>
              </w:rPr>
            </w:pPr>
            <w:r w:rsidRPr="00F3332B">
              <w:rPr>
                <w:rFonts w:ascii="Times New Roman" w:hAnsi="Times New Roman"/>
                <w:sz w:val="22"/>
                <w:szCs w:val="22"/>
              </w:rPr>
              <w:t>TPE</w:t>
            </w:r>
          </w:p>
        </w:tc>
        <w:tc>
          <w:tcPr>
            <w:tcW w:w="992" w:type="dxa"/>
          </w:tcPr>
          <w:p w:rsidR="00C34BCD" w:rsidRPr="00EF08AF" w:rsidRDefault="00D01E9F" w:rsidP="0086246B">
            <w:pPr>
              <w:pStyle w:val="Normaali1"/>
              <w:spacing w:before="60" w:after="60" w:line="240" w:lineRule="auto"/>
              <w:ind w:right="26" w:hanging="5"/>
              <w:jc w:val="center"/>
              <w:rPr>
                <w:rFonts w:ascii="Times New Roman" w:hAnsi="Times New Roman"/>
                <w:sz w:val="22"/>
                <w:szCs w:val="22"/>
              </w:rPr>
            </w:pPr>
            <w:r>
              <w:rPr>
                <w:rFonts w:ascii="Times New Roman" w:hAnsi="Times New Roman"/>
                <w:sz w:val="22"/>
                <w:szCs w:val="22"/>
              </w:rPr>
              <w:t>MAD</w:t>
            </w:r>
          </w:p>
        </w:tc>
        <w:tc>
          <w:tcPr>
            <w:tcW w:w="1276" w:type="dxa"/>
          </w:tcPr>
          <w:p w:rsidR="00C34BCD" w:rsidRPr="00E41343" w:rsidRDefault="00D01E9F" w:rsidP="0086246B">
            <w:pPr>
              <w:pStyle w:val="Normaali1"/>
              <w:spacing w:before="60" w:after="60" w:line="240" w:lineRule="auto"/>
              <w:ind w:left="-115" w:right="-115"/>
              <w:jc w:val="center"/>
              <w:rPr>
                <w:rFonts w:ascii="Times New Roman" w:hAnsi="Times New Roman"/>
                <w:sz w:val="22"/>
                <w:szCs w:val="22"/>
              </w:rPr>
            </w:pPr>
            <w:r>
              <w:rPr>
                <w:rFonts w:ascii="Times New Roman" w:hAnsi="Times New Roman"/>
                <w:sz w:val="22"/>
                <w:szCs w:val="22"/>
              </w:rPr>
              <w:t>WMAD</w:t>
            </w:r>
          </w:p>
        </w:tc>
      </w:tr>
      <w:tr w:rsidR="004F09AC" w:rsidTr="00CB002F">
        <w:trPr>
          <w:jc w:val="center"/>
        </w:trPr>
        <w:tc>
          <w:tcPr>
            <w:tcW w:w="1807" w:type="dxa"/>
          </w:tcPr>
          <w:p w:rsidR="004F09AC" w:rsidRPr="00F3332B" w:rsidRDefault="004F09AC" w:rsidP="0086246B">
            <w:pPr>
              <w:pStyle w:val="Normaali1"/>
              <w:tabs>
                <w:tab w:val="left" w:pos="360"/>
                <w:tab w:val="left" w:pos="972"/>
              </w:tabs>
              <w:spacing w:before="60" w:after="60" w:line="240" w:lineRule="auto"/>
              <w:ind w:left="403" w:right="288" w:hanging="397"/>
              <w:rPr>
                <w:rFonts w:ascii="Times New Roman" w:hAnsi="Times New Roman"/>
                <w:sz w:val="22"/>
                <w:szCs w:val="22"/>
              </w:rPr>
            </w:pPr>
            <w:r w:rsidRPr="00F3332B">
              <w:rPr>
                <w:rFonts w:ascii="Times New Roman" w:hAnsi="Times New Roman"/>
                <w:sz w:val="22"/>
                <w:szCs w:val="22"/>
              </w:rPr>
              <w:t>SLQ</w:t>
            </w:r>
          </w:p>
        </w:tc>
        <w:tc>
          <w:tcPr>
            <w:tcW w:w="1034" w:type="dxa"/>
            <w:vAlign w:val="bottom"/>
          </w:tcPr>
          <w:p w:rsidR="004F09AC" w:rsidRPr="00D72174" w:rsidRDefault="004F09AC" w:rsidP="00972888">
            <w:pPr>
              <w:widowControl w:val="0"/>
              <w:tabs>
                <w:tab w:val="decimal" w:pos="373"/>
              </w:tabs>
              <w:adjustRightInd w:val="0"/>
              <w:spacing w:before="36" w:after="36"/>
              <w:ind w:left="50" w:right="-108" w:firstLine="0"/>
              <w:jc w:val="left"/>
              <w:textAlignment w:val="baseline"/>
              <w:rPr>
                <w:bCs/>
                <w:sz w:val="22"/>
                <w:szCs w:val="22"/>
              </w:rPr>
            </w:pPr>
            <w:r w:rsidRPr="00D72174">
              <w:rPr>
                <w:bCs/>
                <w:sz w:val="22"/>
                <w:szCs w:val="22"/>
              </w:rPr>
              <w:t>291.82</w:t>
            </w:r>
          </w:p>
        </w:tc>
        <w:tc>
          <w:tcPr>
            <w:tcW w:w="992" w:type="dxa"/>
            <w:vAlign w:val="bottom"/>
          </w:tcPr>
          <w:p w:rsidR="004F09AC" w:rsidRPr="00D72174" w:rsidRDefault="005A4A10" w:rsidP="00CB002F">
            <w:pPr>
              <w:widowControl w:val="0"/>
              <w:tabs>
                <w:tab w:val="decimal" w:pos="168"/>
              </w:tabs>
              <w:adjustRightInd w:val="0"/>
              <w:spacing w:before="36" w:after="36"/>
              <w:ind w:left="50" w:right="-108" w:firstLine="0"/>
              <w:jc w:val="left"/>
              <w:textAlignment w:val="baseline"/>
              <w:rPr>
                <w:bCs/>
                <w:sz w:val="22"/>
                <w:szCs w:val="22"/>
              </w:rPr>
            </w:pPr>
            <w:r>
              <w:rPr>
                <w:bCs/>
                <w:sz w:val="22"/>
                <w:szCs w:val="22"/>
              </w:rPr>
              <w:t>0.</w:t>
            </w:r>
            <w:r w:rsidR="004F09AC" w:rsidRPr="00D72174">
              <w:rPr>
                <w:bCs/>
                <w:sz w:val="22"/>
                <w:szCs w:val="22"/>
              </w:rPr>
              <w:t>1</w:t>
            </w:r>
            <w:r>
              <w:rPr>
                <w:bCs/>
                <w:sz w:val="22"/>
                <w:szCs w:val="22"/>
              </w:rPr>
              <w:t>2</w:t>
            </w:r>
            <w:r w:rsidR="004F09AC" w:rsidRPr="00D72174">
              <w:rPr>
                <w:bCs/>
                <w:sz w:val="22"/>
                <w:szCs w:val="22"/>
              </w:rPr>
              <w:t>07</w:t>
            </w:r>
          </w:p>
        </w:tc>
        <w:tc>
          <w:tcPr>
            <w:tcW w:w="1276" w:type="dxa"/>
            <w:vAlign w:val="bottom"/>
          </w:tcPr>
          <w:p w:rsidR="004F09AC" w:rsidRPr="00D72174" w:rsidRDefault="004A1D41" w:rsidP="00CB002F">
            <w:pPr>
              <w:widowControl w:val="0"/>
              <w:tabs>
                <w:tab w:val="decimal" w:pos="331"/>
              </w:tabs>
              <w:adjustRightInd w:val="0"/>
              <w:spacing w:before="36" w:after="36"/>
              <w:ind w:left="50" w:right="-108" w:firstLine="0"/>
              <w:jc w:val="left"/>
              <w:textAlignment w:val="baseline"/>
              <w:rPr>
                <w:bCs/>
                <w:sz w:val="22"/>
                <w:szCs w:val="22"/>
              </w:rPr>
            </w:pPr>
            <w:r>
              <w:rPr>
                <w:bCs/>
                <w:sz w:val="22"/>
                <w:szCs w:val="22"/>
              </w:rPr>
              <w:t>0.</w:t>
            </w:r>
            <w:r w:rsidR="004F09AC" w:rsidRPr="00D72174">
              <w:rPr>
                <w:bCs/>
                <w:sz w:val="22"/>
                <w:szCs w:val="22"/>
              </w:rPr>
              <w:t>1</w:t>
            </w:r>
            <w:r w:rsidR="004F09AC">
              <w:rPr>
                <w:bCs/>
                <w:sz w:val="22"/>
                <w:szCs w:val="22"/>
              </w:rPr>
              <w:t>051</w:t>
            </w:r>
          </w:p>
        </w:tc>
      </w:tr>
      <w:tr w:rsidR="004F09AC" w:rsidTr="00CB002F">
        <w:trPr>
          <w:jc w:val="center"/>
        </w:trPr>
        <w:tc>
          <w:tcPr>
            <w:tcW w:w="1807" w:type="dxa"/>
          </w:tcPr>
          <w:p w:rsidR="004F09AC" w:rsidRPr="00F3332B" w:rsidRDefault="004F09AC" w:rsidP="0086246B">
            <w:pPr>
              <w:pStyle w:val="Normaali1"/>
              <w:tabs>
                <w:tab w:val="left" w:pos="360"/>
                <w:tab w:val="left" w:pos="972"/>
              </w:tabs>
              <w:spacing w:before="60" w:after="60" w:line="240" w:lineRule="auto"/>
              <w:ind w:left="403" w:right="288" w:hanging="397"/>
              <w:rPr>
                <w:rFonts w:ascii="Times New Roman" w:hAnsi="Times New Roman"/>
                <w:sz w:val="22"/>
                <w:szCs w:val="22"/>
              </w:rPr>
            </w:pPr>
            <w:r w:rsidRPr="00F3332B">
              <w:rPr>
                <w:rFonts w:ascii="Times New Roman" w:hAnsi="Times New Roman"/>
                <w:sz w:val="22"/>
                <w:szCs w:val="22"/>
              </w:rPr>
              <w:t>CILQ</w:t>
            </w:r>
          </w:p>
        </w:tc>
        <w:tc>
          <w:tcPr>
            <w:tcW w:w="1034" w:type="dxa"/>
            <w:vAlign w:val="bottom"/>
          </w:tcPr>
          <w:p w:rsidR="004F09AC" w:rsidRPr="00D72174" w:rsidRDefault="004F09AC" w:rsidP="00972888">
            <w:pPr>
              <w:widowControl w:val="0"/>
              <w:tabs>
                <w:tab w:val="decimal" w:pos="373"/>
              </w:tabs>
              <w:adjustRightInd w:val="0"/>
              <w:spacing w:before="36" w:after="36"/>
              <w:ind w:left="50" w:right="-108" w:firstLine="0"/>
              <w:jc w:val="left"/>
              <w:textAlignment w:val="baseline"/>
              <w:rPr>
                <w:bCs/>
                <w:sz w:val="22"/>
                <w:szCs w:val="22"/>
              </w:rPr>
            </w:pPr>
            <w:r w:rsidRPr="00D72174">
              <w:rPr>
                <w:bCs/>
                <w:sz w:val="22"/>
                <w:szCs w:val="22"/>
              </w:rPr>
              <w:t>22.30</w:t>
            </w:r>
          </w:p>
        </w:tc>
        <w:tc>
          <w:tcPr>
            <w:tcW w:w="992" w:type="dxa"/>
            <w:vAlign w:val="bottom"/>
          </w:tcPr>
          <w:p w:rsidR="004F09AC" w:rsidRPr="00D72174" w:rsidRDefault="005A4A10" w:rsidP="00CB002F">
            <w:pPr>
              <w:widowControl w:val="0"/>
              <w:tabs>
                <w:tab w:val="decimal" w:pos="168"/>
              </w:tabs>
              <w:adjustRightInd w:val="0"/>
              <w:spacing w:before="36" w:after="36"/>
              <w:ind w:left="50" w:right="-108" w:firstLine="0"/>
              <w:jc w:val="left"/>
              <w:textAlignment w:val="baseline"/>
              <w:rPr>
                <w:bCs/>
                <w:sz w:val="22"/>
                <w:szCs w:val="22"/>
              </w:rPr>
            </w:pPr>
            <w:r>
              <w:rPr>
                <w:bCs/>
                <w:sz w:val="22"/>
                <w:szCs w:val="22"/>
              </w:rPr>
              <w:t>0.0</w:t>
            </w:r>
            <w:r w:rsidR="004F09AC" w:rsidRPr="00D72174">
              <w:rPr>
                <w:bCs/>
                <w:sz w:val="22"/>
                <w:szCs w:val="22"/>
              </w:rPr>
              <w:t>904</w:t>
            </w:r>
          </w:p>
        </w:tc>
        <w:tc>
          <w:tcPr>
            <w:tcW w:w="1276" w:type="dxa"/>
            <w:vAlign w:val="bottom"/>
          </w:tcPr>
          <w:p w:rsidR="004F09AC" w:rsidRPr="00D72174" w:rsidRDefault="004A1D41" w:rsidP="00CB002F">
            <w:pPr>
              <w:widowControl w:val="0"/>
              <w:tabs>
                <w:tab w:val="decimal" w:pos="331"/>
              </w:tabs>
              <w:adjustRightInd w:val="0"/>
              <w:spacing w:before="36" w:after="36"/>
              <w:ind w:left="50" w:right="-108" w:firstLine="0"/>
              <w:jc w:val="left"/>
              <w:textAlignment w:val="baseline"/>
              <w:rPr>
                <w:bCs/>
                <w:sz w:val="22"/>
                <w:szCs w:val="22"/>
              </w:rPr>
            </w:pPr>
            <w:r>
              <w:rPr>
                <w:bCs/>
                <w:sz w:val="22"/>
                <w:szCs w:val="22"/>
              </w:rPr>
              <w:t>0.0</w:t>
            </w:r>
            <w:r w:rsidR="004F09AC">
              <w:rPr>
                <w:bCs/>
                <w:sz w:val="22"/>
                <w:szCs w:val="22"/>
              </w:rPr>
              <w:t>5</w:t>
            </w:r>
            <w:r w:rsidR="004F09AC" w:rsidRPr="00D72174">
              <w:rPr>
                <w:bCs/>
                <w:sz w:val="22"/>
                <w:szCs w:val="22"/>
              </w:rPr>
              <w:t>4</w:t>
            </w:r>
            <w:r w:rsidR="004F09AC">
              <w:rPr>
                <w:bCs/>
                <w:sz w:val="22"/>
                <w:szCs w:val="22"/>
              </w:rPr>
              <w:t>9</w:t>
            </w:r>
          </w:p>
        </w:tc>
      </w:tr>
      <w:tr w:rsidR="004F09AC" w:rsidTr="00CB002F">
        <w:trPr>
          <w:jc w:val="center"/>
        </w:trPr>
        <w:tc>
          <w:tcPr>
            <w:tcW w:w="1807" w:type="dxa"/>
          </w:tcPr>
          <w:p w:rsidR="004F09AC" w:rsidRPr="00F3332B" w:rsidRDefault="004F09AC" w:rsidP="0086246B">
            <w:pPr>
              <w:pStyle w:val="Normaali1"/>
              <w:spacing w:before="60" w:after="60" w:line="240" w:lineRule="auto"/>
              <w:ind w:right="-81"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w:t>
            </w:r>
          </w:p>
        </w:tc>
        <w:tc>
          <w:tcPr>
            <w:tcW w:w="1034" w:type="dxa"/>
            <w:vAlign w:val="bottom"/>
          </w:tcPr>
          <w:p w:rsidR="004F09AC" w:rsidRPr="00D72174" w:rsidRDefault="004F09AC" w:rsidP="00972888">
            <w:pPr>
              <w:widowControl w:val="0"/>
              <w:tabs>
                <w:tab w:val="decimal" w:pos="373"/>
              </w:tabs>
              <w:adjustRightInd w:val="0"/>
              <w:spacing w:before="36" w:after="36"/>
              <w:ind w:left="50" w:right="-108" w:firstLine="0"/>
              <w:jc w:val="left"/>
              <w:textAlignment w:val="baseline"/>
              <w:rPr>
                <w:bCs/>
                <w:sz w:val="22"/>
                <w:szCs w:val="22"/>
              </w:rPr>
            </w:pPr>
            <w:r w:rsidRPr="00D72174">
              <w:rPr>
                <w:bCs/>
                <w:sz w:val="22"/>
                <w:szCs w:val="22"/>
              </w:rPr>
              <w:t>12.98</w:t>
            </w:r>
          </w:p>
        </w:tc>
        <w:tc>
          <w:tcPr>
            <w:tcW w:w="992" w:type="dxa"/>
            <w:vAlign w:val="bottom"/>
          </w:tcPr>
          <w:p w:rsidR="004F09AC" w:rsidRPr="00D72174" w:rsidRDefault="005A4A10" w:rsidP="00CB002F">
            <w:pPr>
              <w:widowControl w:val="0"/>
              <w:tabs>
                <w:tab w:val="decimal" w:pos="168"/>
              </w:tabs>
              <w:adjustRightInd w:val="0"/>
              <w:spacing w:before="36" w:after="36"/>
              <w:ind w:left="50" w:right="-108" w:firstLine="0"/>
              <w:jc w:val="left"/>
              <w:textAlignment w:val="baseline"/>
              <w:rPr>
                <w:bCs/>
                <w:sz w:val="22"/>
                <w:szCs w:val="22"/>
              </w:rPr>
            </w:pPr>
            <w:r>
              <w:rPr>
                <w:bCs/>
                <w:sz w:val="22"/>
                <w:szCs w:val="22"/>
              </w:rPr>
              <w:t>0.06</w:t>
            </w:r>
            <w:r w:rsidR="004F09AC" w:rsidRPr="00D72174">
              <w:rPr>
                <w:bCs/>
                <w:sz w:val="22"/>
                <w:szCs w:val="22"/>
              </w:rPr>
              <w:t>01</w:t>
            </w:r>
          </w:p>
        </w:tc>
        <w:tc>
          <w:tcPr>
            <w:tcW w:w="1276" w:type="dxa"/>
            <w:vAlign w:val="bottom"/>
          </w:tcPr>
          <w:p w:rsidR="004F09AC" w:rsidRPr="00D72174" w:rsidRDefault="004A1D41" w:rsidP="00CB002F">
            <w:pPr>
              <w:widowControl w:val="0"/>
              <w:tabs>
                <w:tab w:val="decimal" w:pos="331"/>
              </w:tabs>
              <w:adjustRightInd w:val="0"/>
              <w:spacing w:before="36" w:after="36"/>
              <w:ind w:left="50" w:right="-108" w:firstLine="0"/>
              <w:jc w:val="left"/>
              <w:textAlignment w:val="baseline"/>
              <w:rPr>
                <w:bCs/>
                <w:sz w:val="22"/>
                <w:szCs w:val="22"/>
              </w:rPr>
            </w:pPr>
            <w:r>
              <w:rPr>
                <w:bCs/>
                <w:sz w:val="22"/>
                <w:szCs w:val="22"/>
              </w:rPr>
              <w:t>0.0</w:t>
            </w:r>
            <w:r w:rsidR="004F09AC">
              <w:rPr>
                <w:bCs/>
                <w:sz w:val="22"/>
                <w:szCs w:val="22"/>
              </w:rPr>
              <w:t>487</w:t>
            </w:r>
          </w:p>
        </w:tc>
      </w:tr>
      <w:tr w:rsidR="004F09AC" w:rsidTr="00CB002F">
        <w:trPr>
          <w:jc w:val="center"/>
        </w:trPr>
        <w:tc>
          <w:tcPr>
            <w:tcW w:w="1807" w:type="dxa"/>
          </w:tcPr>
          <w:p w:rsidR="004F09AC" w:rsidRPr="00F3332B" w:rsidRDefault="004F09AC" w:rsidP="0086246B">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05</w:t>
            </w:r>
            <w:r w:rsidRPr="00F3332B">
              <w:rPr>
                <w:rFonts w:ascii="Times New Roman" w:hAnsi="Times New Roman"/>
                <w:sz w:val="22"/>
                <w:szCs w:val="22"/>
              </w:rPr>
              <w:t>)</w:t>
            </w:r>
          </w:p>
        </w:tc>
        <w:tc>
          <w:tcPr>
            <w:tcW w:w="1034" w:type="dxa"/>
            <w:vAlign w:val="bottom"/>
          </w:tcPr>
          <w:p w:rsidR="004F09AC" w:rsidRPr="00D72174" w:rsidRDefault="004F09AC" w:rsidP="00972888">
            <w:pPr>
              <w:widowControl w:val="0"/>
              <w:tabs>
                <w:tab w:val="decimal" w:pos="373"/>
              </w:tabs>
              <w:adjustRightInd w:val="0"/>
              <w:spacing w:before="36" w:after="36"/>
              <w:ind w:left="50" w:right="-108" w:firstLine="0"/>
              <w:jc w:val="left"/>
              <w:textAlignment w:val="baseline"/>
              <w:rPr>
                <w:bCs/>
                <w:sz w:val="22"/>
                <w:szCs w:val="22"/>
              </w:rPr>
            </w:pPr>
            <w:r w:rsidRPr="00D72174">
              <w:rPr>
                <w:bCs/>
                <w:sz w:val="22"/>
                <w:szCs w:val="22"/>
              </w:rPr>
              <w:t>1.07</w:t>
            </w:r>
          </w:p>
        </w:tc>
        <w:tc>
          <w:tcPr>
            <w:tcW w:w="992" w:type="dxa"/>
            <w:vAlign w:val="bottom"/>
          </w:tcPr>
          <w:p w:rsidR="004F09AC" w:rsidRPr="00D72174" w:rsidRDefault="005A4A10" w:rsidP="00CB002F">
            <w:pPr>
              <w:widowControl w:val="0"/>
              <w:tabs>
                <w:tab w:val="decimal" w:pos="168"/>
              </w:tabs>
              <w:adjustRightInd w:val="0"/>
              <w:spacing w:before="36" w:after="36"/>
              <w:ind w:left="50" w:right="-108" w:firstLine="0"/>
              <w:jc w:val="left"/>
              <w:textAlignment w:val="baseline"/>
              <w:rPr>
                <w:bCs/>
                <w:sz w:val="22"/>
                <w:szCs w:val="22"/>
              </w:rPr>
            </w:pPr>
            <w:r>
              <w:rPr>
                <w:bCs/>
                <w:sz w:val="22"/>
                <w:szCs w:val="22"/>
              </w:rPr>
              <w:t>0.0</w:t>
            </w:r>
            <w:r w:rsidR="004F09AC" w:rsidRPr="00D72174">
              <w:rPr>
                <w:bCs/>
                <w:sz w:val="22"/>
                <w:szCs w:val="22"/>
              </w:rPr>
              <w:t>578</w:t>
            </w:r>
          </w:p>
        </w:tc>
        <w:tc>
          <w:tcPr>
            <w:tcW w:w="1276" w:type="dxa"/>
            <w:vAlign w:val="bottom"/>
          </w:tcPr>
          <w:p w:rsidR="004F09AC" w:rsidRPr="00D72174" w:rsidRDefault="004A1D41" w:rsidP="00CB002F">
            <w:pPr>
              <w:widowControl w:val="0"/>
              <w:tabs>
                <w:tab w:val="decimal" w:pos="331"/>
              </w:tabs>
              <w:adjustRightInd w:val="0"/>
              <w:spacing w:before="36" w:after="36"/>
              <w:ind w:left="50" w:right="-108" w:firstLine="0"/>
              <w:jc w:val="left"/>
              <w:textAlignment w:val="baseline"/>
              <w:rPr>
                <w:bCs/>
                <w:sz w:val="22"/>
                <w:szCs w:val="22"/>
              </w:rPr>
            </w:pPr>
            <w:r>
              <w:rPr>
                <w:bCs/>
                <w:sz w:val="22"/>
                <w:szCs w:val="22"/>
              </w:rPr>
              <w:t>0.0</w:t>
            </w:r>
            <w:r w:rsidR="004F09AC">
              <w:rPr>
                <w:bCs/>
                <w:sz w:val="22"/>
                <w:szCs w:val="22"/>
              </w:rPr>
              <w:t>4</w:t>
            </w:r>
            <w:r w:rsidR="004F09AC" w:rsidRPr="00D72174">
              <w:rPr>
                <w:bCs/>
                <w:sz w:val="22"/>
                <w:szCs w:val="22"/>
              </w:rPr>
              <w:t>8</w:t>
            </w:r>
            <w:r w:rsidR="004F09AC">
              <w:rPr>
                <w:bCs/>
                <w:sz w:val="22"/>
                <w:szCs w:val="22"/>
              </w:rPr>
              <w:t>2</w:t>
            </w:r>
          </w:p>
        </w:tc>
      </w:tr>
      <w:tr w:rsidR="004F09AC" w:rsidTr="00CB002F">
        <w:trPr>
          <w:jc w:val="center"/>
        </w:trPr>
        <w:tc>
          <w:tcPr>
            <w:tcW w:w="1807" w:type="dxa"/>
          </w:tcPr>
          <w:p w:rsidR="004F09AC" w:rsidRPr="00F3332B" w:rsidRDefault="004F09AC" w:rsidP="0086246B">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0.1</w:t>
            </w:r>
            <w:r w:rsidRPr="00F3332B">
              <w:rPr>
                <w:rFonts w:ascii="Times New Roman" w:hAnsi="Times New Roman"/>
                <w:sz w:val="22"/>
                <w:szCs w:val="22"/>
              </w:rPr>
              <w:t>)</w:t>
            </w:r>
          </w:p>
        </w:tc>
        <w:tc>
          <w:tcPr>
            <w:tcW w:w="1034" w:type="dxa"/>
            <w:vAlign w:val="bottom"/>
          </w:tcPr>
          <w:p w:rsidR="004F09AC" w:rsidRPr="00D72174" w:rsidRDefault="00161E15" w:rsidP="00972888">
            <w:pPr>
              <w:widowControl w:val="0"/>
              <w:tabs>
                <w:tab w:val="decimal" w:pos="373"/>
              </w:tabs>
              <w:adjustRightInd w:val="0"/>
              <w:spacing w:before="36" w:after="36"/>
              <w:ind w:left="50" w:right="-108" w:firstLine="0"/>
              <w:jc w:val="left"/>
              <w:textAlignment w:val="baseline"/>
              <w:rPr>
                <w:bCs/>
                <w:sz w:val="22"/>
                <w:szCs w:val="22"/>
              </w:rPr>
            </w:pPr>
            <w:r w:rsidRPr="009849D8">
              <w:rPr>
                <w:sz w:val="22"/>
                <w:szCs w:val="22"/>
              </w:rPr>
              <w:sym w:font="Symbol" w:char="F02D"/>
            </w:r>
            <w:r w:rsidR="004F09AC" w:rsidRPr="00D72174">
              <w:rPr>
                <w:bCs/>
                <w:sz w:val="22"/>
                <w:szCs w:val="22"/>
              </w:rPr>
              <w:t>9.59</w:t>
            </w:r>
          </w:p>
        </w:tc>
        <w:tc>
          <w:tcPr>
            <w:tcW w:w="992" w:type="dxa"/>
            <w:vAlign w:val="bottom"/>
          </w:tcPr>
          <w:p w:rsidR="004F09AC" w:rsidRPr="00D72174" w:rsidRDefault="005A4A10" w:rsidP="00CB002F">
            <w:pPr>
              <w:widowControl w:val="0"/>
              <w:tabs>
                <w:tab w:val="decimal" w:pos="168"/>
              </w:tabs>
              <w:adjustRightInd w:val="0"/>
              <w:spacing w:before="36" w:after="36"/>
              <w:ind w:left="50" w:right="-108" w:firstLine="0"/>
              <w:jc w:val="left"/>
              <w:textAlignment w:val="baseline"/>
              <w:rPr>
                <w:bCs/>
                <w:sz w:val="22"/>
                <w:szCs w:val="22"/>
              </w:rPr>
            </w:pPr>
            <w:r>
              <w:rPr>
                <w:bCs/>
                <w:sz w:val="22"/>
                <w:szCs w:val="22"/>
              </w:rPr>
              <w:t>0.0</w:t>
            </w:r>
            <w:r w:rsidR="004F09AC" w:rsidRPr="00D72174">
              <w:rPr>
                <w:bCs/>
                <w:sz w:val="22"/>
                <w:szCs w:val="22"/>
              </w:rPr>
              <w:t>571</w:t>
            </w:r>
          </w:p>
        </w:tc>
        <w:tc>
          <w:tcPr>
            <w:tcW w:w="1276" w:type="dxa"/>
            <w:vAlign w:val="bottom"/>
          </w:tcPr>
          <w:p w:rsidR="004F09AC" w:rsidRPr="00D72174" w:rsidRDefault="004A1D41" w:rsidP="00CB002F">
            <w:pPr>
              <w:widowControl w:val="0"/>
              <w:tabs>
                <w:tab w:val="decimal" w:pos="331"/>
              </w:tabs>
              <w:adjustRightInd w:val="0"/>
              <w:spacing w:before="36" w:after="36"/>
              <w:ind w:left="50" w:right="-108" w:firstLine="0"/>
              <w:jc w:val="left"/>
              <w:textAlignment w:val="baseline"/>
              <w:rPr>
                <w:bCs/>
                <w:sz w:val="22"/>
                <w:szCs w:val="22"/>
              </w:rPr>
            </w:pPr>
            <w:r>
              <w:rPr>
                <w:bCs/>
                <w:sz w:val="22"/>
                <w:szCs w:val="22"/>
              </w:rPr>
              <w:t>0.0</w:t>
            </w:r>
            <w:r w:rsidR="004F09AC">
              <w:rPr>
                <w:bCs/>
                <w:sz w:val="22"/>
                <w:szCs w:val="22"/>
              </w:rPr>
              <w:t>491</w:t>
            </w:r>
          </w:p>
        </w:tc>
      </w:tr>
      <w:tr w:rsidR="004F09AC" w:rsidTr="00CB002F">
        <w:trPr>
          <w:jc w:val="center"/>
        </w:trPr>
        <w:tc>
          <w:tcPr>
            <w:tcW w:w="1807" w:type="dxa"/>
          </w:tcPr>
          <w:p w:rsidR="004F09AC" w:rsidRPr="00F3332B" w:rsidRDefault="004F09AC" w:rsidP="0086246B">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0.15</w:t>
            </w:r>
            <w:r w:rsidRPr="00F3332B">
              <w:rPr>
                <w:rFonts w:ascii="Times New Roman" w:hAnsi="Times New Roman"/>
                <w:sz w:val="22"/>
                <w:szCs w:val="22"/>
              </w:rPr>
              <w:t>)</w:t>
            </w:r>
          </w:p>
        </w:tc>
        <w:tc>
          <w:tcPr>
            <w:tcW w:w="1034" w:type="dxa"/>
            <w:vAlign w:val="bottom"/>
          </w:tcPr>
          <w:p w:rsidR="004F09AC" w:rsidRPr="00D72174" w:rsidRDefault="00161E15" w:rsidP="00972888">
            <w:pPr>
              <w:widowControl w:val="0"/>
              <w:tabs>
                <w:tab w:val="decimal" w:pos="373"/>
              </w:tabs>
              <w:adjustRightInd w:val="0"/>
              <w:spacing w:before="36" w:after="36"/>
              <w:ind w:left="50" w:right="-108" w:firstLine="0"/>
              <w:jc w:val="left"/>
              <w:textAlignment w:val="baseline"/>
              <w:rPr>
                <w:bCs/>
                <w:sz w:val="22"/>
                <w:szCs w:val="22"/>
              </w:rPr>
            </w:pPr>
            <w:r w:rsidRPr="009849D8">
              <w:rPr>
                <w:sz w:val="22"/>
                <w:szCs w:val="22"/>
              </w:rPr>
              <w:sym w:font="Symbol" w:char="F02D"/>
            </w:r>
            <w:r w:rsidR="004F09AC" w:rsidRPr="00D72174">
              <w:rPr>
                <w:bCs/>
                <w:sz w:val="22"/>
                <w:szCs w:val="22"/>
              </w:rPr>
              <w:t>18.29</w:t>
            </w:r>
          </w:p>
        </w:tc>
        <w:tc>
          <w:tcPr>
            <w:tcW w:w="992" w:type="dxa"/>
            <w:vAlign w:val="bottom"/>
          </w:tcPr>
          <w:p w:rsidR="004F09AC" w:rsidRPr="00D72174" w:rsidRDefault="00AB7257" w:rsidP="00CB002F">
            <w:pPr>
              <w:widowControl w:val="0"/>
              <w:tabs>
                <w:tab w:val="decimal" w:pos="168"/>
              </w:tabs>
              <w:adjustRightInd w:val="0"/>
              <w:spacing w:before="36" w:after="36"/>
              <w:ind w:left="50" w:right="-108" w:firstLine="0"/>
              <w:jc w:val="left"/>
              <w:textAlignment w:val="baseline"/>
              <w:rPr>
                <w:bCs/>
                <w:sz w:val="22"/>
                <w:szCs w:val="22"/>
              </w:rPr>
            </w:pPr>
            <w:r>
              <w:rPr>
                <w:bCs/>
                <w:sz w:val="22"/>
                <w:szCs w:val="22"/>
              </w:rPr>
              <w:t>0.0</w:t>
            </w:r>
            <w:r w:rsidR="004F09AC" w:rsidRPr="00D72174">
              <w:rPr>
                <w:bCs/>
                <w:sz w:val="22"/>
                <w:szCs w:val="22"/>
              </w:rPr>
              <w:t>579</w:t>
            </w:r>
          </w:p>
        </w:tc>
        <w:tc>
          <w:tcPr>
            <w:tcW w:w="1276" w:type="dxa"/>
            <w:vAlign w:val="bottom"/>
          </w:tcPr>
          <w:p w:rsidR="004F09AC" w:rsidRPr="00D72174" w:rsidRDefault="004A1D41" w:rsidP="00CB002F">
            <w:pPr>
              <w:widowControl w:val="0"/>
              <w:tabs>
                <w:tab w:val="decimal" w:pos="331"/>
              </w:tabs>
              <w:adjustRightInd w:val="0"/>
              <w:spacing w:before="36" w:after="36"/>
              <w:ind w:left="50" w:right="-108" w:firstLine="0"/>
              <w:jc w:val="left"/>
              <w:textAlignment w:val="baseline"/>
              <w:rPr>
                <w:bCs/>
                <w:sz w:val="22"/>
                <w:szCs w:val="22"/>
              </w:rPr>
            </w:pPr>
            <w:r>
              <w:rPr>
                <w:bCs/>
                <w:sz w:val="22"/>
                <w:szCs w:val="22"/>
              </w:rPr>
              <w:t>0.0</w:t>
            </w:r>
            <w:r w:rsidR="004F09AC">
              <w:rPr>
                <w:bCs/>
                <w:sz w:val="22"/>
                <w:szCs w:val="22"/>
              </w:rPr>
              <w:t>518</w:t>
            </w:r>
          </w:p>
        </w:tc>
      </w:tr>
      <w:tr w:rsidR="004F09AC" w:rsidTr="00CB002F">
        <w:trPr>
          <w:jc w:val="center"/>
        </w:trPr>
        <w:tc>
          <w:tcPr>
            <w:tcW w:w="1807" w:type="dxa"/>
          </w:tcPr>
          <w:p w:rsidR="004F09AC" w:rsidRPr="00F3332B" w:rsidRDefault="004F09AC" w:rsidP="0086246B">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0.2</w:t>
            </w:r>
            <w:r w:rsidRPr="00F3332B">
              <w:rPr>
                <w:rFonts w:ascii="Times New Roman" w:hAnsi="Times New Roman"/>
                <w:sz w:val="22"/>
                <w:szCs w:val="22"/>
              </w:rPr>
              <w:t>)</w:t>
            </w:r>
          </w:p>
        </w:tc>
        <w:tc>
          <w:tcPr>
            <w:tcW w:w="1034" w:type="dxa"/>
            <w:vAlign w:val="bottom"/>
          </w:tcPr>
          <w:p w:rsidR="004F09AC" w:rsidRPr="00D72174" w:rsidRDefault="00161E15" w:rsidP="00972888">
            <w:pPr>
              <w:widowControl w:val="0"/>
              <w:tabs>
                <w:tab w:val="decimal" w:pos="373"/>
              </w:tabs>
              <w:adjustRightInd w:val="0"/>
              <w:spacing w:before="36" w:after="36"/>
              <w:ind w:left="50" w:right="-108" w:firstLine="0"/>
              <w:jc w:val="left"/>
              <w:textAlignment w:val="baseline"/>
              <w:rPr>
                <w:bCs/>
                <w:sz w:val="22"/>
                <w:szCs w:val="22"/>
              </w:rPr>
            </w:pPr>
            <w:r w:rsidRPr="009849D8">
              <w:rPr>
                <w:sz w:val="22"/>
                <w:szCs w:val="22"/>
              </w:rPr>
              <w:sym w:font="Symbol" w:char="F02D"/>
            </w:r>
            <w:r w:rsidR="004F09AC" w:rsidRPr="00D72174">
              <w:rPr>
                <w:bCs/>
                <w:sz w:val="22"/>
                <w:szCs w:val="22"/>
              </w:rPr>
              <w:t>26.00</w:t>
            </w:r>
          </w:p>
        </w:tc>
        <w:tc>
          <w:tcPr>
            <w:tcW w:w="992" w:type="dxa"/>
            <w:vAlign w:val="bottom"/>
          </w:tcPr>
          <w:p w:rsidR="004F09AC" w:rsidRPr="00D72174" w:rsidRDefault="00AB7257" w:rsidP="00CB002F">
            <w:pPr>
              <w:widowControl w:val="0"/>
              <w:tabs>
                <w:tab w:val="decimal" w:pos="168"/>
              </w:tabs>
              <w:adjustRightInd w:val="0"/>
              <w:spacing w:before="36" w:after="36"/>
              <w:ind w:left="50" w:right="-108" w:firstLine="0"/>
              <w:jc w:val="left"/>
              <w:textAlignment w:val="baseline"/>
              <w:rPr>
                <w:bCs/>
                <w:sz w:val="22"/>
                <w:szCs w:val="22"/>
              </w:rPr>
            </w:pPr>
            <w:r>
              <w:rPr>
                <w:bCs/>
                <w:sz w:val="22"/>
                <w:szCs w:val="22"/>
              </w:rPr>
              <w:t>0.0</w:t>
            </w:r>
            <w:r w:rsidR="004F09AC" w:rsidRPr="00D72174">
              <w:rPr>
                <w:bCs/>
                <w:sz w:val="22"/>
                <w:szCs w:val="22"/>
              </w:rPr>
              <w:t>623</w:t>
            </w:r>
          </w:p>
        </w:tc>
        <w:tc>
          <w:tcPr>
            <w:tcW w:w="1276" w:type="dxa"/>
            <w:vAlign w:val="bottom"/>
          </w:tcPr>
          <w:p w:rsidR="004F09AC" w:rsidRPr="00D72174" w:rsidRDefault="004A1D41" w:rsidP="00CB002F">
            <w:pPr>
              <w:widowControl w:val="0"/>
              <w:tabs>
                <w:tab w:val="decimal" w:pos="331"/>
              </w:tabs>
              <w:adjustRightInd w:val="0"/>
              <w:spacing w:before="36" w:after="36"/>
              <w:ind w:left="50" w:right="-108" w:firstLine="0"/>
              <w:jc w:val="left"/>
              <w:textAlignment w:val="baseline"/>
              <w:rPr>
                <w:bCs/>
                <w:sz w:val="22"/>
                <w:szCs w:val="22"/>
              </w:rPr>
            </w:pPr>
            <w:r>
              <w:rPr>
                <w:bCs/>
                <w:sz w:val="22"/>
                <w:szCs w:val="22"/>
              </w:rPr>
              <w:t>0.0</w:t>
            </w:r>
            <w:r w:rsidR="004F09AC">
              <w:rPr>
                <w:bCs/>
                <w:sz w:val="22"/>
                <w:szCs w:val="22"/>
              </w:rPr>
              <w:t>574</w:t>
            </w:r>
          </w:p>
        </w:tc>
      </w:tr>
      <w:tr w:rsidR="004F09AC" w:rsidTr="00CB002F">
        <w:trPr>
          <w:jc w:val="center"/>
        </w:trPr>
        <w:tc>
          <w:tcPr>
            <w:tcW w:w="1807" w:type="dxa"/>
          </w:tcPr>
          <w:p w:rsidR="004F09AC" w:rsidRPr="00F3332B" w:rsidRDefault="004F09AC" w:rsidP="0086246B">
            <w:pPr>
              <w:pStyle w:val="Normaali1"/>
              <w:spacing w:before="60" w:after="60" w:line="240" w:lineRule="auto"/>
              <w:ind w:right="-81" w:firstLine="6"/>
              <w:rPr>
                <w:rFonts w:ascii="Times New Roman" w:hAnsi="Times New Roman"/>
                <w:sz w:val="22"/>
                <w:szCs w:val="22"/>
              </w:rPr>
            </w:pPr>
            <w:r>
              <w:rPr>
                <w:rFonts w:ascii="Times New Roman" w:hAnsi="Times New Roman"/>
                <w:sz w:val="22"/>
                <w:szCs w:val="22"/>
              </w:rPr>
              <w:t>A</w:t>
            </w: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w:t>
            </w:r>
          </w:p>
        </w:tc>
        <w:tc>
          <w:tcPr>
            <w:tcW w:w="1034" w:type="dxa"/>
            <w:vAlign w:val="bottom"/>
          </w:tcPr>
          <w:p w:rsidR="004F09AC" w:rsidRPr="00D72174" w:rsidRDefault="004F09AC" w:rsidP="00972888">
            <w:pPr>
              <w:widowControl w:val="0"/>
              <w:tabs>
                <w:tab w:val="decimal" w:pos="373"/>
              </w:tabs>
              <w:adjustRightInd w:val="0"/>
              <w:spacing w:before="36" w:after="36"/>
              <w:ind w:left="50" w:right="-108" w:firstLine="0"/>
              <w:jc w:val="left"/>
              <w:textAlignment w:val="baseline"/>
              <w:rPr>
                <w:bCs/>
                <w:sz w:val="22"/>
                <w:szCs w:val="22"/>
              </w:rPr>
            </w:pPr>
            <w:r w:rsidRPr="00D72174">
              <w:rPr>
                <w:bCs/>
                <w:sz w:val="22"/>
                <w:szCs w:val="22"/>
              </w:rPr>
              <w:t>47.66</w:t>
            </w:r>
          </w:p>
        </w:tc>
        <w:tc>
          <w:tcPr>
            <w:tcW w:w="992" w:type="dxa"/>
            <w:vAlign w:val="bottom"/>
          </w:tcPr>
          <w:p w:rsidR="004F09AC" w:rsidRPr="00D72174" w:rsidRDefault="00AB7257" w:rsidP="00CB002F">
            <w:pPr>
              <w:widowControl w:val="0"/>
              <w:tabs>
                <w:tab w:val="decimal" w:pos="168"/>
              </w:tabs>
              <w:adjustRightInd w:val="0"/>
              <w:spacing w:before="36" w:after="36"/>
              <w:ind w:left="50" w:right="-108" w:firstLine="0"/>
              <w:jc w:val="left"/>
              <w:textAlignment w:val="baseline"/>
              <w:rPr>
                <w:bCs/>
                <w:sz w:val="22"/>
                <w:szCs w:val="22"/>
              </w:rPr>
            </w:pPr>
            <w:r>
              <w:rPr>
                <w:bCs/>
                <w:sz w:val="22"/>
                <w:szCs w:val="22"/>
              </w:rPr>
              <w:t>0.0</w:t>
            </w:r>
            <w:r w:rsidR="004F09AC" w:rsidRPr="00D72174">
              <w:rPr>
                <w:bCs/>
                <w:sz w:val="22"/>
                <w:szCs w:val="22"/>
              </w:rPr>
              <w:t>552</w:t>
            </w:r>
          </w:p>
        </w:tc>
        <w:tc>
          <w:tcPr>
            <w:tcW w:w="1276" w:type="dxa"/>
            <w:vAlign w:val="bottom"/>
          </w:tcPr>
          <w:p w:rsidR="004F09AC" w:rsidRPr="00D72174" w:rsidRDefault="004A1D41" w:rsidP="00CB002F">
            <w:pPr>
              <w:widowControl w:val="0"/>
              <w:tabs>
                <w:tab w:val="decimal" w:pos="331"/>
              </w:tabs>
              <w:adjustRightInd w:val="0"/>
              <w:spacing w:before="36" w:after="36"/>
              <w:ind w:left="50" w:right="-108" w:firstLine="0"/>
              <w:jc w:val="left"/>
              <w:textAlignment w:val="baseline"/>
              <w:rPr>
                <w:bCs/>
                <w:sz w:val="22"/>
                <w:szCs w:val="22"/>
              </w:rPr>
            </w:pPr>
            <w:r>
              <w:rPr>
                <w:bCs/>
                <w:sz w:val="22"/>
                <w:szCs w:val="22"/>
              </w:rPr>
              <w:t>0.0</w:t>
            </w:r>
            <w:r w:rsidR="004F09AC">
              <w:rPr>
                <w:bCs/>
                <w:sz w:val="22"/>
                <w:szCs w:val="22"/>
              </w:rPr>
              <w:t>432</w:t>
            </w:r>
          </w:p>
        </w:tc>
      </w:tr>
      <w:tr w:rsidR="004F09AC" w:rsidTr="00CB002F">
        <w:trPr>
          <w:jc w:val="center"/>
        </w:trPr>
        <w:tc>
          <w:tcPr>
            <w:tcW w:w="1807" w:type="dxa"/>
          </w:tcPr>
          <w:p w:rsidR="004F09AC" w:rsidRPr="00F3332B" w:rsidRDefault="004F09AC" w:rsidP="0086246B">
            <w:pPr>
              <w:pStyle w:val="Normaali1"/>
              <w:spacing w:before="60" w:after="60" w:line="240" w:lineRule="auto"/>
              <w:ind w:right="-84" w:firstLine="6"/>
              <w:rPr>
                <w:rFonts w:ascii="Times New Roman" w:hAnsi="Times New Roman"/>
                <w:sz w:val="22"/>
                <w:szCs w:val="22"/>
              </w:rPr>
            </w:pPr>
            <w:r>
              <w:rPr>
                <w:rFonts w:ascii="Times New Roman" w:hAnsi="Times New Roman"/>
                <w:sz w:val="22"/>
                <w:szCs w:val="22"/>
              </w:rPr>
              <w:t>A</w:t>
            </w: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05</w:t>
            </w:r>
            <w:r w:rsidRPr="00F3332B">
              <w:rPr>
                <w:rFonts w:ascii="Times New Roman" w:hAnsi="Times New Roman"/>
                <w:sz w:val="22"/>
                <w:szCs w:val="22"/>
              </w:rPr>
              <w:t>)</w:t>
            </w:r>
          </w:p>
        </w:tc>
        <w:tc>
          <w:tcPr>
            <w:tcW w:w="1034" w:type="dxa"/>
            <w:vAlign w:val="bottom"/>
          </w:tcPr>
          <w:p w:rsidR="004F09AC" w:rsidRPr="00D72174" w:rsidRDefault="004F09AC" w:rsidP="00972888">
            <w:pPr>
              <w:widowControl w:val="0"/>
              <w:tabs>
                <w:tab w:val="decimal" w:pos="373"/>
              </w:tabs>
              <w:adjustRightInd w:val="0"/>
              <w:spacing w:before="36" w:after="36"/>
              <w:ind w:left="50" w:right="-108" w:firstLine="0"/>
              <w:jc w:val="left"/>
              <w:textAlignment w:val="baseline"/>
              <w:rPr>
                <w:bCs/>
                <w:sz w:val="22"/>
                <w:szCs w:val="22"/>
              </w:rPr>
            </w:pPr>
            <w:r w:rsidRPr="00D72174">
              <w:rPr>
                <w:bCs/>
                <w:sz w:val="22"/>
                <w:szCs w:val="22"/>
              </w:rPr>
              <w:t>25.95</w:t>
            </w:r>
          </w:p>
        </w:tc>
        <w:tc>
          <w:tcPr>
            <w:tcW w:w="992" w:type="dxa"/>
            <w:vAlign w:val="bottom"/>
          </w:tcPr>
          <w:p w:rsidR="004F09AC" w:rsidRPr="00D72174" w:rsidRDefault="00AB7257" w:rsidP="00CB002F">
            <w:pPr>
              <w:widowControl w:val="0"/>
              <w:tabs>
                <w:tab w:val="decimal" w:pos="168"/>
              </w:tabs>
              <w:adjustRightInd w:val="0"/>
              <w:spacing w:before="36" w:after="36"/>
              <w:ind w:left="50" w:right="-108" w:firstLine="0"/>
              <w:jc w:val="left"/>
              <w:textAlignment w:val="baseline"/>
              <w:rPr>
                <w:bCs/>
                <w:sz w:val="22"/>
                <w:szCs w:val="22"/>
              </w:rPr>
            </w:pPr>
            <w:r>
              <w:rPr>
                <w:bCs/>
                <w:sz w:val="22"/>
                <w:szCs w:val="22"/>
              </w:rPr>
              <w:t>0.0</w:t>
            </w:r>
            <w:r w:rsidR="004F09AC" w:rsidRPr="00D72174">
              <w:rPr>
                <w:bCs/>
                <w:sz w:val="22"/>
                <w:szCs w:val="22"/>
              </w:rPr>
              <w:t>518</w:t>
            </w:r>
          </w:p>
        </w:tc>
        <w:tc>
          <w:tcPr>
            <w:tcW w:w="1276" w:type="dxa"/>
            <w:vAlign w:val="bottom"/>
          </w:tcPr>
          <w:p w:rsidR="004F09AC" w:rsidRPr="00D72174" w:rsidRDefault="004A1D41" w:rsidP="00CB002F">
            <w:pPr>
              <w:widowControl w:val="0"/>
              <w:tabs>
                <w:tab w:val="decimal" w:pos="331"/>
              </w:tabs>
              <w:adjustRightInd w:val="0"/>
              <w:spacing w:before="36" w:after="36"/>
              <w:ind w:left="50" w:right="-108" w:firstLine="0"/>
              <w:jc w:val="left"/>
              <w:textAlignment w:val="baseline"/>
              <w:rPr>
                <w:bCs/>
                <w:sz w:val="22"/>
                <w:szCs w:val="22"/>
              </w:rPr>
            </w:pPr>
            <w:r>
              <w:rPr>
                <w:bCs/>
                <w:sz w:val="22"/>
                <w:szCs w:val="22"/>
              </w:rPr>
              <w:t>0.0</w:t>
            </w:r>
            <w:r w:rsidR="004F09AC">
              <w:rPr>
                <w:bCs/>
                <w:sz w:val="22"/>
                <w:szCs w:val="22"/>
              </w:rPr>
              <w:t>420</w:t>
            </w:r>
          </w:p>
        </w:tc>
      </w:tr>
      <w:tr w:rsidR="004F09AC" w:rsidTr="00CB002F">
        <w:trPr>
          <w:jc w:val="center"/>
        </w:trPr>
        <w:tc>
          <w:tcPr>
            <w:tcW w:w="1807" w:type="dxa"/>
          </w:tcPr>
          <w:p w:rsidR="004F09AC" w:rsidRPr="00F3332B" w:rsidRDefault="004F09AC" w:rsidP="0086246B">
            <w:pPr>
              <w:pStyle w:val="Normaali1"/>
              <w:spacing w:before="60" w:after="60" w:line="240" w:lineRule="auto"/>
              <w:ind w:right="-84" w:firstLine="6"/>
              <w:rPr>
                <w:rFonts w:ascii="Times New Roman" w:hAnsi="Times New Roman"/>
                <w:sz w:val="22"/>
                <w:szCs w:val="22"/>
              </w:rPr>
            </w:pPr>
            <w:r>
              <w:rPr>
                <w:rFonts w:ascii="Times New Roman" w:hAnsi="Times New Roman"/>
                <w:sz w:val="22"/>
                <w:szCs w:val="22"/>
              </w:rPr>
              <w:t>A</w:t>
            </w:r>
            <w:r w:rsidRPr="00F3332B">
              <w:rPr>
                <w:rFonts w:ascii="Times New Roman" w:hAnsi="Times New Roman"/>
                <w:sz w:val="22"/>
                <w:szCs w:val="22"/>
              </w:rPr>
              <w:t>FLQ (</w:t>
            </w:r>
            <w:r w:rsidRPr="00F3332B">
              <w:rPr>
                <w:rFonts w:ascii="Times New Roman" w:hAnsi="Times New Roman"/>
                <w:color w:val="000000"/>
                <w:sz w:val="22"/>
                <w:szCs w:val="22"/>
                <w:lang w:val="en-GB"/>
              </w:rPr>
              <w:t>δ = 0.1</w:t>
            </w:r>
            <w:r w:rsidRPr="00F3332B">
              <w:rPr>
                <w:rFonts w:ascii="Times New Roman" w:hAnsi="Times New Roman"/>
                <w:sz w:val="22"/>
                <w:szCs w:val="22"/>
              </w:rPr>
              <w:t>)</w:t>
            </w:r>
          </w:p>
        </w:tc>
        <w:tc>
          <w:tcPr>
            <w:tcW w:w="1034" w:type="dxa"/>
            <w:vAlign w:val="bottom"/>
          </w:tcPr>
          <w:p w:rsidR="004F09AC" w:rsidRPr="00D72174" w:rsidRDefault="004F09AC" w:rsidP="00972888">
            <w:pPr>
              <w:widowControl w:val="0"/>
              <w:tabs>
                <w:tab w:val="decimal" w:pos="373"/>
              </w:tabs>
              <w:adjustRightInd w:val="0"/>
              <w:spacing w:before="36" w:after="36"/>
              <w:ind w:left="50" w:right="-108" w:firstLine="0"/>
              <w:jc w:val="left"/>
              <w:textAlignment w:val="baseline"/>
              <w:rPr>
                <w:bCs/>
                <w:sz w:val="22"/>
                <w:szCs w:val="22"/>
              </w:rPr>
            </w:pPr>
            <w:r w:rsidRPr="00D72174">
              <w:rPr>
                <w:bCs/>
                <w:sz w:val="22"/>
                <w:szCs w:val="22"/>
              </w:rPr>
              <w:t>8.41</w:t>
            </w:r>
          </w:p>
        </w:tc>
        <w:tc>
          <w:tcPr>
            <w:tcW w:w="992" w:type="dxa"/>
            <w:vAlign w:val="bottom"/>
          </w:tcPr>
          <w:p w:rsidR="004F09AC" w:rsidRPr="00D72174" w:rsidRDefault="00AB7257" w:rsidP="00CB002F">
            <w:pPr>
              <w:widowControl w:val="0"/>
              <w:tabs>
                <w:tab w:val="decimal" w:pos="168"/>
              </w:tabs>
              <w:adjustRightInd w:val="0"/>
              <w:spacing w:before="36" w:after="36"/>
              <w:ind w:left="50" w:right="-108" w:firstLine="0"/>
              <w:jc w:val="left"/>
              <w:textAlignment w:val="baseline"/>
              <w:rPr>
                <w:bCs/>
                <w:sz w:val="22"/>
                <w:szCs w:val="22"/>
              </w:rPr>
            </w:pPr>
            <w:r>
              <w:rPr>
                <w:bCs/>
                <w:sz w:val="22"/>
                <w:szCs w:val="22"/>
              </w:rPr>
              <w:t>0.0</w:t>
            </w:r>
            <w:r w:rsidR="004F09AC" w:rsidRPr="00D72174">
              <w:rPr>
                <w:bCs/>
                <w:sz w:val="22"/>
                <w:szCs w:val="22"/>
              </w:rPr>
              <w:t>496</w:t>
            </w:r>
          </w:p>
        </w:tc>
        <w:tc>
          <w:tcPr>
            <w:tcW w:w="1276" w:type="dxa"/>
            <w:vAlign w:val="bottom"/>
          </w:tcPr>
          <w:p w:rsidR="004F09AC" w:rsidRPr="00D72174" w:rsidRDefault="004A1D41" w:rsidP="00CB002F">
            <w:pPr>
              <w:widowControl w:val="0"/>
              <w:tabs>
                <w:tab w:val="decimal" w:pos="331"/>
              </w:tabs>
              <w:adjustRightInd w:val="0"/>
              <w:spacing w:before="36" w:after="36"/>
              <w:ind w:left="50" w:right="-108" w:firstLine="0"/>
              <w:jc w:val="left"/>
              <w:textAlignment w:val="baseline"/>
              <w:rPr>
                <w:bCs/>
                <w:sz w:val="22"/>
                <w:szCs w:val="22"/>
              </w:rPr>
            </w:pPr>
            <w:r>
              <w:rPr>
                <w:bCs/>
                <w:sz w:val="22"/>
                <w:szCs w:val="22"/>
              </w:rPr>
              <w:t>0.0</w:t>
            </w:r>
            <w:r w:rsidR="004F09AC" w:rsidRPr="00D72174">
              <w:rPr>
                <w:bCs/>
                <w:sz w:val="22"/>
                <w:szCs w:val="22"/>
              </w:rPr>
              <w:t>4</w:t>
            </w:r>
            <w:r w:rsidR="004F09AC">
              <w:rPr>
                <w:bCs/>
                <w:sz w:val="22"/>
                <w:szCs w:val="22"/>
              </w:rPr>
              <w:t>25</w:t>
            </w:r>
          </w:p>
        </w:tc>
      </w:tr>
      <w:tr w:rsidR="004F09AC" w:rsidTr="00CB002F">
        <w:trPr>
          <w:jc w:val="center"/>
        </w:trPr>
        <w:tc>
          <w:tcPr>
            <w:tcW w:w="1807" w:type="dxa"/>
          </w:tcPr>
          <w:p w:rsidR="004F09AC" w:rsidRPr="00F3332B" w:rsidRDefault="004F09AC" w:rsidP="0086246B">
            <w:pPr>
              <w:pStyle w:val="Normaali1"/>
              <w:spacing w:before="60" w:after="60" w:line="240" w:lineRule="auto"/>
              <w:ind w:right="-84" w:firstLine="6"/>
              <w:rPr>
                <w:rFonts w:ascii="Times New Roman" w:hAnsi="Times New Roman"/>
                <w:sz w:val="22"/>
                <w:szCs w:val="22"/>
              </w:rPr>
            </w:pPr>
            <w:r>
              <w:rPr>
                <w:rFonts w:ascii="Times New Roman" w:hAnsi="Times New Roman"/>
                <w:sz w:val="22"/>
                <w:szCs w:val="22"/>
              </w:rPr>
              <w:t>A</w:t>
            </w:r>
            <w:r w:rsidRPr="00F3332B">
              <w:rPr>
                <w:rFonts w:ascii="Times New Roman" w:hAnsi="Times New Roman"/>
                <w:sz w:val="22"/>
                <w:szCs w:val="22"/>
              </w:rPr>
              <w:t>FLQ (</w:t>
            </w:r>
            <w:r w:rsidRPr="00F3332B">
              <w:rPr>
                <w:rFonts w:ascii="Times New Roman" w:hAnsi="Times New Roman"/>
                <w:color w:val="000000"/>
                <w:sz w:val="22"/>
                <w:szCs w:val="22"/>
                <w:lang w:val="en-GB"/>
              </w:rPr>
              <w:t>δ = 0.15</w:t>
            </w:r>
            <w:r w:rsidRPr="00F3332B">
              <w:rPr>
                <w:rFonts w:ascii="Times New Roman" w:hAnsi="Times New Roman"/>
                <w:sz w:val="22"/>
                <w:szCs w:val="22"/>
              </w:rPr>
              <w:t>)</w:t>
            </w:r>
          </w:p>
        </w:tc>
        <w:tc>
          <w:tcPr>
            <w:tcW w:w="1034" w:type="dxa"/>
            <w:vAlign w:val="bottom"/>
          </w:tcPr>
          <w:p w:rsidR="004F09AC" w:rsidRPr="00D72174" w:rsidRDefault="00161E15" w:rsidP="00972888">
            <w:pPr>
              <w:widowControl w:val="0"/>
              <w:tabs>
                <w:tab w:val="decimal" w:pos="373"/>
              </w:tabs>
              <w:adjustRightInd w:val="0"/>
              <w:spacing w:before="36" w:after="36"/>
              <w:ind w:left="50" w:right="-108" w:firstLine="0"/>
              <w:jc w:val="left"/>
              <w:textAlignment w:val="baseline"/>
              <w:rPr>
                <w:bCs/>
                <w:sz w:val="22"/>
                <w:szCs w:val="22"/>
              </w:rPr>
            </w:pPr>
            <w:r w:rsidRPr="009849D8">
              <w:rPr>
                <w:sz w:val="22"/>
                <w:szCs w:val="22"/>
              </w:rPr>
              <w:sym w:font="Symbol" w:char="F02D"/>
            </w:r>
            <w:r w:rsidR="004F09AC" w:rsidRPr="00D72174">
              <w:rPr>
                <w:bCs/>
                <w:sz w:val="22"/>
                <w:szCs w:val="22"/>
              </w:rPr>
              <w:t>4.75</w:t>
            </w:r>
          </w:p>
        </w:tc>
        <w:tc>
          <w:tcPr>
            <w:tcW w:w="992" w:type="dxa"/>
            <w:vAlign w:val="bottom"/>
          </w:tcPr>
          <w:p w:rsidR="004F09AC" w:rsidRPr="00D72174" w:rsidRDefault="00AB7257" w:rsidP="00CB002F">
            <w:pPr>
              <w:widowControl w:val="0"/>
              <w:tabs>
                <w:tab w:val="decimal" w:pos="168"/>
              </w:tabs>
              <w:adjustRightInd w:val="0"/>
              <w:spacing w:before="36" w:after="36"/>
              <w:ind w:left="50" w:right="-108" w:firstLine="0"/>
              <w:jc w:val="left"/>
              <w:textAlignment w:val="baseline"/>
              <w:rPr>
                <w:bCs/>
                <w:sz w:val="22"/>
                <w:szCs w:val="22"/>
              </w:rPr>
            </w:pPr>
            <w:r>
              <w:rPr>
                <w:bCs/>
                <w:sz w:val="22"/>
                <w:szCs w:val="22"/>
              </w:rPr>
              <w:t>0.0</w:t>
            </w:r>
            <w:r w:rsidR="004F09AC" w:rsidRPr="00D72174">
              <w:rPr>
                <w:bCs/>
                <w:sz w:val="22"/>
                <w:szCs w:val="22"/>
              </w:rPr>
              <w:t>499</w:t>
            </w:r>
          </w:p>
        </w:tc>
        <w:tc>
          <w:tcPr>
            <w:tcW w:w="1276" w:type="dxa"/>
            <w:vAlign w:val="bottom"/>
          </w:tcPr>
          <w:p w:rsidR="004F09AC" w:rsidRPr="00D72174" w:rsidRDefault="004A1D41" w:rsidP="00CB002F">
            <w:pPr>
              <w:widowControl w:val="0"/>
              <w:tabs>
                <w:tab w:val="decimal" w:pos="331"/>
              </w:tabs>
              <w:adjustRightInd w:val="0"/>
              <w:spacing w:before="36" w:after="36"/>
              <w:ind w:left="50" w:right="-108" w:firstLine="0"/>
              <w:jc w:val="left"/>
              <w:textAlignment w:val="baseline"/>
              <w:rPr>
                <w:bCs/>
                <w:sz w:val="22"/>
                <w:szCs w:val="22"/>
              </w:rPr>
            </w:pPr>
            <w:r>
              <w:rPr>
                <w:bCs/>
                <w:sz w:val="22"/>
                <w:szCs w:val="22"/>
              </w:rPr>
              <w:t>0.0</w:t>
            </w:r>
            <w:r w:rsidR="004F09AC" w:rsidRPr="00D72174">
              <w:rPr>
                <w:bCs/>
                <w:sz w:val="22"/>
                <w:szCs w:val="22"/>
              </w:rPr>
              <w:t>4</w:t>
            </w:r>
            <w:r w:rsidR="004F09AC">
              <w:rPr>
                <w:bCs/>
                <w:sz w:val="22"/>
                <w:szCs w:val="22"/>
              </w:rPr>
              <w:t>4</w:t>
            </w:r>
            <w:r w:rsidR="004F09AC" w:rsidRPr="00D72174">
              <w:rPr>
                <w:bCs/>
                <w:sz w:val="22"/>
                <w:szCs w:val="22"/>
              </w:rPr>
              <w:t>9</w:t>
            </w:r>
          </w:p>
        </w:tc>
      </w:tr>
      <w:tr w:rsidR="004F09AC" w:rsidTr="00CB002F">
        <w:trPr>
          <w:jc w:val="center"/>
        </w:trPr>
        <w:tc>
          <w:tcPr>
            <w:tcW w:w="1807" w:type="dxa"/>
          </w:tcPr>
          <w:p w:rsidR="004F09AC" w:rsidRPr="00F3332B" w:rsidRDefault="004F09AC" w:rsidP="0086246B">
            <w:pPr>
              <w:pStyle w:val="Normaali1"/>
              <w:spacing w:before="60" w:after="60" w:line="240" w:lineRule="auto"/>
              <w:ind w:right="-84" w:firstLine="6"/>
              <w:rPr>
                <w:rFonts w:ascii="Times New Roman" w:hAnsi="Times New Roman"/>
                <w:sz w:val="22"/>
                <w:szCs w:val="22"/>
              </w:rPr>
            </w:pPr>
            <w:r>
              <w:rPr>
                <w:rFonts w:ascii="Times New Roman" w:hAnsi="Times New Roman"/>
                <w:sz w:val="22"/>
                <w:szCs w:val="22"/>
              </w:rPr>
              <w:t>A</w:t>
            </w:r>
            <w:r w:rsidRPr="00F3332B">
              <w:rPr>
                <w:rFonts w:ascii="Times New Roman" w:hAnsi="Times New Roman"/>
                <w:sz w:val="22"/>
                <w:szCs w:val="22"/>
              </w:rPr>
              <w:t>FLQ (</w:t>
            </w:r>
            <w:r w:rsidRPr="00F3332B">
              <w:rPr>
                <w:rFonts w:ascii="Times New Roman" w:hAnsi="Times New Roman"/>
                <w:color w:val="000000"/>
                <w:sz w:val="22"/>
                <w:szCs w:val="22"/>
                <w:lang w:val="en-GB"/>
              </w:rPr>
              <w:t>δ = 0.2</w:t>
            </w:r>
            <w:r w:rsidRPr="00F3332B">
              <w:rPr>
                <w:rFonts w:ascii="Times New Roman" w:hAnsi="Times New Roman"/>
                <w:sz w:val="22"/>
                <w:szCs w:val="22"/>
              </w:rPr>
              <w:t>)</w:t>
            </w:r>
          </w:p>
        </w:tc>
        <w:tc>
          <w:tcPr>
            <w:tcW w:w="1034" w:type="dxa"/>
            <w:vAlign w:val="bottom"/>
          </w:tcPr>
          <w:p w:rsidR="004F09AC" w:rsidRPr="00D72174" w:rsidRDefault="00161E15" w:rsidP="00351CAC">
            <w:pPr>
              <w:widowControl w:val="0"/>
              <w:tabs>
                <w:tab w:val="decimal" w:pos="373"/>
              </w:tabs>
              <w:adjustRightInd w:val="0"/>
              <w:spacing w:before="36" w:after="36"/>
              <w:ind w:right="-108" w:firstLine="0"/>
              <w:jc w:val="left"/>
              <w:textAlignment w:val="baseline"/>
              <w:rPr>
                <w:bCs/>
                <w:sz w:val="22"/>
                <w:szCs w:val="22"/>
              </w:rPr>
            </w:pPr>
            <w:r w:rsidRPr="009849D8">
              <w:rPr>
                <w:sz w:val="22"/>
                <w:szCs w:val="22"/>
              </w:rPr>
              <w:sym w:font="Symbol" w:char="F02D"/>
            </w:r>
            <w:r w:rsidR="004F09AC" w:rsidRPr="00D72174">
              <w:rPr>
                <w:bCs/>
                <w:sz w:val="22"/>
                <w:szCs w:val="22"/>
              </w:rPr>
              <w:t>15.17</w:t>
            </w:r>
          </w:p>
        </w:tc>
        <w:tc>
          <w:tcPr>
            <w:tcW w:w="992" w:type="dxa"/>
            <w:vAlign w:val="bottom"/>
          </w:tcPr>
          <w:p w:rsidR="004F09AC" w:rsidRPr="00D72174" w:rsidRDefault="00AB7257" w:rsidP="00CB002F">
            <w:pPr>
              <w:widowControl w:val="0"/>
              <w:tabs>
                <w:tab w:val="decimal" w:pos="168"/>
              </w:tabs>
              <w:adjustRightInd w:val="0"/>
              <w:spacing w:before="36" w:after="36"/>
              <w:ind w:left="50" w:right="-108" w:firstLine="0"/>
              <w:jc w:val="left"/>
              <w:textAlignment w:val="baseline"/>
              <w:rPr>
                <w:bCs/>
                <w:sz w:val="22"/>
                <w:szCs w:val="22"/>
              </w:rPr>
            </w:pPr>
            <w:r>
              <w:rPr>
                <w:bCs/>
                <w:sz w:val="22"/>
                <w:szCs w:val="22"/>
              </w:rPr>
              <w:t>0.0</w:t>
            </w:r>
            <w:r w:rsidR="004F09AC" w:rsidRPr="00D72174">
              <w:rPr>
                <w:bCs/>
                <w:sz w:val="22"/>
                <w:szCs w:val="22"/>
              </w:rPr>
              <w:t>543</w:t>
            </w:r>
          </w:p>
        </w:tc>
        <w:tc>
          <w:tcPr>
            <w:tcW w:w="1276" w:type="dxa"/>
            <w:vAlign w:val="bottom"/>
          </w:tcPr>
          <w:p w:rsidR="004F09AC" w:rsidRPr="00D72174" w:rsidRDefault="004A1D41" w:rsidP="00CB002F">
            <w:pPr>
              <w:widowControl w:val="0"/>
              <w:tabs>
                <w:tab w:val="decimal" w:pos="331"/>
              </w:tabs>
              <w:adjustRightInd w:val="0"/>
              <w:spacing w:before="36" w:after="36"/>
              <w:ind w:left="50" w:right="-108" w:firstLine="0"/>
              <w:jc w:val="left"/>
              <w:textAlignment w:val="baseline"/>
              <w:rPr>
                <w:bCs/>
                <w:sz w:val="22"/>
                <w:szCs w:val="22"/>
              </w:rPr>
            </w:pPr>
            <w:r>
              <w:rPr>
                <w:bCs/>
                <w:sz w:val="22"/>
                <w:szCs w:val="22"/>
              </w:rPr>
              <w:t>0.0</w:t>
            </w:r>
            <w:r w:rsidR="004F09AC">
              <w:rPr>
                <w:bCs/>
                <w:sz w:val="22"/>
                <w:szCs w:val="22"/>
              </w:rPr>
              <w:t>491</w:t>
            </w:r>
          </w:p>
        </w:tc>
      </w:tr>
      <w:tr w:rsidR="004F09AC" w:rsidTr="00CB002F">
        <w:trPr>
          <w:jc w:val="center"/>
        </w:trPr>
        <w:tc>
          <w:tcPr>
            <w:tcW w:w="1807" w:type="dxa"/>
          </w:tcPr>
          <w:p w:rsidR="004F09AC" w:rsidRPr="00F3332B" w:rsidRDefault="004F09AC" w:rsidP="0086246B">
            <w:pPr>
              <w:pStyle w:val="Normaali1"/>
              <w:spacing w:before="60" w:after="60" w:line="240" w:lineRule="auto"/>
              <w:ind w:right="-84"/>
              <w:rPr>
                <w:rFonts w:ascii="Times New Roman" w:hAnsi="Times New Roman"/>
                <w:sz w:val="22"/>
                <w:szCs w:val="22"/>
              </w:rPr>
            </w:pPr>
            <w:r>
              <w:rPr>
                <w:rFonts w:ascii="Times New Roman" w:hAnsi="Times New Roman"/>
                <w:sz w:val="22"/>
                <w:szCs w:val="22"/>
              </w:rPr>
              <w:t xml:space="preserve">Optimal </w:t>
            </w:r>
            <w:r w:rsidRPr="00F3332B">
              <w:rPr>
                <w:rFonts w:ascii="Times New Roman" w:hAnsi="Times New Roman"/>
                <w:color w:val="000000"/>
                <w:sz w:val="22"/>
                <w:szCs w:val="22"/>
                <w:lang w:val="en-GB"/>
              </w:rPr>
              <w:t>δ</w:t>
            </w:r>
            <w:r>
              <w:rPr>
                <w:rFonts w:ascii="Times New Roman" w:hAnsi="Times New Roman"/>
                <w:color w:val="000000"/>
                <w:sz w:val="22"/>
                <w:szCs w:val="22"/>
                <w:lang w:val="en-GB"/>
              </w:rPr>
              <w:t xml:space="preserve"> FLQ</w:t>
            </w:r>
          </w:p>
        </w:tc>
        <w:tc>
          <w:tcPr>
            <w:tcW w:w="1034" w:type="dxa"/>
            <w:vAlign w:val="bottom"/>
          </w:tcPr>
          <w:p w:rsidR="004F09AC" w:rsidRPr="008A4578" w:rsidRDefault="004F09AC" w:rsidP="0086246B">
            <w:pPr>
              <w:widowControl w:val="0"/>
              <w:tabs>
                <w:tab w:val="decimal" w:pos="198"/>
              </w:tabs>
              <w:adjustRightInd w:val="0"/>
              <w:spacing w:before="36" w:after="36"/>
              <w:ind w:left="-26" w:right="-108" w:firstLine="0"/>
              <w:jc w:val="left"/>
              <w:textAlignment w:val="baseline"/>
              <w:rPr>
                <w:bCs/>
                <w:sz w:val="22"/>
                <w:szCs w:val="22"/>
              </w:rPr>
            </w:pPr>
          </w:p>
        </w:tc>
        <w:tc>
          <w:tcPr>
            <w:tcW w:w="992" w:type="dxa"/>
            <w:vAlign w:val="bottom"/>
          </w:tcPr>
          <w:p w:rsidR="004F09AC" w:rsidRPr="008A4578" w:rsidRDefault="004F09AC" w:rsidP="0086246B">
            <w:pPr>
              <w:widowControl w:val="0"/>
              <w:tabs>
                <w:tab w:val="decimal" w:pos="198"/>
              </w:tabs>
              <w:adjustRightInd w:val="0"/>
              <w:spacing w:before="36" w:after="36"/>
              <w:ind w:left="-26" w:right="-108" w:firstLine="0"/>
              <w:jc w:val="left"/>
              <w:textAlignment w:val="baseline"/>
              <w:rPr>
                <w:bCs/>
                <w:sz w:val="22"/>
                <w:szCs w:val="22"/>
              </w:rPr>
            </w:pPr>
          </w:p>
        </w:tc>
        <w:tc>
          <w:tcPr>
            <w:tcW w:w="1276" w:type="dxa"/>
            <w:vAlign w:val="bottom"/>
          </w:tcPr>
          <w:p w:rsidR="004F09AC" w:rsidRPr="008A4578" w:rsidRDefault="004F09AC" w:rsidP="004A1D41">
            <w:pPr>
              <w:widowControl w:val="0"/>
              <w:tabs>
                <w:tab w:val="decimal" w:pos="210"/>
              </w:tabs>
              <w:adjustRightInd w:val="0"/>
              <w:spacing w:before="36" w:after="36"/>
              <w:ind w:left="-26" w:right="-108" w:firstLine="0"/>
              <w:jc w:val="left"/>
              <w:textAlignment w:val="baseline"/>
              <w:rPr>
                <w:bCs/>
                <w:sz w:val="22"/>
                <w:szCs w:val="22"/>
              </w:rPr>
            </w:pPr>
          </w:p>
        </w:tc>
      </w:tr>
      <w:tr w:rsidR="004F09AC" w:rsidTr="00CB002F">
        <w:trPr>
          <w:jc w:val="center"/>
        </w:trPr>
        <w:tc>
          <w:tcPr>
            <w:tcW w:w="1807" w:type="dxa"/>
          </w:tcPr>
          <w:p w:rsidR="004F09AC" w:rsidRDefault="004F09AC" w:rsidP="0086246B">
            <w:pPr>
              <w:pStyle w:val="Normaali1"/>
              <w:spacing w:before="60" w:after="60" w:line="240" w:lineRule="auto"/>
              <w:ind w:right="-84"/>
              <w:rPr>
                <w:rFonts w:ascii="Times New Roman" w:hAnsi="Times New Roman"/>
                <w:sz w:val="22"/>
                <w:szCs w:val="22"/>
              </w:rPr>
            </w:pPr>
            <w:r>
              <w:rPr>
                <w:rFonts w:ascii="Times New Roman" w:hAnsi="Times New Roman"/>
                <w:sz w:val="22"/>
                <w:szCs w:val="22"/>
              </w:rPr>
              <w:t xml:space="preserve">Optimal </w:t>
            </w:r>
            <w:r w:rsidRPr="00F3332B">
              <w:rPr>
                <w:rFonts w:ascii="Times New Roman" w:hAnsi="Times New Roman"/>
                <w:color w:val="000000"/>
                <w:sz w:val="22"/>
                <w:szCs w:val="22"/>
                <w:lang w:val="en-GB"/>
              </w:rPr>
              <w:t>δ</w:t>
            </w:r>
            <w:r>
              <w:rPr>
                <w:rFonts w:ascii="Times New Roman" w:hAnsi="Times New Roman"/>
                <w:color w:val="000000"/>
                <w:sz w:val="22"/>
                <w:szCs w:val="22"/>
                <w:lang w:val="en-GB"/>
              </w:rPr>
              <w:t xml:space="preserve"> AFLQ</w:t>
            </w:r>
          </w:p>
        </w:tc>
        <w:tc>
          <w:tcPr>
            <w:tcW w:w="1034" w:type="dxa"/>
            <w:vAlign w:val="bottom"/>
          </w:tcPr>
          <w:p w:rsidR="004F09AC" w:rsidRPr="008A4578" w:rsidRDefault="004F09AC" w:rsidP="0086246B">
            <w:pPr>
              <w:widowControl w:val="0"/>
              <w:tabs>
                <w:tab w:val="decimal" w:pos="198"/>
              </w:tabs>
              <w:adjustRightInd w:val="0"/>
              <w:spacing w:before="36" w:after="36"/>
              <w:ind w:left="-26" w:right="-108" w:firstLine="0"/>
              <w:jc w:val="left"/>
              <w:textAlignment w:val="baseline"/>
              <w:rPr>
                <w:bCs/>
                <w:sz w:val="22"/>
                <w:szCs w:val="22"/>
              </w:rPr>
            </w:pPr>
          </w:p>
        </w:tc>
        <w:tc>
          <w:tcPr>
            <w:tcW w:w="992" w:type="dxa"/>
            <w:vAlign w:val="bottom"/>
          </w:tcPr>
          <w:p w:rsidR="004F09AC" w:rsidRPr="008A4578" w:rsidRDefault="004F09AC" w:rsidP="0086246B">
            <w:pPr>
              <w:widowControl w:val="0"/>
              <w:tabs>
                <w:tab w:val="decimal" w:pos="198"/>
              </w:tabs>
              <w:adjustRightInd w:val="0"/>
              <w:spacing w:before="36" w:after="36"/>
              <w:ind w:left="-26" w:right="-108" w:firstLine="0"/>
              <w:jc w:val="left"/>
              <w:textAlignment w:val="baseline"/>
              <w:rPr>
                <w:bCs/>
                <w:sz w:val="22"/>
                <w:szCs w:val="22"/>
              </w:rPr>
            </w:pPr>
          </w:p>
        </w:tc>
        <w:tc>
          <w:tcPr>
            <w:tcW w:w="1276" w:type="dxa"/>
            <w:vAlign w:val="bottom"/>
          </w:tcPr>
          <w:p w:rsidR="004F09AC" w:rsidRPr="008A4578" w:rsidRDefault="004F09AC" w:rsidP="0086246B">
            <w:pPr>
              <w:widowControl w:val="0"/>
              <w:tabs>
                <w:tab w:val="decimal" w:pos="198"/>
              </w:tabs>
              <w:adjustRightInd w:val="0"/>
              <w:spacing w:before="36" w:after="36"/>
              <w:ind w:left="-26" w:right="-108" w:firstLine="0"/>
              <w:jc w:val="left"/>
              <w:textAlignment w:val="baseline"/>
              <w:rPr>
                <w:bCs/>
                <w:sz w:val="22"/>
                <w:szCs w:val="22"/>
              </w:rPr>
            </w:pPr>
          </w:p>
        </w:tc>
      </w:tr>
    </w:tbl>
    <w:p w:rsidR="00F626C5" w:rsidRDefault="00F626C5" w:rsidP="00F626C5">
      <w:pPr>
        <w:spacing w:before="120"/>
        <w:ind w:firstLine="0"/>
        <w:rPr>
          <w:lang w:val="en-US"/>
        </w:rPr>
      </w:pPr>
    </w:p>
    <w:p w:rsidR="00F626C5" w:rsidRDefault="00F626C5" w:rsidP="00F626C5">
      <w:pPr>
        <w:spacing w:before="120"/>
        <w:ind w:firstLine="0"/>
        <w:rPr>
          <w:lang w:val="en-US"/>
        </w:rPr>
      </w:pPr>
    </w:p>
    <w:p w:rsidR="002D5668" w:rsidRDefault="002D5668" w:rsidP="003A6FDA">
      <w:pPr>
        <w:spacing w:before="120"/>
        <w:ind w:firstLine="0"/>
        <w:rPr>
          <w:lang w:val="en-US"/>
        </w:rPr>
      </w:pPr>
    </w:p>
    <w:p w:rsidR="00C40039" w:rsidRDefault="00C40039" w:rsidP="003A6FDA">
      <w:pPr>
        <w:spacing w:before="120"/>
        <w:ind w:firstLine="0"/>
        <w:rPr>
          <w:lang w:val="en-US"/>
        </w:rPr>
      </w:pPr>
    </w:p>
    <w:p w:rsidR="00F626C5" w:rsidRDefault="00F626C5">
      <w:pPr>
        <w:spacing w:after="0"/>
        <w:ind w:firstLine="0"/>
        <w:jc w:val="left"/>
        <w:rPr>
          <w:color w:val="000000"/>
          <w:szCs w:val="26"/>
        </w:rPr>
      </w:pPr>
      <w:r>
        <w:rPr>
          <w:color w:val="000000"/>
          <w:szCs w:val="26"/>
        </w:rPr>
        <w:br w:type="page"/>
      </w:r>
    </w:p>
    <w:p w:rsidR="00C40039" w:rsidRPr="00DE13C0" w:rsidRDefault="00C40039" w:rsidP="00F31790">
      <w:pPr>
        <w:ind w:left="851" w:right="663" w:firstLine="0"/>
        <w:jc w:val="left"/>
        <w:rPr>
          <w:b/>
          <w:color w:val="000000"/>
          <w:szCs w:val="26"/>
        </w:rPr>
      </w:pPr>
      <w:proofErr w:type="gramStart"/>
      <w:r w:rsidRPr="00C46245">
        <w:rPr>
          <w:color w:val="000000"/>
          <w:szCs w:val="26"/>
        </w:rPr>
        <w:lastRenderedPageBreak/>
        <w:t>T</w:t>
      </w:r>
      <w:r>
        <w:rPr>
          <w:color w:val="000000"/>
          <w:szCs w:val="26"/>
        </w:rPr>
        <w:t xml:space="preserve">ABLE </w:t>
      </w:r>
      <w:r w:rsidR="00F626C5">
        <w:rPr>
          <w:color w:val="000000"/>
          <w:szCs w:val="26"/>
        </w:rPr>
        <w:t>5</w:t>
      </w:r>
      <w:r w:rsidRPr="00C46245">
        <w:rPr>
          <w:color w:val="000000"/>
          <w:szCs w:val="26"/>
        </w:rPr>
        <w:t>.</w:t>
      </w:r>
      <w:proofErr w:type="gramEnd"/>
      <w:r>
        <w:rPr>
          <w:color w:val="000000"/>
          <w:szCs w:val="26"/>
        </w:rPr>
        <w:t xml:space="preserve">  </w:t>
      </w:r>
      <w:r w:rsidRPr="005C4B7A">
        <w:rPr>
          <w:color w:val="000000"/>
          <w:szCs w:val="26"/>
        </w:rPr>
        <w:t>Assessment of accuracy using different criteria: sectoral type I</w:t>
      </w:r>
      <w:r>
        <w:rPr>
          <w:color w:val="000000"/>
          <w:szCs w:val="26"/>
        </w:rPr>
        <w:t xml:space="preserve"> </w:t>
      </w:r>
      <w:r w:rsidRPr="005C4B7A">
        <w:rPr>
          <w:color w:val="000000"/>
          <w:szCs w:val="26"/>
        </w:rPr>
        <w:t xml:space="preserve">output multipliers for </w:t>
      </w:r>
      <w:r w:rsidRPr="0024163C">
        <w:rPr>
          <w:lang w:val="en-US"/>
        </w:rPr>
        <w:t>Córdoba</w:t>
      </w:r>
      <w:r>
        <w:rPr>
          <w:b/>
          <w:lang w:val="en-US"/>
        </w:rPr>
        <w:t xml:space="preserve"> </w:t>
      </w:r>
      <w:r w:rsidRPr="005C4B7A">
        <w:rPr>
          <w:color w:val="000000"/>
          <w:szCs w:val="26"/>
        </w:rPr>
        <w:t>in 200</w:t>
      </w:r>
      <w:r>
        <w:rPr>
          <w:color w:val="000000"/>
          <w:szCs w:val="26"/>
        </w:rPr>
        <w:t>3 incorporating Round’s fabrication adjustment (</w:t>
      </w:r>
      <w:r>
        <w:rPr>
          <w:i/>
          <w:color w:val="000000"/>
          <w:szCs w:val="26"/>
        </w:rPr>
        <w:t>n</w:t>
      </w:r>
      <w:r>
        <w:rPr>
          <w:color w:val="000000"/>
          <w:szCs w:val="26"/>
        </w:rPr>
        <w:t xml:space="preserve"> = 28)</w:t>
      </w:r>
    </w:p>
    <w:tbl>
      <w:tblPr>
        <w:tblW w:w="7619" w:type="dxa"/>
        <w:jc w:val="center"/>
        <w:tblInd w:w="2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807"/>
        <w:gridCol w:w="1134"/>
        <w:gridCol w:w="992"/>
        <w:gridCol w:w="851"/>
        <w:gridCol w:w="1034"/>
        <w:gridCol w:w="950"/>
        <w:gridCol w:w="851"/>
      </w:tblGrid>
      <w:tr w:rsidR="00C40039" w:rsidTr="00EC21FA">
        <w:trPr>
          <w:trHeight w:val="375"/>
          <w:jc w:val="center"/>
        </w:trPr>
        <w:tc>
          <w:tcPr>
            <w:tcW w:w="1807" w:type="dxa"/>
            <w:vMerge w:val="restart"/>
          </w:tcPr>
          <w:p w:rsidR="00C40039" w:rsidRPr="00F3332B" w:rsidRDefault="00C40039" w:rsidP="00B80B68">
            <w:pPr>
              <w:pStyle w:val="Normaali1"/>
              <w:spacing w:before="60" w:after="60" w:line="240" w:lineRule="auto"/>
              <w:ind w:left="5" w:right="125"/>
              <w:rPr>
                <w:rFonts w:ascii="Times New Roman" w:hAnsi="Times New Roman"/>
                <w:sz w:val="22"/>
                <w:szCs w:val="22"/>
              </w:rPr>
            </w:pPr>
          </w:p>
          <w:p w:rsidR="00C40039" w:rsidRPr="00F3332B" w:rsidRDefault="00C40039" w:rsidP="00B80B68">
            <w:pPr>
              <w:pStyle w:val="Normaali1"/>
              <w:spacing w:before="60" w:after="60" w:line="240" w:lineRule="auto"/>
              <w:ind w:left="-4" w:right="125"/>
              <w:rPr>
                <w:rFonts w:ascii="Times New Roman" w:hAnsi="Times New Roman"/>
                <w:sz w:val="22"/>
                <w:szCs w:val="22"/>
              </w:rPr>
            </w:pPr>
            <w:r w:rsidRPr="00F3332B">
              <w:rPr>
                <w:rFonts w:ascii="Times New Roman" w:hAnsi="Times New Roman"/>
                <w:sz w:val="22"/>
                <w:szCs w:val="22"/>
              </w:rPr>
              <w:t>Method</w:t>
            </w:r>
          </w:p>
        </w:tc>
        <w:tc>
          <w:tcPr>
            <w:tcW w:w="5812" w:type="dxa"/>
            <w:gridSpan w:val="6"/>
          </w:tcPr>
          <w:p w:rsidR="00C40039" w:rsidRPr="00F3332B" w:rsidRDefault="00C40039" w:rsidP="00B80B68">
            <w:pPr>
              <w:pStyle w:val="Normaali1"/>
              <w:spacing w:before="60" w:after="60" w:line="240" w:lineRule="auto"/>
              <w:ind w:left="-37" w:right="284"/>
              <w:jc w:val="center"/>
              <w:rPr>
                <w:rFonts w:ascii="Times New Roman" w:hAnsi="Times New Roman"/>
                <w:sz w:val="22"/>
                <w:szCs w:val="22"/>
              </w:rPr>
            </w:pPr>
            <w:r w:rsidRPr="00F3332B">
              <w:rPr>
                <w:rFonts w:ascii="Times New Roman" w:hAnsi="Times New Roman"/>
                <w:sz w:val="22"/>
                <w:szCs w:val="22"/>
              </w:rPr>
              <w:t>Criterion</w:t>
            </w:r>
          </w:p>
        </w:tc>
      </w:tr>
      <w:tr w:rsidR="00C40039" w:rsidTr="00EC21FA">
        <w:trPr>
          <w:trHeight w:val="375"/>
          <w:jc w:val="center"/>
        </w:trPr>
        <w:tc>
          <w:tcPr>
            <w:tcW w:w="1807" w:type="dxa"/>
            <w:vMerge/>
          </w:tcPr>
          <w:p w:rsidR="00C40039" w:rsidRPr="00F3332B" w:rsidRDefault="00C40039" w:rsidP="00B80B68">
            <w:pPr>
              <w:pStyle w:val="Normaali1"/>
              <w:tabs>
                <w:tab w:val="left" w:pos="360"/>
                <w:tab w:val="left" w:pos="972"/>
              </w:tabs>
              <w:spacing w:before="60" w:after="60" w:line="240" w:lineRule="auto"/>
              <w:ind w:left="397" w:right="284"/>
              <w:rPr>
                <w:rFonts w:ascii="Times New Roman" w:hAnsi="Times New Roman"/>
                <w:sz w:val="22"/>
                <w:szCs w:val="22"/>
              </w:rPr>
            </w:pPr>
          </w:p>
        </w:tc>
        <w:tc>
          <w:tcPr>
            <w:tcW w:w="1134" w:type="dxa"/>
          </w:tcPr>
          <w:p w:rsidR="00C40039" w:rsidRPr="00F3332B" w:rsidRDefault="00C40039" w:rsidP="00B80B68">
            <w:pPr>
              <w:pStyle w:val="Normaali1"/>
              <w:spacing w:before="60" w:after="60" w:line="240" w:lineRule="auto"/>
              <w:ind w:left="-115" w:right="-115"/>
              <w:jc w:val="center"/>
              <w:rPr>
                <w:rFonts w:ascii="Times New Roman" w:hAnsi="Times New Roman"/>
                <w:sz w:val="22"/>
                <w:szCs w:val="22"/>
              </w:rPr>
            </w:pPr>
            <w:r>
              <w:rPr>
                <w:rFonts w:ascii="Times New Roman" w:hAnsi="Times New Roman"/>
                <w:sz w:val="22"/>
                <w:szCs w:val="22"/>
              </w:rPr>
              <w:t>MPE</w:t>
            </w:r>
          </w:p>
        </w:tc>
        <w:tc>
          <w:tcPr>
            <w:tcW w:w="992" w:type="dxa"/>
            <w:shd w:val="clear" w:color="auto" w:fill="auto"/>
          </w:tcPr>
          <w:p w:rsidR="00C40039" w:rsidRPr="00F3332B" w:rsidRDefault="00C40039" w:rsidP="00B80B68">
            <w:pPr>
              <w:pStyle w:val="Normaali1"/>
              <w:spacing w:before="60" w:after="60" w:line="240" w:lineRule="auto"/>
              <w:ind w:left="-115" w:right="-115"/>
              <w:jc w:val="center"/>
              <w:rPr>
                <w:rFonts w:ascii="Times New Roman" w:hAnsi="Times New Roman"/>
                <w:sz w:val="22"/>
                <w:szCs w:val="22"/>
              </w:rPr>
            </w:pPr>
            <w:r w:rsidRPr="00F3332B">
              <w:rPr>
                <w:rFonts w:ascii="Times New Roman" w:hAnsi="Times New Roman"/>
                <w:sz w:val="22"/>
                <w:szCs w:val="22"/>
              </w:rPr>
              <w:t>STPE</w:t>
            </w:r>
          </w:p>
        </w:tc>
        <w:tc>
          <w:tcPr>
            <w:tcW w:w="851" w:type="dxa"/>
            <w:shd w:val="clear" w:color="auto" w:fill="auto"/>
          </w:tcPr>
          <w:p w:rsidR="00C40039" w:rsidRPr="00F3332B" w:rsidRDefault="00C40039" w:rsidP="00B80B68">
            <w:pPr>
              <w:pStyle w:val="Normaali1"/>
              <w:spacing w:before="60" w:after="60" w:line="240" w:lineRule="auto"/>
              <w:ind w:left="-115" w:right="-115"/>
              <w:jc w:val="center"/>
              <w:rPr>
                <w:rFonts w:ascii="Times New Roman" w:hAnsi="Times New Roman"/>
                <w:sz w:val="22"/>
                <w:szCs w:val="22"/>
              </w:rPr>
            </w:pPr>
            <w:r>
              <w:rPr>
                <w:rFonts w:ascii="Times New Roman" w:hAnsi="Times New Roman"/>
                <w:sz w:val="22"/>
                <w:szCs w:val="22"/>
              </w:rPr>
              <w:t>WMAE</w:t>
            </w:r>
          </w:p>
        </w:tc>
        <w:tc>
          <w:tcPr>
            <w:tcW w:w="1034" w:type="dxa"/>
          </w:tcPr>
          <w:p w:rsidR="00C40039" w:rsidRPr="00EF08AF" w:rsidRDefault="00C40039" w:rsidP="00B80B68">
            <w:pPr>
              <w:pStyle w:val="Normaali1"/>
              <w:spacing w:before="60" w:after="60" w:line="240" w:lineRule="auto"/>
              <w:ind w:right="26" w:hanging="5"/>
              <w:jc w:val="center"/>
              <w:rPr>
                <w:rFonts w:ascii="Times New Roman" w:hAnsi="Times New Roman"/>
                <w:sz w:val="22"/>
                <w:szCs w:val="22"/>
              </w:rPr>
            </w:pPr>
            <w:r w:rsidRPr="00E41343">
              <w:rPr>
                <w:rFonts w:ascii="Times New Roman" w:hAnsi="Times New Roman"/>
                <w:sz w:val="22"/>
                <w:szCs w:val="22"/>
              </w:rPr>
              <w:t>Ũ</w:t>
            </w:r>
            <w:r w:rsidRPr="00E41343">
              <w:rPr>
                <w:rFonts w:ascii="Times New Roman" w:hAnsi="Times New Roman"/>
                <w:sz w:val="22"/>
                <w:szCs w:val="22"/>
                <w:vertAlign w:val="superscript"/>
              </w:rPr>
              <w:t>M</w:t>
            </w:r>
            <w:r>
              <w:rPr>
                <w:rFonts w:ascii="Times New Roman" w:hAnsi="Times New Roman"/>
                <w:szCs w:val="24"/>
              </w:rPr>
              <w:t xml:space="preserve"> </w:t>
            </w:r>
            <w:r w:rsidRPr="00E41343">
              <w:rPr>
                <w:rFonts w:ascii="Times New Roman" w:hAnsi="Times New Roman"/>
                <w:noProof/>
                <w:color w:val="000000"/>
                <w:sz w:val="22"/>
                <w:szCs w:val="22"/>
              </w:rPr>
              <w:t>× 10</w:t>
            </w:r>
            <w:r w:rsidRPr="00E41343">
              <w:rPr>
                <w:rFonts w:ascii="Times New Roman" w:hAnsi="Times New Roman"/>
                <w:noProof/>
                <w:color w:val="000000"/>
                <w:sz w:val="22"/>
                <w:szCs w:val="22"/>
                <w:vertAlign w:val="superscript"/>
              </w:rPr>
              <w:t>3</w:t>
            </w:r>
          </w:p>
        </w:tc>
        <w:tc>
          <w:tcPr>
            <w:tcW w:w="950" w:type="dxa"/>
          </w:tcPr>
          <w:p w:rsidR="00C40039" w:rsidRPr="00E41343" w:rsidRDefault="00C40039" w:rsidP="00B80B68">
            <w:pPr>
              <w:pStyle w:val="Normaali1"/>
              <w:spacing w:before="60" w:after="60" w:line="240" w:lineRule="auto"/>
              <w:ind w:left="-115" w:right="-115"/>
              <w:jc w:val="center"/>
              <w:rPr>
                <w:rFonts w:ascii="Times New Roman" w:hAnsi="Times New Roman"/>
                <w:sz w:val="22"/>
                <w:szCs w:val="22"/>
              </w:rPr>
            </w:pPr>
            <w:r w:rsidRPr="00E41343">
              <w:rPr>
                <w:rFonts w:ascii="Times New Roman" w:hAnsi="Times New Roman"/>
                <w:sz w:val="22"/>
                <w:szCs w:val="22"/>
              </w:rPr>
              <w:t>Ũ</w:t>
            </w:r>
            <w:r w:rsidRPr="00E41343">
              <w:rPr>
                <w:rFonts w:ascii="Times New Roman" w:hAnsi="Times New Roman"/>
                <w:sz w:val="22"/>
                <w:szCs w:val="22"/>
                <w:vertAlign w:val="superscript"/>
              </w:rPr>
              <w:t>S</w:t>
            </w:r>
            <w:r w:rsidRPr="00E41343">
              <w:rPr>
                <w:rFonts w:ascii="Times New Roman" w:hAnsi="Times New Roman"/>
                <w:sz w:val="22"/>
                <w:szCs w:val="22"/>
              </w:rPr>
              <w:t xml:space="preserve"> </w:t>
            </w:r>
            <w:r w:rsidRPr="00E41343">
              <w:rPr>
                <w:rFonts w:ascii="Times New Roman" w:hAnsi="Times New Roman"/>
                <w:noProof/>
                <w:color w:val="000000"/>
                <w:sz w:val="22"/>
                <w:szCs w:val="22"/>
              </w:rPr>
              <w:t>× 10</w:t>
            </w:r>
            <w:r w:rsidRPr="00E41343">
              <w:rPr>
                <w:rFonts w:ascii="Times New Roman" w:hAnsi="Times New Roman"/>
                <w:noProof/>
                <w:color w:val="000000"/>
                <w:sz w:val="22"/>
                <w:szCs w:val="22"/>
                <w:vertAlign w:val="superscript"/>
              </w:rPr>
              <w:t>3</w:t>
            </w:r>
          </w:p>
        </w:tc>
        <w:tc>
          <w:tcPr>
            <w:tcW w:w="851" w:type="dxa"/>
          </w:tcPr>
          <w:p w:rsidR="00C40039" w:rsidRPr="00F3332B" w:rsidRDefault="00C40039" w:rsidP="00B80B68">
            <w:pPr>
              <w:pStyle w:val="Normaali1"/>
              <w:spacing w:before="60" w:after="60" w:line="240" w:lineRule="auto"/>
              <w:ind w:left="-115" w:right="-115"/>
              <w:jc w:val="center"/>
              <w:rPr>
                <w:rFonts w:ascii="Times New Roman" w:hAnsi="Times New Roman"/>
                <w:sz w:val="22"/>
                <w:szCs w:val="22"/>
              </w:rPr>
            </w:pPr>
            <w:r>
              <w:rPr>
                <w:rFonts w:ascii="Times New Roman" w:hAnsi="Times New Roman"/>
                <w:sz w:val="22"/>
                <w:szCs w:val="22"/>
              </w:rPr>
              <w:t>U</w:t>
            </w:r>
          </w:p>
        </w:tc>
      </w:tr>
      <w:tr w:rsidR="008F6E4C" w:rsidTr="00EC21FA">
        <w:trPr>
          <w:jc w:val="center"/>
        </w:trPr>
        <w:tc>
          <w:tcPr>
            <w:tcW w:w="1807" w:type="dxa"/>
          </w:tcPr>
          <w:p w:rsidR="008F6E4C" w:rsidRPr="00F3332B" w:rsidRDefault="008F6E4C" w:rsidP="0069443F">
            <w:pPr>
              <w:pStyle w:val="Normaali1"/>
              <w:tabs>
                <w:tab w:val="left" w:pos="972"/>
              </w:tabs>
              <w:spacing w:before="60" w:after="60" w:line="240" w:lineRule="auto"/>
              <w:ind w:left="403" w:right="288" w:hanging="397"/>
              <w:jc w:val="left"/>
              <w:rPr>
                <w:rFonts w:ascii="Times New Roman" w:hAnsi="Times New Roman"/>
                <w:sz w:val="22"/>
                <w:szCs w:val="22"/>
              </w:rPr>
            </w:pPr>
            <w:r w:rsidRPr="00F3332B">
              <w:rPr>
                <w:rFonts w:ascii="Times New Roman" w:hAnsi="Times New Roman"/>
                <w:sz w:val="22"/>
                <w:szCs w:val="22"/>
              </w:rPr>
              <w:t>SLQ</w:t>
            </w:r>
          </w:p>
        </w:tc>
        <w:tc>
          <w:tcPr>
            <w:tcW w:w="1134" w:type="dxa"/>
            <w:vAlign w:val="bottom"/>
          </w:tcPr>
          <w:p w:rsidR="008F6E4C" w:rsidRDefault="00A056BB" w:rsidP="00A056BB">
            <w:pPr>
              <w:tabs>
                <w:tab w:val="decimal" w:pos="310"/>
              </w:tabs>
              <w:spacing w:before="36" w:after="36"/>
              <w:ind w:firstLine="0"/>
              <w:jc w:val="left"/>
            </w:pPr>
            <w:r>
              <w:rPr>
                <w:sz w:val="22"/>
                <w:szCs w:val="22"/>
              </w:rPr>
              <w:t>2</w:t>
            </w:r>
            <w:r w:rsidR="008F6E4C">
              <w:rPr>
                <w:sz w:val="22"/>
                <w:szCs w:val="22"/>
              </w:rPr>
              <w:t>.</w:t>
            </w:r>
            <w:r>
              <w:rPr>
                <w:sz w:val="22"/>
                <w:szCs w:val="22"/>
              </w:rPr>
              <w:t>374</w:t>
            </w:r>
          </w:p>
        </w:tc>
        <w:tc>
          <w:tcPr>
            <w:tcW w:w="992" w:type="dxa"/>
            <w:vAlign w:val="bottom"/>
          </w:tcPr>
          <w:p w:rsidR="008F6E4C" w:rsidRDefault="00A056BB" w:rsidP="00A056BB">
            <w:pPr>
              <w:tabs>
                <w:tab w:val="decimal" w:pos="277"/>
              </w:tabs>
              <w:spacing w:before="36" w:after="36"/>
              <w:ind w:firstLine="0"/>
              <w:jc w:val="left"/>
            </w:pPr>
            <w:r>
              <w:rPr>
                <w:sz w:val="22"/>
                <w:szCs w:val="22"/>
              </w:rPr>
              <w:t>24</w:t>
            </w:r>
            <w:r w:rsidR="008F6E4C">
              <w:rPr>
                <w:sz w:val="22"/>
                <w:szCs w:val="22"/>
              </w:rPr>
              <w:t>.</w:t>
            </w:r>
            <w:r>
              <w:rPr>
                <w:sz w:val="22"/>
                <w:szCs w:val="22"/>
              </w:rPr>
              <w:t>066</w:t>
            </w:r>
          </w:p>
        </w:tc>
        <w:tc>
          <w:tcPr>
            <w:tcW w:w="851" w:type="dxa"/>
            <w:vAlign w:val="bottom"/>
          </w:tcPr>
          <w:p w:rsidR="008F6E4C" w:rsidRDefault="008F6E4C" w:rsidP="00A056BB">
            <w:pPr>
              <w:tabs>
                <w:tab w:val="decimal" w:pos="169"/>
              </w:tabs>
              <w:spacing w:before="36" w:after="36"/>
              <w:ind w:firstLine="0"/>
              <w:jc w:val="left"/>
            </w:pPr>
            <w:r>
              <w:rPr>
                <w:sz w:val="22"/>
                <w:szCs w:val="22"/>
              </w:rPr>
              <w:t>0.</w:t>
            </w:r>
            <w:r w:rsidR="00A056BB">
              <w:rPr>
                <w:sz w:val="22"/>
                <w:szCs w:val="22"/>
              </w:rPr>
              <w:t>460</w:t>
            </w:r>
          </w:p>
        </w:tc>
        <w:tc>
          <w:tcPr>
            <w:tcW w:w="1034" w:type="dxa"/>
            <w:vAlign w:val="bottom"/>
          </w:tcPr>
          <w:p w:rsidR="008F6E4C" w:rsidRDefault="00A056BB" w:rsidP="00A056BB">
            <w:pPr>
              <w:tabs>
                <w:tab w:val="decimal" w:pos="277"/>
              </w:tabs>
              <w:spacing w:before="36" w:after="36"/>
              <w:ind w:firstLine="0"/>
              <w:jc w:val="left"/>
            </w:pPr>
            <w:r>
              <w:rPr>
                <w:sz w:val="22"/>
                <w:szCs w:val="22"/>
              </w:rPr>
              <w:t>3</w:t>
            </w:r>
            <w:r w:rsidR="008F6E4C">
              <w:rPr>
                <w:sz w:val="22"/>
                <w:szCs w:val="22"/>
              </w:rPr>
              <w:t>.</w:t>
            </w:r>
            <w:r>
              <w:rPr>
                <w:sz w:val="22"/>
                <w:szCs w:val="22"/>
              </w:rPr>
              <w:t>528</w:t>
            </w:r>
          </w:p>
        </w:tc>
        <w:tc>
          <w:tcPr>
            <w:tcW w:w="950" w:type="dxa"/>
            <w:vAlign w:val="bottom"/>
          </w:tcPr>
          <w:p w:rsidR="008F6E4C" w:rsidRDefault="00A056BB" w:rsidP="00A056BB">
            <w:pPr>
              <w:tabs>
                <w:tab w:val="decimal" w:pos="310"/>
              </w:tabs>
              <w:spacing w:before="36" w:after="36"/>
              <w:ind w:firstLine="0"/>
              <w:jc w:val="left"/>
            </w:pPr>
            <w:r>
              <w:rPr>
                <w:sz w:val="22"/>
                <w:szCs w:val="22"/>
              </w:rPr>
              <w:t>2</w:t>
            </w:r>
            <w:r w:rsidR="008F6E4C">
              <w:rPr>
                <w:sz w:val="22"/>
                <w:szCs w:val="22"/>
              </w:rPr>
              <w:t>1</w:t>
            </w:r>
            <w:r>
              <w:rPr>
                <w:sz w:val="22"/>
                <w:szCs w:val="22"/>
              </w:rPr>
              <w:t>5</w:t>
            </w:r>
            <w:r w:rsidR="008F6E4C">
              <w:rPr>
                <w:sz w:val="22"/>
                <w:szCs w:val="22"/>
              </w:rPr>
              <w:t>.</w:t>
            </w:r>
            <w:r>
              <w:rPr>
                <w:sz w:val="22"/>
                <w:szCs w:val="22"/>
              </w:rPr>
              <w:t>25</w:t>
            </w:r>
            <w:r w:rsidR="008F6E4C">
              <w:rPr>
                <w:sz w:val="22"/>
                <w:szCs w:val="22"/>
              </w:rPr>
              <w:t>8</w:t>
            </w:r>
          </w:p>
        </w:tc>
        <w:tc>
          <w:tcPr>
            <w:tcW w:w="851" w:type="dxa"/>
            <w:vAlign w:val="bottom"/>
          </w:tcPr>
          <w:p w:rsidR="008F6E4C" w:rsidRDefault="00A056BB" w:rsidP="00A056BB">
            <w:pPr>
              <w:tabs>
                <w:tab w:val="decimal" w:pos="277"/>
              </w:tabs>
              <w:spacing w:before="36" w:after="36"/>
              <w:ind w:firstLine="0"/>
              <w:jc w:val="left"/>
            </w:pPr>
            <w:r>
              <w:rPr>
                <w:sz w:val="22"/>
                <w:szCs w:val="22"/>
              </w:rPr>
              <w:t>35</w:t>
            </w:r>
            <w:r w:rsidR="008F6E4C">
              <w:rPr>
                <w:sz w:val="22"/>
                <w:szCs w:val="22"/>
              </w:rPr>
              <w:t>.4</w:t>
            </w:r>
            <w:r>
              <w:rPr>
                <w:sz w:val="22"/>
                <w:szCs w:val="22"/>
              </w:rPr>
              <w:t>30</w:t>
            </w:r>
          </w:p>
        </w:tc>
      </w:tr>
      <w:tr w:rsidR="008F6E4C" w:rsidTr="00EC21FA">
        <w:trPr>
          <w:jc w:val="center"/>
        </w:trPr>
        <w:tc>
          <w:tcPr>
            <w:tcW w:w="1807" w:type="dxa"/>
          </w:tcPr>
          <w:p w:rsidR="008F6E4C" w:rsidRPr="00F3332B" w:rsidRDefault="008F6E4C" w:rsidP="0069443F">
            <w:pPr>
              <w:pStyle w:val="Normaali1"/>
              <w:tabs>
                <w:tab w:val="left" w:pos="360"/>
                <w:tab w:val="left" w:pos="972"/>
              </w:tabs>
              <w:spacing w:before="60" w:after="60" w:line="240" w:lineRule="auto"/>
              <w:ind w:left="403" w:right="288" w:hanging="397"/>
              <w:jc w:val="left"/>
              <w:rPr>
                <w:rFonts w:ascii="Times New Roman" w:hAnsi="Times New Roman"/>
                <w:sz w:val="22"/>
                <w:szCs w:val="22"/>
              </w:rPr>
            </w:pPr>
            <w:r w:rsidRPr="00F3332B">
              <w:rPr>
                <w:rFonts w:ascii="Times New Roman" w:hAnsi="Times New Roman"/>
                <w:sz w:val="22"/>
                <w:szCs w:val="22"/>
              </w:rPr>
              <w:t>CILQ</w:t>
            </w:r>
          </w:p>
        </w:tc>
        <w:tc>
          <w:tcPr>
            <w:tcW w:w="1134" w:type="dxa"/>
            <w:vAlign w:val="bottom"/>
          </w:tcPr>
          <w:p w:rsidR="008F6E4C" w:rsidRDefault="008F6E4C" w:rsidP="00A056BB">
            <w:pPr>
              <w:tabs>
                <w:tab w:val="decimal" w:pos="310"/>
              </w:tabs>
              <w:spacing w:before="36" w:after="36"/>
              <w:ind w:firstLine="0"/>
              <w:jc w:val="left"/>
              <w:rPr>
                <w:sz w:val="22"/>
                <w:szCs w:val="22"/>
              </w:rPr>
            </w:pPr>
            <w:r w:rsidRPr="009849D8">
              <w:rPr>
                <w:sz w:val="22"/>
                <w:szCs w:val="22"/>
              </w:rPr>
              <w:sym w:font="Symbol" w:char="F02D"/>
            </w:r>
            <w:r w:rsidR="00A056BB">
              <w:rPr>
                <w:sz w:val="22"/>
                <w:szCs w:val="22"/>
              </w:rPr>
              <w:t>0</w:t>
            </w:r>
            <w:r>
              <w:rPr>
                <w:sz w:val="22"/>
                <w:szCs w:val="22"/>
              </w:rPr>
              <w:t>.</w:t>
            </w:r>
            <w:r w:rsidR="00A056BB">
              <w:rPr>
                <w:sz w:val="22"/>
                <w:szCs w:val="22"/>
              </w:rPr>
              <w:t>791</w:t>
            </w:r>
          </w:p>
        </w:tc>
        <w:tc>
          <w:tcPr>
            <w:tcW w:w="992" w:type="dxa"/>
            <w:vAlign w:val="bottom"/>
          </w:tcPr>
          <w:p w:rsidR="008F6E4C" w:rsidRDefault="00A056BB" w:rsidP="00A056BB">
            <w:pPr>
              <w:tabs>
                <w:tab w:val="decimal" w:pos="277"/>
              </w:tabs>
              <w:spacing w:before="36" w:after="36"/>
              <w:ind w:firstLine="0"/>
              <w:jc w:val="left"/>
              <w:rPr>
                <w:sz w:val="22"/>
                <w:szCs w:val="22"/>
              </w:rPr>
            </w:pPr>
            <w:r>
              <w:rPr>
                <w:sz w:val="22"/>
                <w:szCs w:val="22"/>
              </w:rPr>
              <w:t>15</w:t>
            </w:r>
            <w:r w:rsidR="008F6E4C">
              <w:rPr>
                <w:sz w:val="22"/>
                <w:szCs w:val="22"/>
              </w:rPr>
              <w:t>.8</w:t>
            </w:r>
            <w:r>
              <w:rPr>
                <w:sz w:val="22"/>
                <w:szCs w:val="22"/>
              </w:rPr>
              <w:t>06</w:t>
            </w:r>
          </w:p>
        </w:tc>
        <w:tc>
          <w:tcPr>
            <w:tcW w:w="851" w:type="dxa"/>
            <w:vAlign w:val="bottom"/>
          </w:tcPr>
          <w:p w:rsidR="008F6E4C" w:rsidRDefault="008F6E4C" w:rsidP="00A056BB">
            <w:pPr>
              <w:tabs>
                <w:tab w:val="decimal" w:pos="169"/>
              </w:tabs>
              <w:spacing w:before="36" w:after="36"/>
              <w:ind w:firstLine="0"/>
              <w:jc w:val="left"/>
              <w:rPr>
                <w:sz w:val="22"/>
                <w:szCs w:val="22"/>
              </w:rPr>
            </w:pPr>
            <w:r>
              <w:rPr>
                <w:sz w:val="22"/>
                <w:szCs w:val="22"/>
              </w:rPr>
              <w:t>0.</w:t>
            </w:r>
            <w:r w:rsidR="00A056BB">
              <w:rPr>
                <w:sz w:val="22"/>
                <w:szCs w:val="22"/>
              </w:rPr>
              <w:t>34</w:t>
            </w:r>
            <w:r>
              <w:rPr>
                <w:sz w:val="22"/>
                <w:szCs w:val="22"/>
              </w:rPr>
              <w:t>4</w:t>
            </w:r>
          </w:p>
        </w:tc>
        <w:tc>
          <w:tcPr>
            <w:tcW w:w="1034" w:type="dxa"/>
            <w:vAlign w:val="bottom"/>
          </w:tcPr>
          <w:p w:rsidR="008F6E4C" w:rsidRDefault="00A056BB" w:rsidP="00A056BB">
            <w:pPr>
              <w:tabs>
                <w:tab w:val="decimal" w:pos="277"/>
              </w:tabs>
              <w:spacing w:before="36" w:after="36"/>
              <w:ind w:firstLine="0"/>
              <w:jc w:val="left"/>
              <w:rPr>
                <w:sz w:val="22"/>
                <w:szCs w:val="22"/>
              </w:rPr>
            </w:pPr>
            <w:r>
              <w:rPr>
                <w:sz w:val="22"/>
                <w:szCs w:val="22"/>
              </w:rPr>
              <w:t>0</w:t>
            </w:r>
            <w:r w:rsidR="008F6E4C">
              <w:rPr>
                <w:sz w:val="22"/>
                <w:szCs w:val="22"/>
              </w:rPr>
              <w:t>.0</w:t>
            </w:r>
            <w:r>
              <w:rPr>
                <w:sz w:val="22"/>
                <w:szCs w:val="22"/>
              </w:rPr>
              <w:t>50</w:t>
            </w:r>
          </w:p>
        </w:tc>
        <w:tc>
          <w:tcPr>
            <w:tcW w:w="950" w:type="dxa"/>
            <w:vAlign w:val="bottom"/>
          </w:tcPr>
          <w:p w:rsidR="008F6E4C" w:rsidRDefault="00A056BB" w:rsidP="00A056BB">
            <w:pPr>
              <w:tabs>
                <w:tab w:val="decimal" w:pos="310"/>
              </w:tabs>
              <w:spacing w:before="36" w:after="36"/>
              <w:ind w:firstLine="0"/>
              <w:jc w:val="left"/>
              <w:rPr>
                <w:sz w:val="22"/>
                <w:szCs w:val="22"/>
              </w:rPr>
            </w:pPr>
            <w:r>
              <w:rPr>
                <w:sz w:val="22"/>
                <w:szCs w:val="22"/>
              </w:rPr>
              <w:t>87</w:t>
            </w:r>
            <w:r w:rsidR="008F6E4C">
              <w:rPr>
                <w:sz w:val="22"/>
                <w:szCs w:val="22"/>
              </w:rPr>
              <w:t>.</w:t>
            </w:r>
            <w:r>
              <w:rPr>
                <w:sz w:val="22"/>
                <w:szCs w:val="22"/>
              </w:rPr>
              <w:t>244</w:t>
            </w:r>
          </w:p>
        </w:tc>
        <w:tc>
          <w:tcPr>
            <w:tcW w:w="851" w:type="dxa"/>
            <w:vAlign w:val="bottom"/>
          </w:tcPr>
          <w:p w:rsidR="008F6E4C" w:rsidRDefault="00A056BB" w:rsidP="00A056BB">
            <w:pPr>
              <w:tabs>
                <w:tab w:val="decimal" w:pos="277"/>
              </w:tabs>
              <w:spacing w:before="36" w:after="36"/>
              <w:ind w:firstLine="0"/>
              <w:jc w:val="left"/>
              <w:rPr>
                <w:sz w:val="22"/>
                <w:szCs w:val="22"/>
              </w:rPr>
            </w:pPr>
            <w:r>
              <w:rPr>
                <w:sz w:val="22"/>
                <w:szCs w:val="22"/>
              </w:rPr>
              <w:t>22</w:t>
            </w:r>
            <w:r w:rsidR="008F6E4C">
              <w:rPr>
                <w:sz w:val="22"/>
                <w:szCs w:val="22"/>
              </w:rPr>
              <w:t>.8</w:t>
            </w:r>
            <w:r>
              <w:rPr>
                <w:sz w:val="22"/>
                <w:szCs w:val="22"/>
              </w:rPr>
              <w:t>01</w:t>
            </w:r>
          </w:p>
        </w:tc>
      </w:tr>
      <w:tr w:rsidR="0069443F" w:rsidTr="00EC21FA">
        <w:trPr>
          <w:jc w:val="center"/>
        </w:trPr>
        <w:tc>
          <w:tcPr>
            <w:tcW w:w="1807" w:type="dxa"/>
          </w:tcPr>
          <w:p w:rsidR="0069443F" w:rsidRPr="00F3332B" w:rsidRDefault="0069443F" w:rsidP="0069443F">
            <w:pPr>
              <w:pStyle w:val="Normaali1"/>
              <w:spacing w:before="60" w:after="60" w:line="240" w:lineRule="auto"/>
              <w:ind w:right="-84" w:firstLine="6"/>
              <w:jc w:val="left"/>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sidRPr="00F3332B">
              <w:rPr>
                <w:rFonts w:ascii="Times New Roman" w:hAnsi="Times New Roman"/>
                <w:sz w:val="22"/>
                <w:szCs w:val="22"/>
              </w:rPr>
              <w:t>)</w:t>
            </w:r>
          </w:p>
        </w:tc>
        <w:tc>
          <w:tcPr>
            <w:tcW w:w="1134" w:type="dxa"/>
            <w:vAlign w:val="bottom"/>
          </w:tcPr>
          <w:p w:rsidR="0069443F" w:rsidRDefault="0069443F" w:rsidP="007C5969">
            <w:pPr>
              <w:widowControl w:val="0"/>
              <w:tabs>
                <w:tab w:val="decimal" w:pos="310"/>
              </w:tabs>
              <w:adjustRightInd w:val="0"/>
              <w:spacing w:before="36" w:after="36"/>
              <w:ind w:left="-102" w:right="-108" w:hanging="12"/>
              <w:jc w:val="left"/>
              <w:textAlignment w:val="baseline"/>
              <w:rPr>
                <w:bCs/>
              </w:rPr>
            </w:pPr>
            <w:r w:rsidRPr="009849D8">
              <w:rPr>
                <w:sz w:val="22"/>
                <w:szCs w:val="22"/>
              </w:rPr>
              <w:sym w:font="Symbol" w:char="F02D"/>
            </w:r>
            <w:r w:rsidR="007C5969">
              <w:rPr>
                <w:sz w:val="22"/>
                <w:szCs w:val="22"/>
              </w:rPr>
              <w:t>3</w:t>
            </w:r>
            <w:r>
              <w:rPr>
                <w:bCs/>
                <w:sz w:val="22"/>
                <w:szCs w:val="22"/>
              </w:rPr>
              <w:t>.</w:t>
            </w:r>
            <w:r w:rsidR="007C5969">
              <w:rPr>
                <w:bCs/>
                <w:sz w:val="22"/>
                <w:szCs w:val="22"/>
              </w:rPr>
              <w:t>071</w:t>
            </w:r>
          </w:p>
        </w:tc>
        <w:tc>
          <w:tcPr>
            <w:tcW w:w="992" w:type="dxa"/>
            <w:vAlign w:val="bottom"/>
          </w:tcPr>
          <w:p w:rsidR="0069443F" w:rsidRDefault="0069443F" w:rsidP="002C4D6C">
            <w:pPr>
              <w:tabs>
                <w:tab w:val="decimal" w:pos="277"/>
              </w:tabs>
              <w:spacing w:before="36" w:after="36"/>
              <w:ind w:firstLine="0"/>
              <w:jc w:val="left"/>
            </w:pPr>
            <w:r>
              <w:rPr>
                <w:sz w:val="22"/>
                <w:szCs w:val="22"/>
              </w:rPr>
              <w:t>1</w:t>
            </w:r>
            <w:r w:rsidR="002C4D6C">
              <w:rPr>
                <w:sz w:val="22"/>
                <w:szCs w:val="22"/>
              </w:rPr>
              <w:t>7</w:t>
            </w:r>
            <w:r>
              <w:rPr>
                <w:sz w:val="22"/>
                <w:szCs w:val="22"/>
              </w:rPr>
              <w:t>.</w:t>
            </w:r>
            <w:r w:rsidR="002C4D6C">
              <w:rPr>
                <w:sz w:val="22"/>
                <w:szCs w:val="22"/>
              </w:rPr>
              <w:t>1</w:t>
            </w:r>
            <w:r>
              <w:rPr>
                <w:sz w:val="22"/>
                <w:szCs w:val="22"/>
              </w:rPr>
              <w:t>3</w:t>
            </w:r>
            <w:r w:rsidR="002C4D6C">
              <w:rPr>
                <w:sz w:val="22"/>
                <w:szCs w:val="22"/>
              </w:rPr>
              <w:t>6</w:t>
            </w:r>
          </w:p>
        </w:tc>
        <w:tc>
          <w:tcPr>
            <w:tcW w:w="851" w:type="dxa"/>
            <w:vAlign w:val="bottom"/>
          </w:tcPr>
          <w:p w:rsidR="0069443F" w:rsidRDefault="0069443F" w:rsidP="00491575">
            <w:pPr>
              <w:tabs>
                <w:tab w:val="decimal" w:pos="169"/>
              </w:tabs>
              <w:spacing w:before="36" w:after="36"/>
              <w:ind w:firstLine="0"/>
              <w:jc w:val="left"/>
            </w:pPr>
            <w:r>
              <w:rPr>
                <w:sz w:val="22"/>
                <w:szCs w:val="22"/>
              </w:rPr>
              <w:t>0.</w:t>
            </w:r>
            <w:r w:rsidR="00491575">
              <w:rPr>
                <w:sz w:val="22"/>
                <w:szCs w:val="22"/>
              </w:rPr>
              <w:t>347</w:t>
            </w:r>
          </w:p>
        </w:tc>
        <w:tc>
          <w:tcPr>
            <w:tcW w:w="1034" w:type="dxa"/>
            <w:vAlign w:val="bottom"/>
          </w:tcPr>
          <w:p w:rsidR="0069443F" w:rsidRDefault="00EC21FA" w:rsidP="00EC21FA">
            <w:pPr>
              <w:tabs>
                <w:tab w:val="decimal" w:pos="277"/>
              </w:tabs>
              <w:spacing w:before="36" w:after="36"/>
              <w:ind w:firstLine="0"/>
              <w:jc w:val="left"/>
            </w:pPr>
            <w:r>
              <w:rPr>
                <w:sz w:val="22"/>
                <w:szCs w:val="22"/>
              </w:rPr>
              <w:t>0</w:t>
            </w:r>
            <w:r w:rsidR="0069443F">
              <w:rPr>
                <w:sz w:val="22"/>
                <w:szCs w:val="22"/>
              </w:rPr>
              <w:t>.</w:t>
            </w:r>
            <w:r>
              <w:rPr>
                <w:sz w:val="22"/>
                <w:szCs w:val="22"/>
              </w:rPr>
              <w:t>589</w:t>
            </w:r>
          </w:p>
        </w:tc>
        <w:tc>
          <w:tcPr>
            <w:tcW w:w="950" w:type="dxa"/>
            <w:vAlign w:val="bottom"/>
          </w:tcPr>
          <w:p w:rsidR="0069443F" w:rsidRDefault="004C5842" w:rsidP="004C5842">
            <w:pPr>
              <w:tabs>
                <w:tab w:val="decimal" w:pos="310"/>
              </w:tabs>
              <w:spacing w:before="36" w:after="36"/>
              <w:ind w:firstLine="0"/>
              <w:jc w:val="left"/>
            </w:pPr>
            <w:r>
              <w:rPr>
                <w:sz w:val="22"/>
                <w:szCs w:val="22"/>
              </w:rPr>
              <w:t>89</w:t>
            </w:r>
            <w:r w:rsidR="0069443F">
              <w:rPr>
                <w:sz w:val="22"/>
                <w:szCs w:val="22"/>
              </w:rPr>
              <w:t>.5</w:t>
            </w:r>
            <w:r>
              <w:rPr>
                <w:sz w:val="22"/>
                <w:szCs w:val="22"/>
              </w:rPr>
              <w:t>93</w:t>
            </w:r>
          </w:p>
        </w:tc>
        <w:tc>
          <w:tcPr>
            <w:tcW w:w="851" w:type="dxa"/>
            <w:vAlign w:val="bottom"/>
          </w:tcPr>
          <w:p w:rsidR="0069443F" w:rsidRDefault="0069443F" w:rsidP="00CF026C">
            <w:pPr>
              <w:tabs>
                <w:tab w:val="decimal" w:pos="277"/>
              </w:tabs>
              <w:spacing w:before="36" w:after="36"/>
              <w:ind w:firstLine="0"/>
              <w:jc w:val="left"/>
            </w:pPr>
            <w:r>
              <w:rPr>
                <w:sz w:val="22"/>
                <w:szCs w:val="22"/>
              </w:rPr>
              <w:t>2</w:t>
            </w:r>
            <w:r w:rsidR="00CF026C">
              <w:rPr>
                <w:sz w:val="22"/>
                <w:szCs w:val="22"/>
              </w:rPr>
              <w:t>3</w:t>
            </w:r>
            <w:r>
              <w:rPr>
                <w:sz w:val="22"/>
                <w:szCs w:val="22"/>
              </w:rPr>
              <w:t>.</w:t>
            </w:r>
            <w:r w:rsidR="00CF026C">
              <w:rPr>
                <w:sz w:val="22"/>
                <w:szCs w:val="22"/>
              </w:rPr>
              <w:t>190</w:t>
            </w:r>
          </w:p>
        </w:tc>
      </w:tr>
      <w:tr w:rsidR="0069443F" w:rsidTr="00EC21FA">
        <w:trPr>
          <w:jc w:val="center"/>
        </w:trPr>
        <w:tc>
          <w:tcPr>
            <w:tcW w:w="1807" w:type="dxa"/>
          </w:tcPr>
          <w:p w:rsidR="0069443F" w:rsidRPr="00F3332B" w:rsidRDefault="0069443F" w:rsidP="0069443F">
            <w:pPr>
              <w:pStyle w:val="Normaali1"/>
              <w:spacing w:before="60" w:after="60" w:line="240" w:lineRule="auto"/>
              <w:ind w:right="-84" w:firstLine="6"/>
              <w:jc w:val="left"/>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05</w:t>
            </w:r>
            <w:r w:rsidRPr="00F3332B">
              <w:rPr>
                <w:rFonts w:ascii="Times New Roman" w:hAnsi="Times New Roman"/>
                <w:sz w:val="22"/>
                <w:szCs w:val="22"/>
              </w:rPr>
              <w:t>)</w:t>
            </w:r>
          </w:p>
        </w:tc>
        <w:tc>
          <w:tcPr>
            <w:tcW w:w="1134" w:type="dxa"/>
            <w:vAlign w:val="bottom"/>
          </w:tcPr>
          <w:p w:rsidR="0069443F" w:rsidRDefault="0069443F" w:rsidP="007C5969">
            <w:pPr>
              <w:widowControl w:val="0"/>
              <w:tabs>
                <w:tab w:val="decimal" w:pos="310"/>
              </w:tabs>
              <w:adjustRightInd w:val="0"/>
              <w:spacing w:before="36" w:after="36"/>
              <w:ind w:left="-102" w:right="-108" w:hanging="12"/>
              <w:jc w:val="left"/>
              <w:textAlignment w:val="baseline"/>
              <w:rPr>
                <w:bCs/>
              </w:rPr>
            </w:pPr>
            <w:r w:rsidRPr="009849D8">
              <w:rPr>
                <w:sz w:val="22"/>
                <w:szCs w:val="22"/>
              </w:rPr>
              <w:sym w:font="Symbol" w:char="F02D"/>
            </w:r>
            <w:r w:rsidR="007C5969">
              <w:rPr>
                <w:sz w:val="22"/>
                <w:szCs w:val="22"/>
              </w:rPr>
              <w:t>4</w:t>
            </w:r>
            <w:r>
              <w:rPr>
                <w:bCs/>
                <w:sz w:val="22"/>
                <w:szCs w:val="22"/>
              </w:rPr>
              <w:t>.</w:t>
            </w:r>
            <w:r w:rsidR="007C5969">
              <w:rPr>
                <w:bCs/>
                <w:sz w:val="22"/>
                <w:szCs w:val="22"/>
              </w:rPr>
              <w:t>558</w:t>
            </w:r>
          </w:p>
        </w:tc>
        <w:tc>
          <w:tcPr>
            <w:tcW w:w="992" w:type="dxa"/>
            <w:vAlign w:val="bottom"/>
          </w:tcPr>
          <w:p w:rsidR="0069443F" w:rsidRDefault="0069443F" w:rsidP="002C4D6C">
            <w:pPr>
              <w:tabs>
                <w:tab w:val="decimal" w:pos="277"/>
              </w:tabs>
              <w:spacing w:before="36" w:after="36"/>
              <w:ind w:firstLine="0"/>
              <w:jc w:val="left"/>
            </w:pPr>
            <w:r>
              <w:rPr>
                <w:sz w:val="22"/>
                <w:szCs w:val="22"/>
              </w:rPr>
              <w:t>1</w:t>
            </w:r>
            <w:r w:rsidR="002C4D6C">
              <w:rPr>
                <w:sz w:val="22"/>
                <w:szCs w:val="22"/>
              </w:rPr>
              <w:t>6</w:t>
            </w:r>
            <w:r>
              <w:rPr>
                <w:sz w:val="22"/>
                <w:szCs w:val="22"/>
              </w:rPr>
              <w:t>.</w:t>
            </w:r>
            <w:r w:rsidR="002C4D6C">
              <w:rPr>
                <w:sz w:val="22"/>
                <w:szCs w:val="22"/>
              </w:rPr>
              <w:t>714</w:t>
            </w:r>
          </w:p>
        </w:tc>
        <w:tc>
          <w:tcPr>
            <w:tcW w:w="851" w:type="dxa"/>
            <w:vAlign w:val="bottom"/>
          </w:tcPr>
          <w:p w:rsidR="0069443F" w:rsidRDefault="0069443F" w:rsidP="00491575">
            <w:pPr>
              <w:tabs>
                <w:tab w:val="decimal" w:pos="169"/>
              </w:tabs>
              <w:spacing w:before="36" w:after="36"/>
              <w:ind w:firstLine="0"/>
              <w:jc w:val="left"/>
            </w:pPr>
            <w:r>
              <w:rPr>
                <w:sz w:val="22"/>
                <w:szCs w:val="22"/>
              </w:rPr>
              <w:t>0.</w:t>
            </w:r>
            <w:r w:rsidR="00491575">
              <w:rPr>
                <w:sz w:val="22"/>
                <w:szCs w:val="22"/>
              </w:rPr>
              <w:t>334</w:t>
            </w:r>
          </w:p>
        </w:tc>
        <w:tc>
          <w:tcPr>
            <w:tcW w:w="1034" w:type="dxa"/>
            <w:vAlign w:val="bottom"/>
          </w:tcPr>
          <w:p w:rsidR="0069443F" w:rsidRDefault="00EC21FA" w:rsidP="00EC21FA">
            <w:pPr>
              <w:tabs>
                <w:tab w:val="decimal" w:pos="277"/>
              </w:tabs>
              <w:spacing w:before="36" w:after="36"/>
              <w:ind w:firstLine="0"/>
              <w:jc w:val="left"/>
            </w:pPr>
            <w:r>
              <w:rPr>
                <w:sz w:val="22"/>
                <w:szCs w:val="22"/>
              </w:rPr>
              <w:t>2</w:t>
            </w:r>
            <w:r w:rsidR="0069443F">
              <w:rPr>
                <w:sz w:val="22"/>
                <w:szCs w:val="22"/>
              </w:rPr>
              <w:t>.</w:t>
            </w:r>
            <w:r>
              <w:rPr>
                <w:sz w:val="22"/>
                <w:szCs w:val="22"/>
              </w:rPr>
              <w:t>13</w:t>
            </w:r>
            <w:r w:rsidR="0069443F">
              <w:rPr>
                <w:sz w:val="22"/>
                <w:szCs w:val="22"/>
              </w:rPr>
              <w:t>2</w:t>
            </w:r>
          </w:p>
        </w:tc>
        <w:tc>
          <w:tcPr>
            <w:tcW w:w="950" w:type="dxa"/>
            <w:vAlign w:val="bottom"/>
          </w:tcPr>
          <w:p w:rsidR="0069443F" w:rsidRDefault="004C5842" w:rsidP="004C5842">
            <w:pPr>
              <w:tabs>
                <w:tab w:val="decimal" w:pos="310"/>
              </w:tabs>
              <w:spacing w:before="36" w:after="36"/>
              <w:ind w:firstLine="0"/>
              <w:jc w:val="left"/>
            </w:pPr>
            <w:r>
              <w:rPr>
                <w:sz w:val="22"/>
                <w:szCs w:val="22"/>
              </w:rPr>
              <w:t>77</w:t>
            </w:r>
            <w:r w:rsidR="0069443F">
              <w:rPr>
                <w:sz w:val="22"/>
                <w:szCs w:val="22"/>
              </w:rPr>
              <w:t>.</w:t>
            </w:r>
            <w:r>
              <w:rPr>
                <w:sz w:val="22"/>
                <w:szCs w:val="22"/>
              </w:rPr>
              <w:t>75</w:t>
            </w:r>
            <w:r w:rsidR="0069443F">
              <w:rPr>
                <w:sz w:val="22"/>
                <w:szCs w:val="22"/>
              </w:rPr>
              <w:t>8</w:t>
            </w:r>
          </w:p>
        </w:tc>
        <w:tc>
          <w:tcPr>
            <w:tcW w:w="851" w:type="dxa"/>
            <w:vAlign w:val="bottom"/>
          </w:tcPr>
          <w:p w:rsidR="0069443F" w:rsidRDefault="0069443F" w:rsidP="00CF026C">
            <w:pPr>
              <w:tabs>
                <w:tab w:val="decimal" w:pos="277"/>
              </w:tabs>
              <w:spacing w:before="36" w:after="36"/>
              <w:ind w:firstLine="0"/>
              <w:jc w:val="left"/>
            </w:pPr>
            <w:r>
              <w:rPr>
                <w:sz w:val="22"/>
                <w:szCs w:val="22"/>
              </w:rPr>
              <w:t>2</w:t>
            </w:r>
            <w:r w:rsidR="00CF026C">
              <w:rPr>
                <w:sz w:val="22"/>
                <w:szCs w:val="22"/>
              </w:rPr>
              <w:t>1</w:t>
            </w:r>
            <w:r>
              <w:rPr>
                <w:sz w:val="22"/>
                <w:szCs w:val="22"/>
              </w:rPr>
              <w:t>.</w:t>
            </w:r>
            <w:r w:rsidR="00CF026C">
              <w:rPr>
                <w:sz w:val="22"/>
                <w:szCs w:val="22"/>
              </w:rPr>
              <w:t>978</w:t>
            </w:r>
          </w:p>
        </w:tc>
      </w:tr>
      <w:tr w:rsidR="0069443F" w:rsidTr="00EC21FA">
        <w:trPr>
          <w:jc w:val="center"/>
        </w:trPr>
        <w:tc>
          <w:tcPr>
            <w:tcW w:w="1807" w:type="dxa"/>
          </w:tcPr>
          <w:p w:rsidR="0069443F" w:rsidRPr="00F3332B" w:rsidRDefault="0069443F" w:rsidP="0069443F">
            <w:pPr>
              <w:pStyle w:val="Normaali1"/>
              <w:spacing w:before="60" w:after="60" w:line="240" w:lineRule="auto"/>
              <w:ind w:right="-84" w:firstLine="6"/>
              <w:jc w:val="left"/>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0.1</w:t>
            </w:r>
            <w:r w:rsidRPr="00F3332B">
              <w:rPr>
                <w:rFonts w:ascii="Times New Roman" w:hAnsi="Times New Roman"/>
                <w:sz w:val="22"/>
                <w:szCs w:val="22"/>
              </w:rPr>
              <w:t>)</w:t>
            </w:r>
          </w:p>
        </w:tc>
        <w:tc>
          <w:tcPr>
            <w:tcW w:w="1134" w:type="dxa"/>
            <w:vAlign w:val="bottom"/>
          </w:tcPr>
          <w:p w:rsidR="0069443F" w:rsidRDefault="0069443F" w:rsidP="007C5969">
            <w:pPr>
              <w:widowControl w:val="0"/>
              <w:tabs>
                <w:tab w:val="decimal" w:pos="310"/>
              </w:tabs>
              <w:adjustRightInd w:val="0"/>
              <w:spacing w:before="36" w:after="36"/>
              <w:ind w:left="-102" w:right="-108" w:hanging="11"/>
              <w:jc w:val="left"/>
              <w:textAlignment w:val="baseline"/>
              <w:rPr>
                <w:bCs/>
              </w:rPr>
            </w:pPr>
            <w:r w:rsidRPr="009849D8">
              <w:rPr>
                <w:sz w:val="22"/>
                <w:szCs w:val="22"/>
              </w:rPr>
              <w:sym w:font="Symbol" w:char="F02D"/>
            </w:r>
            <w:r w:rsidR="007C5969">
              <w:rPr>
                <w:sz w:val="22"/>
                <w:szCs w:val="22"/>
              </w:rPr>
              <w:t>6</w:t>
            </w:r>
            <w:r>
              <w:rPr>
                <w:sz w:val="22"/>
                <w:szCs w:val="22"/>
              </w:rPr>
              <w:t>.</w:t>
            </w:r>
            <w:r w:rsidR="007C5969">
              <w:rPr>
                <w:sz w:val="22"/>
                <w:szCs w:val="22"/>
              </w:rPr>
              <w:t>056</w:t>
            </w:r>
          </w:p>
        </w:tc>
        <w:tc>
          <w:tcPr>
            <w:tcW w:w="992" w:type="dxa"/>
            <w:vAlign w:val="bottom"/>
          </w:tcPr>
          <w:p w:rsidR="0069443F" w:rsidRDefault="0069443F" w:rsidP="002C4D6C">
            <w:pPr>
              <w:tabs>
                <w:tab w:val="decimal" w:pos="277"/>
              </w:tabs>
              <w:spacing w:before="36" w:after="36"/>
              <w:ind w:firstLine="0"/>
              <w:jc w:val="left"/>
            </w:pPr>
            <w:r>
              <w:rPr>
                <w:sz w:val="22"/>
                <w:szCs w:val="22"/>
              </w:rPr>
              <w:t>1</w:t>
            </w:r>
            <w:r w:rsidR="002C4D6C">
              <w:rPr>
                <w:sz w:val="22"/>
                <w:szCs w:val="22"/>
              </w:rPr>
              <w:t>6</w:t>
            </w:r>
            <w:r>
              <w:rPr>
                <w:sz w:val="22"/>
                <w:szCs w:val="22"/>
              </w:rPr>
              <w:t>.</w:t>
            </w:r>
            <w:r w:rsidR="002C4D6C">
              <w:rPr>
                <w:sz w:val="22"/>
                <w:szCs w:val="22"/>
              </w:rPr>
              <w:t>32</w:t>
            </w:r>
            <w:r>
              <w:rPr>
                <w:sz w:val="22"/>
                <w:szCs w:val="22"/>
              </w:rPr>
              <w:t>4</w:t>
            </w:r>
          </w:p>
        </w:tc>
        <w:tc>
          <w:tcPr>
            <w:tcW w:w="851" w:type="dxa"/>
            <w:vAlign w:val="bottom"/>
          </w:tcPr>
          <w:p w:rsidR="0069443F" w:rsidRDefault="0069443F" w:rsidP="00E44301">
            <w:pPr>
              <w:tabs>
                <w:tab w:val="decimal" w:pos="169"/>
              </w:tabs>
              <w:spacing w:before="36" w:after="36"/>
              <w:ind w:firstLine="0"/>
              <w:jc w:val="left"/>
            </w:pPr>
            <w:r>
              <w:rPr>
                <w:sz w:val="22"/>
                <w:szCs w:val="22"/>
              </w:rPr>
              <w:t>0.</w:t>
            </w:r>
            <w:r w:rsidR="00E44301">
              <w:rPr>
                <w:sz w:val="22"/>
                <w:szCs w:val="22"/>
              </w:rPr>
              <w:t>3</w:t>
            </w:r>
            <w:r>
              <w:rPr>
                <w:sz w:val="22"/>
                <w:szCs w:val="22"/>
              </w:rPr>
              <w:t>22</w:t>
            </w:r>
          </w:p>
        </w:tc>
        <w:tc>
          <w:tcPr>
            <w:tcW w:w="1034" w:type="dxa"/>
            <w:vAlign w:val="bottom"/>
          </w:tcPr>
          <w:p w:rsidR="0069443F" w:rsidRDefault="00EC21FA" w:rsidP="00EC21FA">
            <w:pPr>
              <w:tabs>
                <w:tab w:val="decimal" w:pos="277"/>
              </w:tabs>
              <w:spacing w:before="36" w:after="36"/>
              <w:ind w:firstLine="0"/>
              <w:jc w:val="left"/>
            </w:pPr>
            <w:r>
              <w:rPr>
                <w:sz w:val="22"/>
                <w:szCs w:val="22"/>
              </w:rPr>
              <w:t>4</w:t>
            </w:r>
            <w:r w:rsidR="0069443F">
              <w:rPr>
                <w:sz w:val="22"/>
                <w:szCs w:val="22"/>
              </w:rPr>
              <w:t>.</w:t>
            </w:r>
            <w:r>
              <w:rPr>
                <w:sz w:val="22"/>
                <w:szCs w:val="22"/>
              </w:rPr>
              <w:t>649</w:t>
            </w:r>
          </w:p>
        </w:tc>
        <w:tc>
          <w:tcPr>
            <w:tcW w:w="950" w:type="dxa"/>
            <w:vAlign w:val="bottom"/>
          </w:tcPr>
          <w:p w:rsidR="0069443F" w:rsidRDefault="004C5842" w:rsidP="004C5842">
            <w:pPr>
              <w:tabs>
                <w:tab w:val="decimal" w:pos="310"/>
              </w:tabs>
              <w:spacing w:before="36" w:after="36"/>
              <w:ind w:firstLine="0"/>
              <w:jc w:val="left"/>
            </w:pPr>
            <w:r>
              <w:rPr>
                <w:sz w:val="22"/>
                <w:szCs w:val="22"/>
              </w:rPr>
              <w:t>66</w:t>
            </w:r>
            <w:r w:rsidR="0069443F">
              <w:rPr>
                <w:sz w:val="22"/>
                <w:szCs w:val="22"/>
              </w:rPr>
              <w:t>.</w:t>
            </w:r>
            <w:r>
              <w:rPr>
                <w:sz w:val="22"/>
                <w:szCs w:val="22"/>
              </w:rPr>
              <w:t>54</w:t>
            </w:r>
            <w:r w:rsidR="0069443F">
              <w:rPr>
                <w:sz w:val="22"/>
                <w:szCs w:val="22"/>
              </w:rPr>
              <w:t>5</w:t>
            </w:r>
          </w:p>
        </w:tc>
        <w:tc>
          <w:tcPr>
            <w:tcW w:w="851" w:type="dxa"/>
            <w:vAlign w:val="bottom"/>
          </w:tcPr>
          <w:p w:rsidR="0069443F" w:rsidRDefault="00CF026C" w:rsidP="000170ED">
            <w:pPr>
              <w:widowControl w:val="0"/>
              <w:tabs>
                <w:tab w:val="decimal" w:pos="211"/>
              </w:tabs>
              <w:adjustRightInd w:val="0"/>
              <w:spacing w:before="36" w:after="36"/>
              <w:ind w:left="-108" w:right="-108" w:hanging="5"/>
              <w:jc w:val="left"/>
              <w:textAlignment w:val="baseline"/>
              <w:rPr>
                <w:bCs/>
              </w:rPr>
            </w:pPr>
            <w:r>
              <w:rPr>
                <w:bCs/>
                <w:sz w:val="22"/>
                <w:szCs w:val="22"/>
              </w:rPr>
              <w:t>20</w:t>
            </w:r>
            <w:r w:rsidR="0069443F">
              <w:rPr>
                <w:bCs/>
                <w:sz w:val="22"/>
                <w:szCs w:val="22"/>
              </w:rPr>
              <w:t>.8</w:t>
            </w:r>
            <w:r>
              <w:rPr>
                <w:bCs/>
                <w:sz w:val="22"/>
                <w:szCs w:val="22"/>
              </w:rPr>
              <w:t>59</w:t>
            </w:r>
          </w:p>
        </w:tc>
      </w:tr>
      <w:tr w:rsidR="0069443F" w:rsidTr="00EC21FA">
        <w:trPr>
          <w:jc w:val="center"/>
        </w:trPr>
        <w:tc>
          <w:tcPr>
            <w:tcW w:w="1807" w:type="dxa"/>
          </w:tcPr>
          <w:p w:rsidR="0069443F" w:rsidRPr="00F3332B" w:rsidRDefault="0069443F" w:rsidP="0069443F">
            <w:pPr>
              <w:pStyle w:val="Normaali1"/>
              <w:spacing w:before="60" w:after="60" w:line="240" w:lineRule="auto"/>
              <w:ind w:right="-84" w:firstLine="6"/>
              <w:jc w:val="left"/>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0.15</w:t>
            </w:r>
            <w:r w:rsidRPr="00F3332B">
              <w:rPr>
                <w:rFonts w:ascii="Times New Roman" w:hAnsi="Times New Roman"/>
                <w:sz w:val="22"/>
                <w:szCs w:val="22"/>
              </w:rPr>
              <w:t>)</w:t>
            </w:r>
          </w:p>
        </w:tc>
        <w:tc>
          <w:tcPr>
            <w:tcW w:w="1134" w:type="dxa"/>
            <w:vAlign w:val="bottom"/>
          </w:tcPr>
          <w:p w:rsidR="0069443F" w:rsidRDefault="0069443F" w:rsidP="007C5969">
            <w:pPr>
              <w:widowControl w:val="0"/>
              <w:tabs>
                <w:tab w:val="decimal" w:pos="310"/>
              </w:tabs>
              <w:adjustRightInd w:val="0"/>
              <w:spacing w:before="36" w:after="36"/>
              <w:ind w:left="-102" w:right="-108" w:hanging="12"/>
              <w:jc w:val="left"/>
              <w:textAlignment w:val="baseline"/>
              <w:rPr>
                <w:bCs/>
              </w:rPr>
            </w:pPr>
            <w:r w:rsidRPr="009849D8">
              <w:rPr>
                <w:sz w:val="22"/>
                <w:szCs w:val="22"/>
              </w:rPr>
              <w:sym w:font="Symbol" w:char="F02D"/>
            </w:r>
            <w:r w:rsidR="007C5969">
              <w:rPr>
                <w:sz w:val="22"/>
                <w:szCs w:val="22"/>
              </w:rPr>
              <w:t>7</w:t>
            </w:r>
            <w:r>
              <w:rPr>
                <w:sz w:val="22"/>
                <w:szCs w:val="22"/>
              </w:rPr>
              <w:t>.4</w:t>
            </w:r>
            <w:r w:rsidR="007C5969">
              <w:rPr>
                <w:sz w:val="22"/>
                <w:szCs w:val="22"/>
              </w:rPr>
              <w:t>97</w:t>
            </w:r>
          </w:p>
        </w:tc>
        <w:tc>
          <w:tcPr>
            <w:tcW w:w="992" w:type="dxa"/>
            <w:vAlign w:val="bottom"/>
          </w:tcPr>
          <w:p w:rsidR="0069443F" w:rsidRDefault="0069443F" w:rsidP="002C4D6C">
            <w:pPr>
              <w:tabs>
                <w:tab w:val="decimal" w:pos="277"/>
              </w:tabs>
              <w:spacing w:before="36" w:after="36"/>
              <w:ind w:firstLine="0"/>
              <w:jc w:val="left"/>
            </w:pPr>
            <w:r>
              <w:rPr>
                <w:sz w:val="22"/>
                <w:szCs w:val="22"/>
              </w:rPr>
              <w:t>1</w:t>
            </w:r>
            <w:r w:rsidR="002C4D6C">
              <w:rPr>
                <w:sz w:val="22"/>
                <w:szCs w:val="22"/>
              </w:rPr>
              <w:t>6</w:t>
            </w:r>
            <w:r>
              <w:rPr>
                <w:sz w:val="22"/>
                <w:szCs w:val="22"/>
              </w:rPr>
              <w:t>.</w:t>
            </w:r>
            <w:r w:rsidR="002C4D6C">
              <w:rPr>
                <w:sz w:val="22"/>
                <w:szCs w:val="22"/>
              </w:rPr>
              <w:t>1</w:t>
            </w:r>
            <w:r>
              <w:rPr>
                <w:sz w:val="22"/>
                <w:szCs w:val="22"/>
              </w:rPr>
              <w:t>5</w:t>
            </w:r>
            <w:r w:rsidR="002C4D6C">
              <w:rPr>
                <w:sz w:val="22"/>
                <w:szCs w:val="22"/>
              </w:rPr>
              <w:t>2</w:t>
            </w:r>
          </w:p>
        </w:tc>
        <w:tc>
          <w:tcPr>
            <w:tcW w:w="851" w:type="dxa"/>
            <w:vAlign w:val="bottom"/>
          </w:tcPr>
          <w:p w:rsidR="0069443F" w:rsidRDefault="0069443F" w:rsidP="00E44301">
            <w:pPr>
              <w:tabs>
                <w:tab w:val="decimal" w:pos="169"/>
              </w:tabs>
              <w:spacing w:before="36" w:after="36"/>
              <w:ind w:firstLine="0"/>
              <w:jc w:val="left"/>
            </w:pPr>
            <w:r>
              <w:rPr>
                <w:sz w:val="22"/>
                <w:szCs w:val="22"/>
              </w:rPr>
              <w:t>0.</w:t>
            </w:r>
            <w:r w:rsidR="00E44301">
              <w:rPr>
                <w:sz w:val="22"/>
                <w:szCs w:val="22"/>
              </w:rPr>
              <w:t>311</w:t>
            </w:r>
          </w:p>
        </w:tc>
        <w:tc>
          <w:tcPr>
            <w:tcW w:w="1034" w:type="dxa"/>
            <w:vAlign w:val="bottom"/>
          </w:tcPr>
          <w:p w:rsidR="0069443F" w:rsidRDefault="00EC21FA" w:rsidP="00EC21FA">
            <w:pPr>
              <w:tabs>
                <w:tab w:val="decimal" w:pos="277"/>
              </w:tabs>
              <w:spacing w:before="36" w:after="36"/>
              <w:ind w:firstLine="0"/>
              <w:jc w:val="left"/>
            </w:pPr>
            <w:r>
              <w:rPr>
                <w:sz w:val="22"/>
                <w:szCs w:val="22"/>
              </w:rPr>
              <w:t>7</w:t>
            </w:r>
            <w:r w:rsidR="0069443F">
              <w:rPr>
                <w:sz w:val="22"/>
                <w:szCs w:val="22"/>
              </w:rPr>
              <w:t>.</w:t>
            </w:r>
            <w:r>
              <w:rPr>
                <w:sz w:val="22"/>
                <w:szCs w:val="22"/>
              </w:rPr>
              <w:t>976</w:t>
            </w:r>
          </w:p>
        </w:tc>
        <w:tc>
          <w:tcPr>
            <w:tcW w:w="950" w:type="dxa"/>
            <w:vAlign w:val="bottom"/>
          </w:tcPr>
          <w:p w:rsidR="0069443F" w:rsidRDefault="004C5842" w:rsidP="004C5842">
            <w:pPr>
              <w:tabs>
                <w:tab w:val="decimal" w:pos="310"/>
              </w:tabs>
              <w:spacing w:before="36" w:after="36"/>
              <w:ind w:firstLine="0"/>
              <w:jc w:val="left"/>
            </w:pPr>
            <w:r>
              <w:rPr>
                <w:sz w:val="22"/>
                <w:szCs w:val="22"/>
              </w:rPr>
              <w:t>56</w:t>
            </w:r>
            <w:r w:rsidR="0069443F">
              <w:rPr>
                <w:sz w:val="22"/>
                <w:szCs w:val="22"/>
              </w:rPr>
              <w:t>.</w:t>
            </w:r>
            <w:r>
              <w:rPr>
                <w:sz w:val="22"/>
                <w:szCs w:val="22"/>
              </w:rPr>
              <w:t>42</w:t>
            </w:r>
            <w:r w:rsidR="0069443F">
              <w:rPr>
                <w:sz w:val="22"/>
                <w:szCs w:val="22"/>
              </w:rPr>
              <w:t>2</w:t>
            </w:r>
          </w:p>
        </w:tc>
        <w:tc>
          <w:tcPr>
            <w:tcW w:w="851" w:type="dxa"/>
            <w:vAlign w:val="bottom"/>
          </w:tcPr>
          <w:p w:rsidR="0069443F" w:rsidRDefault="00EB2A4A" w:rsidP="00EB2A4A">
            <w:pPr>
              <w:widowControl w:val="0"/>
              <w:tabs>
                <w:tab w:val="decimal" w:pos="211"/>
              </w:tabs>
              <w:adjustRightInd w:val="0"/>
              <w:spacing w:before="36" w:after="36"/>
              <w:ind w:left="-108" w:right="-108" w:hanging="5"/>
              <w:jc w:val="left"/>
              <w:textAlignment w:val="baseline"/>
              <w:rPr>
                <w:bCs/>
              </w:rPr>
            </w:pPr>
            <w:r>
              <w:rPr>
                <w:bCs/>
                <w:sz w:val="22"/>
                <w:szCs w:val="22"/>
              </w:rPr>
              <w:t>19</w:t>
            </w:r>
            <w:r w:rsidR="0069443F">
              <w:rPr>
                <w:bCs/>
                <w:sz w:val="22"/>
                <w:szCs w:val="22"/>
              </w:rPr>
              <w:t>.</w:t>
            </w:r>
            <w:r w:rsidR="008F0047">
              <w:rPr>
                <w:bCs/>
                <w:sz w:val="22"/>
                <w:szCs w:val="22"/>
              </w:rPr>
              <w:t>8</w:t>
            </w:r>
            <w:r>
              <w:rPr>
                <w:bCs/>
                <w:sz w:val="22"/>
                <w:szCs w:val="22"/>
              </w:rPr>
              <w:t>9</w:t>
            </w:r>
            <w:r w:rsidR="008F0047">
              <w:rPr>
                <w:bCs/>
                <w:sz w:val="22"/>
                <w:szCs w:val="22"/>
              </w:rPr>
              <w:t>9</w:t>
            </w:r>
          </w:p>
        </w:tc>
      </w:tr>
      <w:tr w:rsidR="0069443F" w:rsidTr="00EC21FA">
        <w:trPr>
          <w:jc w:val="center"/>
        </w:trPr>
        <w:tc>
          <w:tcPr>
            <w:tcW w:w="1807" w:type="dxa"/>
          </w:tcPr>
          <w:p w:rsidR="0069443F" w:rsidRPr="00F3332B" w:rsidRDefault="0069443F" w:rsidP="0069443F">
            <w:pPr>
              <w:pStyle w:val="Normaali1"/>
              <w:spacing w:before="60" w:after="60" w:line="240" w:lineRule="auto"/>
              <w:ind w:right="-84" w:firstLine="6"/>
              <w:jc w:val="left"/>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0.2</w:t>
            </w:r>
            <w:r w:rsidRPr="00F3332B">
              <w:rPr>
                <w:rFonts w:ascii="Times New Roman" w:hAnsi="Times New Roman"/>
                <w:sz w:val="22"/>
                <w:szCs w:val="22"/>
              </w:rPr>
              <w:t>)</w:t>
            </w:r>
          </w:p>
        </w:tc>
        <w:tc>
          <w:tcPr>
            <w:tcW w:w="1134" w:type="dxa"/>
            <w:vAlign w:val="bottom"/>
          </w:tcPr>
          <w:p w:rsidR="0069443F" w:rsidRDefault="0069443F" w:rsidP="007C5969">
            <w:pPr>
              <w:widowControl w:val="0"/>
              <w:tabs>
                <w:tab w:val="decimal" w:pos="310"/>
              </w:tabs>
              <w:adjustRightInd w:val="0"/>
              <w:spacing w:before="36" w:after="36"/>
              <w:ind w:left="-102" w:right="-108" w:hanging="12"/>
              <w:jc w:val="left"/>
              <w:textAlignment w:val="baseline"/>
              <w:rPr>
                <w:bCs/>
              </w:rPr>
            </w:pPr>
            <w:r w:rsidRPr="009849D8">
              <w:rPr>
                <w:sz w:val="22"/>
                <w:szCs w:val="22"/>
              </w:rPr>
              <w:sym w:font="Symbol" w:char="F02D"/>
            </w:r>
            <w:r w:rsidR="007C5969">
              <w:rPr>
                <w:sz w:val="22"/>
                <w:szCs w:val="22"/>
              </w:rPr>
              <w:t>8</w:t>
            </w:r>
            <w:r>
              <w:rPr>
                <w:sz w:val="22"/>
                <w:szCs w:val="22"/>
              </w:rPr>
              <w:t>.</w:t>
            </w:r>
            <w:r w:rsidR="007C5969">
              <w:rPr>
                <w:sz w:val="22"/>
                <w:szCs w:val="22"/>
              </w:rPr>
              <w:t>90</w:t>
            </w:r>
            <w:r>
              <w:rPr>
                <w:sz w:val="22"/>
                <w:szCs w:val="22"/>
              </w:rPr>
              <w:t>6</w:t>
            </w:r>
          </w:p>
        </w:tc>
        <w:tc>
          <w:tcPr>
            <w:tcW w:w="992" w:type="dxa"/>
            <w:vAlign w:val="bottom"/>
          </w:tcPr>
          <w:p w:rsidR="0069443F" w:rsidRDefault="0069443F" w:rsidP="002C4D6C">
            <w:pPr>
              <w:tabs>
                <w:tab w:val="decimal" w:pos="277"/>
              </w:tabs>
              <w:spacing w:before="36" w:after="36"/>
              <w:ind w:firstLine="0"/>
              <w:jc w:val="left"/>
            </w:pPr>
            <w:r>
              <w:rPr>
                <w:sz w:val="22"/>
                <w:szCs w:val="22"/>
              </w:rPr>
              <w:t>1</w:t>
            </w:r>
            <w:r w:rsidR="002C4D6C">
              <w:rPr>
                <w:sz w:val="22"/>
                <w:szCs w:val="22"/>
              </w:rPr>
              <w:t>6</w:t>
            </w:r>
            <w:r>
              <w:rPr>
                <w:sz w:val="22"/>
                <w:szCs w:val="22"/>
              </w:rPr>
              <w:t>.</w:t>
            </w:r>
            <w:r w:rsidR="002C4D6C">
              <w:rPr>
                <w:sz w:val="22"/>
                <w:szCs w:val="22"/>
              </w:rPr>
              <w:t>21</w:t>
            </w:r>
            <w:r>
              <w:rPr>
                <w:sz w:val="22"/>
                <w:szCs w:val="22"/>
              </w:rPr>
              <w:t>3</w:t>
            </w:r>
          </w:p>
        </w:tc>
        <w:tc>
          <w:tcPr>
            <w:tcW w:w="851" w:type="dxa"/>
            <w:vAlign w:val="bottom"/>
          </w:tcPr>
          <w:p w:rsidR="0069443F" w:rsidRDefault="0069443F" w:rsidP="00E44301">
            <w:pPr>
              <w:tabs>
                <w:tab w:val="decimal" w:pos="169"/>
              </w:tabs>
              <w:spacing w:before="36" w:after="36"/>
              <w:ind w:firstLine="0"/>
              <w:jc w:val="left"/>
            </w:pPr>
            <w:r>
              <w:rPr>
                <w:sz w:val="22"/>
                <w:szCs w:val="22"/>
              </w:rPr>
              <w:t>0.2</w:t>
            </w:r>
            <w:r w:rsidR="00E44301">
              <w:rPr>
                <w:sz w:val="22"/>
                <w:szCs w:val="22"/>
              </w:rPr>
              <w:t>9</w:t>
            </w:r>
            <w:r>
              <w:rPr>
                <w:sz w:val="22"/>
                <w:szCs w:val="22"/>
              </w:rPr>
              <w:t>6</w:t>
            </w:r>
          </w:p>
        </w:tc>
        <w:tc>
          <w:tcPr>
            <w:tcW w:w="1034" w:type="dxa"/>
            <w:vAlign w:val="bottom"/>
          </w:tcPr>
          <w:p w:rsidR="0069443F" w:rsidRPr="00687726" w:rsidRDefault="00EC21FA" w:rsidP="00EC21FA">
            <w:pPr>
              <w:tabs>
                <w:tab w:val="decimal" w:pos="277"/>
              </w:tabs>
              <w:spacing w:before="36" w:after="36"/>
              <w:ind w:firstLine="0"/>
              <w:jc w:val="left"/>
              <w:rPr>
                <w:sz w:val="22"/>
                <w:szCs w:val="22"/>
              </w:rPr>
            </w:pPr>
            <w:r w:rsidRPr="00687726">
              <w:rPr>
                <w:sz w:val="22"/>
                <w:szCs w:val="22"/>
              </w:rPr>
              <w:t>12.155</w:t>
            </w:r>
          </w:p>
        </w:tc>
        <w:tc>
          <w:tcPr>
            <w:tcW w:w="950" w:type="dxa"/>
            <w:vAlign w:val="bottom"/>
          </w:tcPr>
          <w:p w:rsidR="0069443F" w:rsidRDefault="0069443F" w:rsidP="004C5842">
            <w:pPr>
              <w:tabs>
                <w:tab w:val="decimal" w:pos="310"/>
              </w:tabs>
              <w:spacing w:before="36" w:after="36"/>
              <w:ind w:firstLine="0"/>
              <w:jc w:val="left"/>
            </w:pPr>
            <w:r>
              <w:rPr>
                <w:sz w:val="22"/>
                <w:szCs w:val="22"/>
              </w:rPr>
              <w:t>4</w:t>
            </w:r>
            <w:r w:rsidR="004C5842">
              <w:rPr>
                <w:sz w:val="22"/>
                <w:szCs w:val="22"/>
              </w:rPr>
              <w:t>5</w:t>
            </w:r>
            <w:r>
              <w:rPr>
                <w:sz w:val="22"/>
                <w:szCs w:val="22"/>
              </w:rPr>
              <w:t>.</w:t>
            </w:r>
            <w:r w:rsidR="004C5842">
              <w:rPr>
                <w:sz w:val="22"/>
                <w:szCs w:val="22"/>
              </w:rPr>
              <w:t>83</w:t>
            </w:r>
            <w:r>
              <w:rPr>
                <w:sz w:val="22"/>
                <w:szCs w:val="22"/>
              </w:rPr>
              <w:t>2</w:t>
            </w:r>
          </w:p>
        </w:tc>
        <w:tc>
          <w:tcPr>
            <w:tcW w:w="851" w:type="dxa"/>
            <w:vAlign w:val="bottom"/>
          </w:tcPr>
          <w:p w:rsidR="0069443F" w:rsidRDefault="0069443F" w:rsidP="00EB2A4A">
            <w:pPr>
              <w:widowControl w:val="0"/>
              <w:tabs>
                <w:tab w:val="decimal" w:pos="211"/>
              </w:tabs>
              <w:adjustRightInd w:val="0"/>
              <w:spacing w:before="36" w:after="36"/>
              <w:ind w:left="-107" w:right="-108" w:hanging="6"/>
              <w:jc w:val="left"/>
              <w:textAlignment w:val="baseline"/>
              <w:rPr>
                <w:bCs/>
              </w:rPr>
            </w:pPr>
            <w:r>
              <w:rPr>
                <w:bCs/>
                <w:sz w:val="22"/>
                <w:szCs w:val="22"/>
              </w:rPr>
              <w:t>1</w:t>
            </w:r>
            <w:r w:rsidR="00EB2A4A">
              <w:rPr>
                <w:bCs/>
                <w:sz w:val="22"/>
                <w:szCs w:val="22"/>
              </w:rPr>
              <w:t>8</w:t>
            </w:r>
            <w:r>
              <w:rPr>
                <w:bCs/>
                <w:sz w:val="22"/>
                <w:szCs w:val="22"/>
              </w:rPr>
              <w:t>.9</w:t>
            </w:r>
            <w:r w:rsidR="00EB2A4A">
              <w:rPr>
                <w:bCs/>
                <w:sz w:val="22"/>
                <w:szCs w:val="22"/>
              </w:rPr>
              <w:t>63</w:t>
            </w:r>
          </w:p>
        </w:tc>
      </w:tr>
      <w:tr w:rsidR="008F0047" w:rsidTr="00EC21FA">
        <w:trPr>
          <w:jc w:val="center"/>
        </w:trPr>
        <w:tc>
          <w:tcPr>
            <w:tcW w:w="1807" w:type="dxa"/>
          </w:tcPr>
          <w:p w:rsidR="008F0047" w:rsidRPr="00F3332B" w:rsidRDefault="008F0047" w:rsidP="00096E48">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A</w:t>
            </w:r>
            <w:r w:rsidRPr="00F3332B">
              <w:rPr>
                <w:rFonts w:ascii="Times New Roman" w:hAnsi="Times New Roman"/>
                <w:sz w:val="22"/>
                <w:szCs w:val="22"/>
              </w:rPr>
              <w:t>FLQ (</w:t>
            </w:r>
            <w:r w:rsidRPr="00F3332B">
              <w:rPr>
                <w:rFonts w:ascii="Times New Roman" w:hAnsi="Times New Roman"/>
                <w:color w:val="000000"/>
                <w:sz w:val="22"/>
                <w:szCs w:val="22"/>
                <w:lang w:val="en-GB"/>
              </w:rPr>
              <w:t>δ = 0</w:t>
            </w:r>
            <w:r w:rsidRPr="00F3332B">
              <w:rPr>
                <w:rFonts w:ascii="Times New Roman" w:hAnsi="Times New Roman"/>
                <w:sz w:val="22"/>
                <w:szCs w:val="22"/>
              </w:rPr>
              <w:t>)</w:t>
            </w:r>
          </w:p>
        </w:tc>
        <w:tc>
          <w:tcPr>
            <w:tcW w:w="1134" w:type="dxa"/>
            <w:vAlign w:val="bottom"/>
          </w:tcPr>
          <w:p w:rsidR="008F0047" w:rsidRDefault="008F0047" w:rsidP="007C5969">
            <w:pPr>
              <w:widowControl w:val="0"/>
              <w:tabs>
                <w:tab w:val="decimal" w:pos="310"/>
              </w:tabs>
              <w:adjustRightInd w:val="0"/>
              <w:spacing w:before="36" w:after="36"/>
              <w:ind w:left="-102" w:right="-108" w:hanging="12"/>
              <w:jc w:val="left"/>
              <w:textAlignment w:val="baseline"/>
              <w:rPr>
                <w:bCs/>
              </w:rPr>
            </w:pPr>
            <w:r w:rsidRPr="009849D8">
              <w:rPr>
                <w:sz w:val="22"/>
                <w:szCs w:val="22"/>
              </w:rPr>
              <w:sym w:font="Symbol" w:char="F02D"/>
            </w:r>
            <w:r>
              <w:rPr>
                <w:sz w:val="22"/>
                <w:szCs w:val="22"/>
              </w:rPr>
              <w:t>0</w:t>
            </w:r>
            <w:r>
              <w:rPr>
                <w:bCs/>
                <w:sz w:val="22"/>
                <w:szCs w:val="22"/>
              </w:rPr>
              <w:t>.958</w:t>
            </w:r>
          </w:p>
        </w:tc>
        <w:tc>
          <w:tcPr>
            <w:tcW w:w="992" w:type="dxa"/>
            <w:vAlign w:val="bottom"/>
          </w:tcPr>
          <w:p w:rsidR="008F0047" w:rsidRDefault="008F0047" w:rsidP="002C4D6C">
            <w:pPr>
              <w:tabs>
                <w:tab w:val="decimal" w:pos="277"/>
              </w:tabs>
              <w:spacing w:before="36" w:after="36"/>
              <w:ind w:firstLine="0"/>
              <w:jc w:val="left"/>
            </w:pPr>
            <w:r>
              <w:rPr>
                <w:sz w:val="22"/>
                <w:szCs w:val="22"/>
              </w:rPr>
              <w:t>17.871</w:t>
            </w:r>
          </w:p>
        </w:tc>
        <w:tc>
          <w:tcPr>
            <w:tcW w:w="851" w:type="dxa"/>
            <w:vAlign w:val="bottom"/>
          </w:tcPr>
          <w:p w:rsidR="008F0047" w:rsidRDefault="008F0047" w:rsidP="00E44301">
            <w:pPr>
              <w:tabs>
                <w:tab w:val="decimal" w:pos="169"/>
              </w:tabs>
              <w:spacing w:before="36" w:after="36"/>
              <w:ind w:firstLine="0"/>
              <w:jc w:val="left"/>
            </w:pPr>
            <w:r>
              <w:rPr>
                <w:sz w:val="22"/>
                <w:szCs w:val="22"/>
              </w:rPr>
              <w:t>0.376</w:t>
            </w:r>
          </w:p>
        </w:tc>
        <w:tc>
          <w:tcPr>
            <w:tcW w:w="1034" w:type="dxa"/>
            <w:vAlign w:val="bottom"/>
          </w:tcPr>
          <w:p w:rsidR="008F0047" w:rsidRDefault="008F0047" w:rsidP="005D6C9B">
            <w:pPr>
              <w:tabs>
                <w:tab w:val="decimal" w:pos="277"/>
              </w:tabs>
              <w:spacing w:before="36" w:after="36"/>
              <w:ind w:firstLine="0"/>
              <w:jc w:val="left"/>
            </w:pPr>
            <w:r>
              <w:rPr>
                <w:sz w:val="22"/>
                <w:szCs w:val="22"/>
              </w:rPr>
              <w:t>0.055</w:t>
            </w:r>
          </w:p>
        </w:tc>
        <w:tc>
          <w:tcPr>
            <w:tcW w:w="950" w:type="dxa"/>
            <w:vAlign w:val="bottom"/>
          </w:tcPr>
          <w:p w:rsidR="008F0047" w:rsidRDefault="008F0047" w:rsidP="00B31D0C">
            <w:pPr>
              <w:tabs>
                <w:tab w:val="decimal" w:pos="310"/>
              </w:tabs>
              <w:spacing w:before="36" w:after="36"/>
              <w:ind w:firstLine="0"/>
              <w:jc w:val="left"/>
            </w:pPr>
            <w:r>
              <w:rPr>
                <w:sz w:val="22"/>
                <w:szCs w:val="22"/>
              </w:rPr>
              <w:t>115.859</w:t>
            </w:r>
          </w:p>
        </w:tc>
        <w:tc>
          <w:tcPr>
            <w:tcW w:w="851" w:type="dxa"/>
            <w:vAlign w:val="bottom"/>
          </w:tcPr>
          <w:p w:rsidR="008F0047" w:rsidRDefault="008F0047" w:rsidP="008F0047">
            <w:pPr>
              <w:tabs>
                <w:tab w:val="decimal" w:pos="277"/>
              </w:tabs>
              <w:spacing w:before="36" w:after="36"/>
              <w:ind w:firstLine="0"/>
              <w:jc w:val="left"/>
            </w:pPr>
            <w:r>
              <w:rPr>
                <w:sz w:val="22"/>
                <w:szCs w:val="22"/>
              </w:rPr>
              <w:t>26.011</w:t>
            </w:r>
          </w:p>
        </w:tc>
      </w:tr>
      <w:tr w:rsidR="008F0047" w:rsidTr="00EC21FA">
        <w:trPr>
          <w:jc w:val="center"/>
        </w:trPr>
        <w:tc>
          <w:tcPr>
            <w:tcW w:w="1807" w:type="dxa"/>
          </w:tcPr>
          <w:p w:rsidR="008F0047" w:rsidRPr="00F3332B" w:rsidRDefault="008F0047" w:rsidP="00096E48">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A</w:t>
            </w: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05</w:t>
            </w:r>
            <w:r w:rsidRPr="00F3332B">
              <w:rPr>
                <w:rFonts w:ascii="Times New Roman" w:hAnsi="Times New Roman"/>
                <w:sz w:val="22"/>
                <w:szCs w:val="22"/>
              </w:rPr>
              <w:t>)</w:t>
            </w:r>
          </w:p>
        </w:tc>
        <w:tc>
          <w:tcPr>
            <w:tcW w:w="1134" w:type="dxa"/>
            <w:vAlign w:val="bottom"/>
          </w:tcPr>
          <w:p w:rsidR="008F0047" w:rsidRDefault="008F0047" w:rsidP="007C5969">
            <w:pPr>
              <w:widowControl w:val="0"/>
              <w:tabs>
                <w:tab w:val="decimal" w:pos="310"/>
              </w:tabs>
              <w:adjustRightInd w:val="0"/>
              <w:spacing w:before="36" w:after="36"/>
              <w:ind w:left="-102" w:right="-108" w:hanging="12"/>
              <w:jc w:val="left"/>
              <w:textAlignment w:val="baseline"/>
              <w:rPr>
                <w:bCs/>
              </w:rPr>
            </w:pPr>
            <w:r w:rsidRPr="009849D8">
              <w:rPr>
                <w:sz w:val="22"/>
                <w:szCs w:val="22"/>
              </w:rPr>
              <w:sym w:font="Symbol" w:char="F02D"/>
            </w:r>
            <w:r>
              <w:rPr>
                <w:sz w:val="22"/>
                <w:szCs w:val="22"/>
              </w:rPr>
              <w:t>2</w:t>
            </w:r>
            <w:r>
              <w:rPr>
                <w:bCs/>
                <w:sz w:val="22"/>
                <w:szCs w:val="22"/>
              </w:rPr>
              <w:t>.635</w:t>
            </w:r>
          </w:p>
        </w:tc>
        <w:tc>
          <w:tcPr>
            <w:tcW w:w="992" w:type="dxa"/>
            <w:vAlign w:val="bottom"/>
          </w:tcPr>
          <w:p w:rsidR="008F0047" w:rsidRDefault="008F0047" w:rsidP="002C4D6C">
            <w:pPr>
              <w:tabs>
                <w:tab w:val="decimal" w:pos="277"/>
              </w:tabs>
              <w:spacing w:before="36" w:after="36"/>
              <w:ind w:firstLine="0"/>
              <w:jc w:val="left"/>
            </w:pPr>
            <w:r>
              <w:rPr>
                <w:sz w:val="22"/>
                <w:szCs w:val="22"/>
              </w:rPr>
              <w:t>17.292</w:t>
            </w:r>
          </w:p>
        </w:tc>
        <w:tc>
          <w:tcPr>
            <w:tcW w:w="851" w:type="dxa"/>
            <w:vAlign w:val="bottom"/>
          </w:tcPr>
          <w:p w:rsidR="008F0047" w:rsidRDefault="008F0047" w:rsidP="00E44301">
            <w:pPr>
              <w:tabs>
                <w:tab w:val="decimal" w:pos="169"/>
              </w:tabs>
              <w:spacing w:before="36" w:after="36"/>
              <w:ind w:firstLine="0"/>
              <w:jc w:val="left"/>
            </w:pPr>
            <w:r>
              <w:rPr>
                <w:sz w:val="22"/>
                <w:szCs w:val="22"/>
              </w:rPr>
              <w:t>0.359</w:t>
            </w:r>
          </w:p>
        </w:tc>
        <w:tc>
          <w:tcPr>
            <w:tcW w:w="1034" w:type="dxa"/>
            <w:vAlign w:val="bottom"/>
          </w:tcPr>
          <w:p w:rsidR="008F0047" w:rsidRDefault="008F0047" w:rsidP="005D6C9B">
            <w:pPr>
              <w:tabs>
                <w:tab w:val="decimal" w:pos="277"/>
              </w:tabs>
              <w:spacing w:before="36" w:after="36"/>
              <w:ind w:firstLine="0"/>
              <w:jc w:val="left"/>
            </w:pPr>
            <w:r>
              <w:rPr>
                <w:sz w:val="22"/>
                <w:szCs w:val="22"/>
              </w:rPr>
              <w:t>0.301</w:t>
            </w:r>
          </w:p>
        </w:tc>
        <w:tc>
          <w:tcPr>
            <w:tcW w:w="950" w:type="dxa"/>
            <w:vAlign w:val="bottom"/>
          </w:tcPr>
          <w:p w:rsidR="008F0047" w:rsidRDefault="008F0047" w:rsidP="00B31D0C">
            <w:pPr>
              <w:tabs>
                <w:tab w:val="decimal" w:pos="310"/>
              </w:tabs>
              <w:spacing w:before="36" w:after="36"/>
              <w:ind w:firstLine="0"/>
              <w:jc w:val="left"/>
            </w:pPr>
            <w:r>
              <w:rPr>
                <w:sz w:val="22"/>
                <w:szCs w:val="22"/>
              </w:rPr>
              <w:t>99.935</w:t>
            </w:r>
          </w:p>
        </w:tc>
        <w:tc>
          <w:tcPr>
            <w:tcW w:w="851" w:type="dxa"/>
            <w:vAlign w:val="bottom"/>
          </w:tcPr>
          <w:p w:rsidR="008F0047" w:rsidRDefault="008F0047" w:rsidP="008F0047">
            <w:pPr>
              <w:tabs>
                <w:tab w:val="decimal" w:pos="277"/>
              </w:tabs>
              <w:spacing w:before="36" w:after="36"/>
              <w:ind w:firstLine="0"/>
              <w:jc w:val="left"/>
            </w:pPr>
            <w:r>
              <w:rPr>
                <w:sz w:val="22"/>
                <w:szCs w:val="22"/>
              </w:rPr>
              <w:t>24.365</w:t>
            </w:r>
          </w:p>
        </w:tc>
      </w:tr>
      <w:tr w:rsidR="008F0047" w:rsidTr="00EC21FA">
        <w:trPr>
          <w:jc w:val="center"/>
        </w:trPr>
        <w:tc>
          <w:tcPr>
            <w:tcW w:w="1807" w:type="dxa"/>
          </w:tcPr>
          <w:p w:rsidR="008F0047" w:rsidRPr="00F3332B" w:rsidRDefault="008F0047" w:rsidP="00096E48">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A</w:t>
            </w:r>
            <w:r w:rsidRPr="00F3332B">
              <w:rPr>
                <w:rFonts w:ascii="Times New Roman" w:hAnsi="Times New Roman"/>
                <w:sz w:val="22"/>
                <w:szCs w:val="22"/>
              </w:rPr>
              <w:t>FLQ (</w:t>
            </w:r>
            <w:r w:rsidRPr="00F3332B">
              <w:rPr>
                <w:rFonts w:ascii="Times New Roman" w:hAnsi="Times New Roman"/>
                <w:color w:val="000000"/>
                <w:sz w:val="22"/>
                <w:szCs w:val="22"/>
                <w:lang w:val="en-GB"/>
              </w:rPr>
              <w:t>δ = 0.1</w:t>
            </w:r>
            <w:r w:rsidRPr="00F3332B">
              <w:rPr>
                <w:rFonts w:ascii="Times New Roman" w:hAnsi="Times New Roman"/>
                <w:sz w:val="22"/>
                <w:szCs w:val="22"/>
              </w:rPr>
              <w:t>)</w:t>
            </w:r>
          </w:p>
        </w:tc>
        <w:tc>
          <w:tcPr>
            <w:tcW w:w="1134" w:type="dxa"/>
            <w:vAlign w:val="bottom"/>
          </w:tcPr>
          <w:p w:rsidR="008F0047" w:rsidRDefault="008F0047" w:rsidP="007C5969">
            <w:pPr>
              <w:widowControl w:val="0"/>
              <w:tabs>
                <w:tab w:val="decimal" w:pos="310"/>
              </w:tabs>
              <w:adjustRightInd w:val="0"/>
              <w:spacing w:before="36" w:after="36"/>
              <w:ind w:left="-102" w:right="-108" w:hanging="11"/>
              <w:jc w:val="left"/>
              <w:textAlignment w:val="baseline"/>
              <w:rPr>
                <w:bCs/>
              </w:rPr>
            </w:pPr>
            <w:r w:rsidRPr="009849D8">
              <w:rPr>
                <w:sz w:val="22"/>
                <w:szCs w:val="22"/>
              </w:rPr>
              <w:sym w:font="Symbol" w:char="F02D"/>
            </w:r>
            <w:r>
              <w:rPr>
                <w:sz w:val="22"/>
                <w:szCs w:val="22"/>
              </w:rPr>
              <w:t>4.249</w:t>
            </w:r>
          </w:p>
        </w:tc>
        <w:tc>
          <w:tcPr>
            <w:tcW w:w="992" w:type="dxa"/>
            <w:vAlign w:val="bottom"/>
          </w:tcPr>
          <w:p w:rsidR="008F0047" w:rsidRDefault="008F0047" w:rsidP="002C4D6C">
            <w:pPr>
              <w:tabs>
                <w:tab w:val="decimal" w:pos="277"/>
              </w:tabs>
              <w:spacing w:before="36" w:after="36"/>
              <w:ind w:firstLine="0"/>
              <w:jc w:val="left"/>
            </w:pPr>
            <w:r>
              <w:rPr>
                <w:sz w:val="22"/>
                <w:szCs w:val="22"/>
              </w:rPr>
              <w:t>16.933</w:t>
            </w:r>
          </w:p>
        </w:tc>
        <w:tc>
          <w:tcPr>
            <w:tcW w:w="851" w:type="dxa"/>
            <w:vAlign w:val="bottom"/>
          </w:tcPr>
          <w:p w:rsidR="008F0047" w:rsidRDefault="008F0047" w:rsidP="00E44301">
            <w:pPr>
              <w:tabs>
                <w:tab w:val="decimal" w:pos="169"/>
              </w:tabs>
              <w:spacing w:before="36" w:after="36"/>
              <w:ind w:firstLine="0"/>
              <w:jc w:val="left"/>
            </w:pPr>
            <w:r>
              <w:rPr>
                <w:sz w:val="22"/>
                <w:szCs w:val="22"/>
              </w:rPr>
              <w:t>0.346</w:t>
            </w:r>
          </w:p>
        </w:tc>
        <w:tc>
          <w:tcPr>
            <w:tcW w:w="1034" w:type="dxa"/>
            <w:vAlign w:val="bottom"/>
          </w:tcPr>
          <w:p w:rsidR="008F0047" w:rsidRDefault="008F0047" w:rsidP="005D6C9B">
            <w:pPr>
              <w:tabs>
                <w:tab w:val="decimal" w:pos="277"/>
              </w:tabs>
              <w:spacing w:before="36" w:after="36"/>
              <w:ind w:firstLine="0"/>
              <w:jc w:val="left"/>
            </w:pPr>
            <w:r>
              <w:rPr>
                <w:sz w:val="22"/>
                <w:szCs w:val="22"/>
              </w:rPr>
              <w:t>1.691</w:t>
            </w:r>
          </w:p>
        </w:tc>
        <w:tc>
          <w:tcPr>
            <w:tcW w:w="950" w:type="dxa"/>
            <w:vAlign w:val="bottom"/>
          </w:tcPr>
          <w:p w:rsidR="008F0047" w:rsidRDefault="008F0047" w:rsidP="00B31D0C">
            <w:pPr>
              <w:tabs>
                <w:tab w:val="decimal" w:pos="310"/>
              </w:tabs>
              <w:spacing w:before="36" w:after="36"/>
              <w:ind w:firstLine="0"/>
              <w:jc w:val="left"/>
            </w:pPr>
            <w:r>
              <w:rPr>
                <w:sz w:val="22"/>
                <w:szCs w:val="22"/>
              </w:rPr>
              <w:t>86.395</w:t>
            </w:r>
          </w:p>
        </w:tc>
        <w:tc>
          <w:tcPr>
            <w:tcW w:w="851" w:type="dxa"/>
            <w:vAlign w:val="bottom"/>
          </w:tcPr>
          <w:p w:rsidR="008F0047" w:rsidRDefault="008F0047" w:rsidP="008F0047">
            <w:pPr>
              <w:widowControl w:val="0"/>
              <w:tabs>
                <w:tab w:val="decimal" w:pos="211"/>
              </w:tabs>
              <w:adjustRightInd w:val="0"/>
              <w:spacing w:before="36" w:after="36"/>
              <w:ind w:left="-108" w:right="-108" w:hanging="5"/>
              <w:jc w:val="left"/>
              <w:textAlignment w:val="baseline"/>
              <w:rPr>
                <w:bCs/>
              </w:rPr>
            </w:pPr>
            <w:r>
              <w:rPr>
                <w:bCs/>
                <w:sz w:val="22"/>
                <w:szCs w:val="22"/>
              </w:rPr>
              <w:t>23.010</w:t>
            </w:r>
          </w:p>
        </w:tc>
      </w:tr>
      <w:tr w:rsidR="008F0047" w:rsidTr="00EC21FA">
        <w:trPr>
          <w:jc w:val="center"/>
        </w:trPr>
        <w:tc>
          <w:tcPr>
            <w:tcW w:w="1807" w:type="dxa"/>
          </w:tcPr>
          <w:p w:rsidR="008F0047" w:rsidRPr="00F3332B" w:rsidRDefault="008F0047" w:rsidP="00096E48">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A</w:t>
            </w:r>
            <w:r w:rsidRPr="00F3332B">
              <w:rPr>
                <w:rFonts w:ascii="Times New Roman" w:hAnsi="Times New Roman"/>
                <w:sz w:val="22"/>
                <w:szCs w:val="22"/>
              </w:rPr>
              <w:t>FLQ (</w:t>
            </w:r>
            <w:r w:rsidRPr="00F3332B">
              <w:rPr>
                <w:rFonts w:ascii="Times New Roman" w:hAnsi="Times New Roman"/>
                <w:color w:val="000000"/>
                <w:sz w:val="22"/>
                <w:szCs w:val="22"/>
                <w:lang w:val="en-GB"/>
              </w:rPr>
              <w:t>δ = 0.15</w:t>
            </w:r>
            <w:r w:rsidRPr="00F3332B">
              <w:rPr>
                <w:rFonts w:ascii="Times New Roman" w:hAnsi="Times New Roman"/>
                <w:sz w:val="22"/>
                <w:szCs w:val="22"/>
              </w:rPr>
              <w:t>)</w:t>
            </w:r>
          </w:p>
        </w:tc>
        <w:tc>
          <w:tcPr>
            <w:tcW w:w="1134" w:type="dxa"/>
            <w:vAlign w:val="bottom"/>
          </w:tcPr>
          <w:p w:rsidR="008F0047" w:rsidRDefault="008F0047" w:rsidP="007C5969">
            <w:pPr>
              <w:widowControl w:val="0"/>
              <w:tabs>
                <w:tab w:val="decimal" w:pos="310"/>
              </w:tabs>
              <w:adjustRightInd w:val="0"/>
              <w:spacing w:before="36" w:after="36"/>
              <w:ind w:left="-102" w:right="-108" w:hanging="12"/>
              <w:jc w:val="left"/>
              <w:textAlignment w:val="baseline"/>
              <w:rPr>
                <w:bCs/>
              </w:rPr>
            </w:pPr>
            <w:r w:rsidRPr="009849D8">
              <w:rPr>
                <w:sz w:val="22"/>
                <w:szCs w:val="22"/>
              </w:rPr>
              <w:sym w:font="Symbol" w:char="F02D"/>
            </w:r>
            <w:r>
              <w:rPr>
                <w:sz w:val="22"/>
                <w:szCs w:val="22"/>
              </w:rPr>
              <w:t>5.737</w:t>
            </w:r>
          </w:p>
        </w:tc>
        <w:tc>
          <w:tcPr>
            <w:tcW w:w="992" w:type="dxa"/>
            <w:vAlign w:val="bottom"/>
          </w:tcPr>
          <w:p w:rsidR="008F0047" w:rsidRDefault="008F0047" w:rsidP="002C4D6C">
            <w:pPr>
              <w:tabs>
                <w:tab w:val="decimal" w:pos="277"/>
              </w:tabs>
              <w:spacing w:before="36" w:after="36"/>
              <w:ind w:firstLine="0"/>
              <w:jc w:val="left"/>
            </w:pPr>
            <w:r>
              <w:rPr>
                <w:sz w:val="22"/>
                <w:szCs w:val="22"/>
              </w:rPr>
              <w:t>16.722</w:t>
            </w:r>
          </w:p>
        </w:tc>
        <w:tc>
          <w:tcPr>
            <w:tcW w:w="851" w:type="dxa"/>
            <w:vAlign w:val="bottom"/>
          </w:tcPr>
          <w:p w:rsidR="008F0047" w:rsidRDefault="008F0047" w:rsidP="00E44301">
            <w:pPr>
              <w:tabs>
                <w:tab w:val="decimal" w:pos="169"/>
              </w:tabs>
              <w:spacing w:before="36" w:after="36"/>
              <w:ind w:firstLine="0"/>
              <w:jc w:val="left"/>
            </w:pPr>
            <w:r>
              <w:rPr>
                <w:sz w:val="22"/>
                <w:szCs w:val="22"/>
              </w:rPr>
              <w:t>0.335</w:t>
            </w:r>
          </w:p>
        </w:tc>
        <w:tc>
          <w:tcPr>
            <w:tcW w:w="1034" w:type="dxa"/>
            <w:vAlign w:val="bottom"/>
          </w:tcPr>
          <w:p w:rsidR="008F0047" w:rsidRDefault="008F0047" w:rsidP="005D6C9B">
            <w:pPr>
              <w:tabs>
                <w:tab w:val="decimal" w:pos="277"/>
              </w:tabs>
              <w:spacing w:before="36" w:after="36"/>
              <w:ind w:firstLine="0"/>
              <w:jc w:val="left"/>
            </w:pPr>
            <w:r>
              <w:rPr>
                <w:sz w:val="22"/>
                <w:szCs w:val="22"/>
              </w:rPr>
              <w:t>3.969</w:t>
            </w:r>
          </w:p>
        </w:tc>
        <w:tc>
          <w:tcPr>
            <w:tcW w:w="950" w:type="dxa"/>
            <w:vAlign w:val="bottom"/>
          </w:tcPr>
          <w:p w:rsidR="008F0047" w:rsidRDefault="008F0047" w:rsidP="00B31D0C">
            <w:pPr>
              <w:tabs>
                <w:tab w:val="decimal" w:pos="310"/>
              </w:tabs>
              <w:spacing w:before="36" w:after="36"/>
              <w:ind w:firstLine="0"/>
              <w:jc w:val="left"/>
            </w:pPr>
            <w:r>
              <w:rPr>
                <w:sz w:val="22"/>
                <w:szCs w:val="22"/>
              </w:rPr>
              <w:t>74.923</w:t>
            </w:r>
          </w:p>
        </w:tc>
        <w:tc>
          <w:tcPr>
            <w:tcW w:w="851" w:type="dxa"/>
            <w:vAlign w:val="bottom"/>
          </w:tcPr>
          <w:p w:rsidR="008F0047" w:rsidRDefault="008F0047" w:rsidP="008F0047">
            <w:pPr>
              <w:widowControl w:val="0"/>
              <w:tabs>
                <w:tab w:val="decimal" w:pos="211"/>
              </w:tabs>
              <w:adjustRightInd w:val="0"/>
              <w:spacing w:before="36" w:after="36"/>
              <w:ind w:left="-108" w:right="-108" w:hanging="5"/>
              <w:jc w:val="left"/>
              <w:textAlignment w:val="baseline"/>
              <w:rPr>
                <w:bCs/>
              </w:rPr>
            </w:pPr>
            <w:r>
              <w:rPr>
                <w:bCs/>
                <w:sz w:val="22"/>
                <w:szCs w:val="22"/>
              </w:rPr>
              <w:t>21.919</w:t>
            </w:r>
          </w:p>
        </w:tc>
      </w:tr>
      <w:tr w:rsidR="008F0047" w:rsidTr="00EC21FA">
        <w:trPr>
          <w:jc w:val="center"/>
        </w:trPr>
        <w:tc>
          <w:tcPr>
            <w:tcW w:w="1807" w:type="dxa"/>
          </w:tcPr>
          <w:p w:rsidR="008F0047" w:rsidRPr="00F3332B" w:rsidRDefault="008F0047" w:rsidP="00096E48">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A</w:t>
            </w:r>
            <w:r w:rsidRPr="00F3332B">
              <w:rPr>
                <w:rFonts w:ascii="Times New Roman" w:hAnsi="Times New Roman"/>
                <w:sz w:val="22"/>
                <w:szCs w:val="22"/>
              </w:rPr>
              <w:t>FLQ (</w:t>
            </w:r>
            <w:r w:rsidRPr="00F3332B">
              <w:rPr>
                <w:rFonts w:ascii="Times New Roman" w:hAnsi="Times New Roman"/>
                <w:color w:val="000000"/>
                <w:sz w:val="22"/>
                <w:szCs w:val="22"/>
                <w:lang w:val="en-GB"/>
              </w:rPr>
              <w:t>δ = 0.2</w:t>
            </w:r>
            <w:r w:rsidRPr="00F3332B">
              <w:rPr>
                <w:rFonts w:ascii="Times New Roman" w:hAnsi="Times New Roman"/>
                <w:sz w:val="22"/>
                <w:szCs w:val="22"/>
              </w:rPr>
              <w:t>)</w:t>
            </w:r>
          </w:p>
        </w:tc>
        <w:tc>
          <w:tcPr>
            <w:tcW w:w="1134" w:type="dxa"/>
            <w:vAlign w:val="bottom"/>
          </w:tcPr>
          <w:p w:rsidR="008F0047" w:rsidRDefault="008F0047" w:rsidP="007C5969">
            <w:pPr>
              <w:widowControl w:val="0"/>
              <w:tabs>
                <w:tab w:val="decimal" w:pos="310"/>
              </w:tabs>
              <w:adjustRightInd w:val="0"/>
              <w:spacing w:before="36" w:after="36"/>
              <w:ind w:left="-102" w:right="-108" w:hanging="12"/>
              <w:jc w:val="left"/>
              <w:textAlignment w:val="baseline"/>
              <w:rPr>
                <w:bCs/>
              </w:rPr>
            </w:pPr>
            <w:r w:rsidRPr="009849D8">
              <w:rPr>
                <w:sz w:val="22"/>
                <w:szCs w:val="22"/>
              </w:rPr>
              <w:sym w:font="Symbol" w:char="F02D"/>
            </w:r>
            <w:r>
              <w:rPr>
                <w:sz w:val="22"/>
                <w:szCs w:val="22"/>
              </w:rPr>
              <w:t>7.246</w:t>
            </w:r>
          </w:p>
        </w:tc>
        <w:tc>
          <w:tcPr>
            <w:tcW w:w="992" w:type="dxa"/>
            <w:vAlign w:val="bottom"/>
          </w:tcPr>
          <w:p w:rsidR="008F0047" w:rsidRDefault="008F0047" w:rsidP="002C4D6C">
            <w:pPr>
              <w:tabs>
                <w:tab w:val="decimal" w:pos="277"/>
              </w:tabs>
              <w:spacing w:before="36" w:after="36"/>
              <w:ind w:firstLine="0"/>
              <w:jc w:val="left"/>
            </w:pPr>
            <w:r>
              <w:rPr>
                <w:sz w:val="22"/>
                <w:szCs w:val="22"/>
              </w:rPr>
              <w:t>16.578</w:t>
            </w:r>
          </w:p>
        </w:tc>
        <w:tc>
          <w:tcPr>
            <w:tcW w:w="851" w:type="dxa"/>
            <w:vAlign w:val="bottom"/>
          </w:tcPr>
          <w:p w:rsidR="008F0047" w:rsidRDefault="008F0047" w:rsidP="00E44301">
            <w:pPr>
              <w:tabs>
                <w:tab w:val="decimal" w:pos="169"/>
              </w:tabs>
              <w:spacing w:before="36" w:after="36"/>
              <w:ind w:firstLine="0"/>
              <w:jc w:val="left"/>
            </w:pPr>
            <w:r>
              <w:rPr>
                <w:sz w:val="22"/>
                <w:szCs w:val="22"/>
              </w:rPr>
              <w:t>0.322</w:t>
            </w:r>
          </w:p>
        </w:tc>
        <w:tc>
          <w:tcPr>
            <w:tcW w:w="1034" w:type="dxa"/>
            <w:vAlign w:val="bottom"/>
          </w:tcPr>
          <w:p w:rsidR="008F0047" w:rsidRPr="00687726" w:rsidRDefault="008F0047" w:rsidP="005D6C9B">
            <w:pPr>
              <w:tabs>
                <w:tab w:val="decimal" w:pos="277"/>
              </w:tabs>
              <w:spacing w:before="36" w:after="36"/>
              <w:ind w:firstLine="0"/>
              <w:jc w:val="left"/>
              <w:rPr>
                <w:sz w:val="22"/>
                <w:szCs w:val="22"/>
              </w:rPr>
            </w:pPr>
            <w:r w:rsidRPr="00687726">
              <w:rPr>
                <w:sz w:val="22"/>
                <w:szCs w:val="22"/>
              </w:rPr>
              <w:t>7.274</w:t>
            </w:r>
          </w:p>
        </w:tc>
        <w:tc>
          <w:tcPr>
            <w:tcW w:w="950" w:type="dxa"/>
            <w:vAlign w:val="bottom"/>
          </w:tcPr>
          <w:p w:rsidR="008F0047" w:rsidRDefault="008F0047" w:rsidP="00B31D0C">
            <w:pPr>
              <w:tabs>
                <w:tab w:val="decimal" w:pos="310"/>
              </w:tabs>
              <w:spacing w:before="36" w:after="36"/>
              <w:ind w:firstLine="0"/>
              <w:jc w:val="left"/>
            </w:pPr>
            <w:r>
              <w:rPr>
                <w:sz w:val="22"/>
                <w:szCs w:val="22"/>
              </w:rPr>
              <w:t>62.468</w:t>
            </w:r>
          </w:p>
        </w:tc>
        <w:tc>
          <w:tcPr>
            <w:tcW w:w="851" w:type="dxa"/>
            <w:vAlign w:val="bottom"/>
          </w:tcPr>
          <w:p w:rsidR="008F0047" w:rsidRDefault="008F0047" w:rsidP="008F0047">
            <w:pPr>
              <w:widowControl w:val="0"/>
              <w:tabs>
                <w:tab w:val="decimal" w:pos="211"/>
              </w:tabs>
              <w:adjustRightInd w:val="0"/>
              <w:spacing w:before="36" w:after="36"/>
              <w:ind w:left="-107" w:right="-108" w:hanging="6"/>
              <w:jc w:val="left"/>
              <w:textAlignment w:val="baseline"/>
              <w:rPr>
                <w:bCs/>
              </w:rPr>
            </w:pPr>
            <w:r>
              <w:rPr>
                <w:bCs/>
                <w:sz w:val="22"/>
                <w:szCs w:val="22"/>
              </w:rPr>
              <w:t>20.716</w:t>
            </w:r>
          </w:p>
        </w:tc>
      </w:tr>
      <w:tr w:rsidR="008F0047" w:rsidTr="00EC21FA">
        <w:trPr>
          <w:jc w:val="center"/>
        </w:trPr>
        <w:tc>
          <w:tcPr>
            <w:tcW w:w="1807" w:type="dxa"/>
          </w:tcPr>
          <w:p w:rsidR="008F0047" w:rsidRPr="00F3332B" w:rsidRDefault="008F0047" w:rsidP="0069443F">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 xml:space="preserve">Optimal </w:t>
            </w:r>
            <w:r w:rsidRPr="00F3332B">
              <w:rPr>
                <w:rFonts w:ascii="Times New Roman" w:hAnsi="Times New Roman"/>
                <w:color w:val="000000"/>
                <w:sz w:val="22"/>
                <w:szCs w:val="22"/>
                <w:lang w:val="en-GB"/>
              </w:rPr>
              <w:t>δ</w:t>
            </w:r>
            <w:r>
              <w:rPr>
                <w:rFonts w:ascii="Times New Roman" w:hAnsi="Times New Roman"/>
                <w:color w:val="000000"/>
                <w:sz w:val="22"/>
                <w:szCs w:val="22"/>
                <w:lang w:val="en-GB"/>
              </w:rPr>
              <w:t xml:space="preserve"> FLQ</w:t>
            </w:r>
          </w:p>
        </w:tc>
        <w:tc>
          <w:tcPr>
            <w:tcW w:w="1134" w:type="dxa"/>
            <w:vAlign w:val="bottom"/>
          </w:tcPr>
          <w:p w:rsidR="008F0047" w:rsidRPr="009849D8" w:rsidRDefault="008F0047" w:rsidP="0069443F">
            <w:pPr>
              <w:widowControl w:val="0"/>
              <w:tabs>
                <w:tab w:val="decimal" w:pos="310"/>
              </w:tabs>
              <w:adjustRightInd w:val="0"/>
              <w:spacing w:before="36" w:after="36"/>
              <w:ind w:left="-102" w:right="-108" w:hanging="12"/>
              <w:textAlignment w:val="baseline"/>
            </w:pPr>
            <w:r>
              <w:rPr>
                <w:sz w:val="22"/>
                <w:szCs w:val="22"/>
              </w:rPr>
              <w:t>0.000</w:t>
            </w:r>
          </w:p>
        </w:tc>
        <w:tc>
          <w:tcPr>
            <w:tcW w:w="992" w:type="dxa"/>
            <w:vAlign w:val="bottom"/>
          </w:tcPr>
          <w:p w:rsidR="008F0047" w:rsidRPr="004C551C" w:rsidRDefault="008F0047" w:rsidP="008479D5">
            <w:pPr>
              <w:tabs>
                <w:tab w:val="decimal" w:pos="277"/>
              </w:tabs>
              <w:spacing w:before="36" w:after="36"/>
              <w:ind w:firstLine="0"/>
            </w:pPr>
            <w:r w:rsidRPr="004C551C">
              <w:rPr>
                <w:sz w:val="22"/>
                <w:szCs w:val="22"/>
              </w:rPr>
              <w:t>0.</w:t>
            </w:r>
            <w:r>
              <w:rPr>
                <w:sz w:val="22"/>
                <w:szCs w:val="22"/>
              </w:rPr>
              <w:t>389</w:t>
            </w:r>
          </w:p>
        </w:tc>
        <w:tc>
          <w:tcPr>
            <w:tcW w:w="851" w:type="dxa"/>
            <w:vAlign w:val="bottom"/>
          </w:tcPr>
          <w:p w:rsidR="008F0047" w:rsidRPr="004C551C" w:rsidRDefault="008F0047" w:rsidP="008479D5">
            <w:pPr>
              <w:tabs>
                <w:tab w:val="decimal" w:pos="169"/>
              </w:tabs>
              <w:spacing w:before="36" w:after="36"/>
              <w:ind w:firstLine="0"/>
              <w:jc w:val="left"/>
            </w:pPr>
            <w:r>
              <w:rPr>
                <w:sz w:val="22"/>
                <w:szCs w:val="22"/>
              </w:rPr>
              <w:t>0.422</w:t>
            </w:r>
          </w:p>
        </w:tc>
        <w:tc>
          <w:tcPr>
            <w:tcW w:w="1034" w:type="dxa"/>
            <w:vAlign w:val="bottom"/>
          </w:tcPr>
          <w:p w:rsidR="008F0047" w:rsidRPr="004C551C" w:rsidRDefault="008F0047" w:rsidP="00536410">
            <w:pPr>
              <w:tabs>
                <w:tab w:val="decimal" w:pos="276"/>
              </w:tabs>
              <w:spacing w:before="36" w:after="36"/>
              <w:ind w:firstLine="0"/>
            </w:pPr>
            <w:r>
              <w:rPr>
                <w:sz w:val="22"/>
                <w:szCs w:val="22"/>
              </w:rPr>
              <w:t>0.000</w:t>
            </w:r>
          </w:p>
        </w:tc>
        <w:tc>
          <w:tcPr>
            <w:tcW w:w="950" w:type="dxa"/>
            <w:vAlign w:val="bottom"/>
          </w:tcPr>
          <w:p w:rsidR="008F0047" w:rsidRPr="004C551C" w:rsidRDefault="008F0047" w:rsidP="008479D5">
            <w:pPr>
              <w:tabs>
                <w:tab w:val="decimal" w:pos="310"/>
              </w:tabs>
              <w:spacing w:before="36" w:after="36"/>
              <w:ind w:firstLine="0"/>
            </w:pPr>
            <w:r w:rsidRPr="004C551C">
              <w:rPr>
                <w:sz w:val="22"/>
                <w:szCs w:val="22"/>
              </w:rPr>
              <w:t>0.</w:t>
            </w:r>
            <w:r>
              <w:rPr>
                <w:sz w:val="22"/>
                <w:szCs w:val="22"/>
              </w:rPr>
              <w:t>552</w:t>
            </w:r>
          </w:p>
        </w:tc>
        <w:tc>
          <w:tcPr>
            <w:tcW w:w="851" w:type="dxa"/>
            <w:vAlign w:val="bottom"/>
          </w:tcPr>
          <w:p w:rsidR="008F0047" w:rsidRPr="009849D8" w:rsidRDefault="008F0047" w:rsidP="000170ED">
            <w:pPr>
              <w:widowControl w:val="0"/>
              <w:tabs>
                <w:tab w:val="decimal" w:pos="211"/>
              </w:tabs>
              <w:adjustRightInd w:val="0"/>
              <w:spacing w:before="36" w:after="36"/>
              <w:ind w:left="-107" w:right="-108" w:hanging="6"/>
              <w:textAlignment w:val="baseline"/>
              <w:rPr>
                <w:bCs/>
              </w:rPr>
            </w:pPr>
            <w:r>
              <w:rPr>
                <w:bCs/>
                <w:sz w:val="22"/>
                <w:szCs w:val="22"/>
              </w:rPr>
              <w:t>0.334</w:t>
            </w:r>
          </w:p>
        </w:tc>
      </w:tr>
      <w:tr w:rsidR="008F0047" w:rsidTr="00EC21FA">
        <w:trPr>
          <w:jc w:val="center"/>
        </w:trPr>
        <w:tc>
          <w:tcPr>
            <w:tcW w:w="1807" w:type="dxa"/>
          </w:tcPr>
          <w:p w:rsidR="008F0047" w:rsidRPr="00F3332B" w:rsidRDefault="008F0047" w:rsidP="0069443F">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 xml:space="preserve">Optimal </w:t>
            </w:r>
            <w:r w:rsidRPr="00F3332B">
              <w:rPr>
                <w:rFonts w:ascii="Times New Roman" w:hAnsi="Times New Roman"/>
                <w:color w:val="000000"/>
                <w:sz w:val="22"/>
                <w:szCs w:val="22"/>
                <w:lang w:val="en-GB"/>
              </w:rPr>
              <w:t>δ</w:t>
            </w:r>
            <w:r>
              <w:rPr>
                <w:rFonts w:ascii="Times New Roman" w:hAnsi="Times New Roman"/>
                <w:color w:val="000000"/>
                <w:sz w:val="22"/>
                <w:szCs w:val="22"/>
                <w:lang w:val="en-GB"/>
              </w:rPr>
              <w:t xml:space="preserve"> AFLQ</w:t>
            </w:r>
          </w:p>
        </w:tc>
        <w:tc>
          <w:tcPr>
            <w:tcW w:w="1134" w:type="dxa"/>
            <w:vAlign w:val="bottom"/>
          </w:tcPr>
          <w:p w:rsidR="008F0047" w:rsidRPr="009849D8" w:rsidRDefault="008F0047" w:rsidP="007C5969">
            <w:pPr>
              <w:widowControl w:val="0"/>
              <w:tabs>
                <w:tab w:val="decimal" w:pos="310"/>
              </w:tabs>
              <w:adjustRightInd w:val="0"/>
              <w:spacing w:before="36" w:after="36"/>
              <w:ind w:left="-102" w:right="-108" w:hanging="12"/>
              <w:textAlignment w:val="baseline"/>
            </w:pPr>
            <w:r>
              <w:rPr>
                <w:sz w:val="22"/>
                <w:szCs w:val="22"/>
              </w:rPr>
              <w:t>0.435</w:t>
            </w:r>
          </w:p>
        </w:tc>
        <w:tc>
          <w:tcPr>
            <w:tcW w:w="992" w:type="dxa"/>
            <w:vAlign w:val="bottom"/>
          </w:tcPr>
          <w:p w:rsidR="008F0047" w:rsidRPr="004C551C" w:rsidRDefault="008F0047" w:rsidP="00096E48">
            <w:pPr>
              <w:tabs>
                <w:tab w:val="decimal" w:pos="277"/>
              </w:tabs>
              <w:spacing w:before="36" w:after="36"/>
              <w:ind w:firstLine="0"/>
            </w:pPr>
            <w:r w:rsidRPr="004C551C">
              <w:rPr>
                <w:sz w:val="22"/>
                <w:szCs w:val="22"/>
              </w:rPr>
              <w:t>0.</w:t>
            </w:r>
            <w:r>
              <w:rPr>
                <w:sz w:val="22"/>
                <w:szCs w:val="22"/>
              </w:rPr>
              <w:t>000</w:t>
            </w:r>
          </w:p>
        </w:tc>
        <w:tc>
          <w:tcPr>
            <w:tcW w:w="851" w:type="dxa"/>
            <w:vAlign w:val="bottom"/>
          </w:tcPr>
          <w:p w:rsidR="008F0047" w:rsidRPr="004C551C" w:rsidRDefault="008F0047" w:rsidP="008479D5">
            <w:pPr>
              <w:tabs>
                <w:tab w:val="decimal" w:pos="169"/>
              </w:tabs>
              <w:spacing w:before="36" w:after="36"/>
              <w:ind w:firstLine="0"/>
              <w:jc w:val="left"/>
            </w:pPr>
            <w:r>
              <w:rPr>
                <w:sz w:val="22"/>
                <w:szCs w:val="22"/>
              </w:rPr>
              <w:t>0.513</w:t>
            </w:r>
          </w:p>
        </w:tc>
        <w:tc>
          <w:tcPr>
            <w:tcW w:w="1034" w:type="dxa"/>
            <w:vAlign w:val="bottom"/>
          </w:tcPr>
          <w:p w:rsidR="008F0047" w:rsidRPr="004C551C" w:rsidRDefault="008F0047" w:rsidP="008479D5">
            <w:pPr>
              <w:tabs>
                <w:tab w:val="decimal" w:pos="276"/>
              </w:tabs>
              <w:spacing w:before="36" w:after="36"/>
              <w:ind w:firstLine="0"/>
            </w:pPr>
            <w:r>
              <w:rPr>
                <w:sz w:val="22"/>
                <w:szCs w:val="22"/>
              </w:rPr>
              <w:t>0.015</w:t>
            </w:r>
          </w:p>
        </w:tc>
        <w:tc>
          <w:tcPr>
            <w:tcW w:w="950" w:type="dxa"/>
            <w:vAlign w:val="bottom"/>
          </w:tcPr>
          <w:p w:rsidR="008F0047" w:rsidRPr="004C551C" w:rsidRDefault="008F0047" w:rsidP="008479D5">
            <w:pPr>
              <w:tabs>
                <w:tab w:val="decimal" w:pos="310"/>
              </w:tabs>
              <w:spacing w:before="36" w:after="36"/>
              <w:ind w:firstLine="0"/>
            </w:pPr>
            <w:r w:rsidRPr="004C551C">
              <w:rPr>
                <w:sz w:val="22"/>
                <w:szCs w:val="22"/>
              </w:rPr>
              <w:t>0.</w:t>
            </w:r>
            <w:r>
              <w:rPr>
                <w:sz w:val="22"/>
                <w:szCs w:val="22"/>
              </w:rPr>
              <w:t>625</w:t>
            </w:r>
          </w:p>
        </w:tc>
        <w:tc>
          <w:tcPr>
            <w:tcW w:w="851" w:type="dxa"/>
            <w:vAlign w:val="bottom"/>
          </w:tcPr>
          <w:p w:rsidR="008F0047" w:rsidRPr="009849D8" w:rsidRDefault="008F0047" w:rsidP="000170ED">
            <w:pPr>
              <w:widowControl w:val="0"/>
              <w:tabs>
                <w:tab w:val="decimal" w:pos="211"/>
              </w:tabs>
              <w:adjustRightInd w:val="0"/>
              <w:spacing w:before="36" w:after="36"/>
              <w:ind w:left="-107" w:right="-108" w:hanging="6"/>
              <w:textAlignment w:val="baseline"/>
              <w:rPr>
                <w:bCs/>
              </w:rPr>
            </w:pPr>
            <w:r>
              <w:rPr>
                <w:bCs/>
                <w:sz w:val="22"/>
                <w:szCs w:val="22"/>
              </w:rPr>
              <w:t>0.397</w:t>
            </w:r>
          </w:p>
        </w:tc>
      </w:tr>
    </w:tbl>
    <w:p w:rsidR="000332A6" w:rsidRDefault="000332A6" w:rsidP="00536410">
      <w:pPr>
        <w:tabs>
          <w:tab w:val="decimal" w:pos="2694"/>
        </w:tabs>
        <w:ind w:firstLine="0"/>
        <w:rPr>
          <w:lang w:val="en-US"/>
        </w:rPr>
      </w:pPr>
    </w:p>
    <w:p w:rsidR="007C5969" w:rsidRDefault="007C5969">
      <w:pPr>
        <w:spacing w:after="0"/>
        <w:ind w:firstLine="0"/>
        <w:jc w:val="left"/>
        <w:rPr>
          <w:b/>
          <w:lang w:val="en-US"/>
        </w:rPr>
      </w:pPr>
    </w:p>
    <w:sectPr w:rsidR="007C5969" w:rsidSect="002B1C7B">
      <w:footerReference w:type="default" r:id="rId10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4D2" w:rsidRDefault="002114D2" w:rsidP="002B1C7B">
      <w:pPr>
        <w:spacing w:after="0"/>
      </w:pPr>
      <w:r>
        <w:separator/>
      </w:r>
    </w:p>
  </w:endnote>
  <w:endnote w:type="continuationSeparator" w:id="0">
    <w:p w:rsidR="002114D2" w:rsidRDefault="002114D2" w:rsidP="002B1C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Dutch">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0032"/>
      <w:docPartObj>
        <w:docPartGallery w:val="Page Numbers (Bottom of Page)"/>
        <w:docPartUnique/>
      </w:docPartObj>
    </w:sdtPr>
    <w:sdtContent>
      <w:p w:rsidR="00925416" w:rsidRDefault="00925416" w:rsidP="002B1C7B">
        <w:pPr>
          <w:pStyle w:val="Footer"/>
          <w:jc w:val="center"/>
        </w:pPr>
        <w:r>
          <w:fldChar w:fldCharType="begin"/>
        </w:r>
        <w:r>
          <w:instrText xml:space="preserve"> PAGE   \* MERGEFORMAT </w:instrText>
        </w:r>
        <w:r>
          <w:fldChar w:fldCharType="separate"/>
        </w:r>
        <w:r w:rsidR="00E76905">
          <w:rPr>
            <w:noProof/>
          </w:rPr>
          <w:t>31</w:t>
        </w:r>
        <w:r>
          <w:rPr>
            <w:noProof/>
          </w:rPr>
          <w:fldChar w:fldCharType="end"/>
        </w:r>
      </w:p>
    </w:sdtContent>
  </w:sdt>
  <w:p w:rsidR="00925416" w:rsidRDefault="00925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4D2" w:rsidRDefault="002114D2" w:rsidP="002B1C7B">
      <w:pPr>
        <w:spacing w:after="0"/>
      </w:pPr>
      <w:r>
        <w:separator/>
      </w:r>
    </w:p>
  </w:footnote>
  <w:footnote w:type="continuationSeparator" w:id="0">
    <w:p w:rsidR="002114D2" w:rsidRDefault="002114D2" w:rsidP="002B1C7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646"/>
    <w:rsid w:val="00001B4B"/>
    <w:rsid w:val="0000244B"/>
    <w:rsid w:val="00010A27"/>
    <w:rsid w:val="000111A5"/>
    <w:rsid w:val="000120DB"/>
    <w:rsid w:val="000132CB"/>
    <w:rsid w:val="00013AAD"/>
    <w:rsid w:val="00014BEA"/>
    <w:rsid w:val="000156C9"/>
    <w:rsid w:val="000162BD"/>
    <w:rsid w:val="00016383"/>
    <w:rsid w:val="000170ED"/>
    <w:rsid w:val="000177E9"/>
    <w:rsid w:val="000206DB"/>
    <w:rsid w:val="00021673"/>
    <w:rsid w:val="00021B61"/>
    <w:rsid w:val="000220FA"/>
    <w:rsid w:val="00022571"/>
    <w:rsid w:val="00025162"/>
    <w:rsid w:val="00025BC4"/>
    <w:rsid w:val="000263C4"/>
    <w:rsid w:val="00030D06"/>
    <w:rsid w:val="000322D3"/>
    <w:rsid w:val="00032CB1"/>
    <w:rsid w:val="000332A6"/>
    <w:rsid w:val="00034A39"/>
    <w:rsid w:val="00036218"/>
    <w:rsid w:val="00040456"/>
    <w:rsid w:val="000417DD"/>
    <w:rsid w:val="00041A75"/>
    <w:rsid w:val="00041EA1"/>
    <w:rsid w:val="0004316F"/>
    <w:rsid w:val="00043F11"/>
    <w:rsid w:val="000451FF"/>
    <w:rsid w:val="0004683F"/>
    <w:rsid w:val="00047092"/>
    <w:rsid w:val="000507B7"/>
    <w:rsid w:val="000508AD"/>
    <w:rsid w:val="00050C74"/>
    <w:rsid w:val="00053509"/>
    <w:rsid w:val="00055B0C"/>
    <w:rsid w:val="00056B68"/>
    <w:rsid w:val="000575DF"/>
    <w:rsid w:val="000576E8"/>
    <w:rsid w:val="0005771D"/>
    <w:rsid w:val="00060CC6"/>
    <w:rsid w:val="00061093"/>
    <w:rsid w:val="00061C42"/>
    <w:rsid w:val="00062AAF"/>
    <w:rsid w:val="000639CA"/>
    <w:rsid w:val="00065460"/>
    <w:rsid w:val="0006561E"/>
    <w:rsid w:val="00067123"/>
    <w:rsid w:val="000707BD"/>
    <w:rsid w:val="0007354E"/>
    <w:rsid w:val="00076C4B"/>
    <w:rsid w:val="000774BA"/>
    <w:rsid w:val="000775BD"/>
    <w:rsid w:val="00077B86"/>
    <w:rsid w:val="00080935"/>
    <w:rsid w:val="00081852"/>
    <w:rsid w:val="0008522F"/>
    <w:rsid w:val="00085437"/>
    <w:rsid w:val="00087064"/>
    <w:rsid w:val="00087291"/>
    <w:rsid w:val="000945FD"/>
    <w:rsid w:val="00094ED8"/>
    <w:rsid w:val="000963B2"/>
    <w:rsid w:val="00096E48"/>
    <w:rsid w:val="000A0EE8"/>
    <w:rsid w:val="000A1792"/>
    <w:rsid w:val="000A194A"/>
    <w:rsid w:val="000A52FB"/>
    <w:rsid w:val="000A61DC"/>
    <w:rsid w:val="000B10BE"/>
    <w:rsid w:val="000B1272"/>
    <w:rsid w:val="000B20E2"/>
    <w:rsid w:val="000B26DB"/>
    <w:rsid w:val="000B302B"/>
    <w:rsid w:val="000B5A6C"/>
    <w:rsid w:val="000B5B10"/>
    <w:rsid w:val="000B602D"/>
    <w:rsid w:val="000B7CB8"/>
    <w:rsid w:val="000C3B45"/>
    <w:rsid w:val="000C45E6"/>
    <w:rsid w:val="000C4EBA"/>
    <w:rsid w:val="000C5354"/>
    <w:rsid w:val="000D050C"/>
    <w:rsid w:val="000D126E"/>
    <w:rsid w:val="000D1E77"/>
    <w:rsid w:val="000D202D"/>
    <w:rsid w:val="000D34F2"/>
    <w:rsid w:val="000D3F4E"/>
    <w:rsid w:val="000D7940"/>
    <w:rsid w:val="000E0C5B"/>
    <w:rsid w:val="000E2E65"/>
    <w:rsid w:val="000E4153"/>
    <w:rsid w:val="000E4164"/>
    <w:rsid w:val="000E4B5F"/>
    <w:rsid w:val="000E688D"/>
    <w:rsid w:val="000F0C90"/>
    <w:rsid w:val="000F480B"/>
    <w:rsid w:val="000F49A4"/>
    <w:rsid w:val="000F5FCA"/>
    <w:rsid w:val="00102DA5"/>
    <w:rsid w:val="00103BE1"/>
    <w:rsid w:val="00104B56"/>
    <w:rsid w:val="001068B0"/>
    <w:rsid w:val="00106AA2"/>
    <w:rsid w:val="001104CE"/>
    <w:rsid w:val="001107D9"/>
    <w:rsid w:val="0011144D"/>
    <w:rsid w:val="00111F4F"/>
    <w:rsid w:val="00112759"/>
    <w:rsid w:val="001160E4"/>
    <w:rsid w:val="00122CA2"/>
    <w:rsid w:val="00122D7D"/>
    <w:rsid w:val="00122E1C"/>
    <w:rsid w:val="00122EB5"/>
    <w:rsid w:val="0012428D"/>
    <w:rsid w:val="00126E81"/>
    <w:rsid w:val="001302D0"/>
    <w:rsid w:val="00130C21"/>
    <w:rsid w:val="00131620"/>
    <w:rsid w:val="0013234B"/>
    <w:rsid w:val="001347DE"/>
    <w:rsid w:val="00134E6A"/>
    <w:rsid w:val="0013531B"/>
    <w:rsid w:val="0013587D"/>
    <w:rsid w:val="0013655F"/>
    <w:rsid w:val="001368A4"/>
    <w:rsid w:val="001406E0"/>
    <w:rsid w:val="00142016"/>
    <w:rsid w:val="00143601"/>
    <w:rsid w:val="00143F22"/>
    <w:rsid w:val="001448D9"/>
    <w:rsid w:val="00145B7E"/>
    <w:rsid w:val="00146257"/>
    <w:rsid w:val="001464C4"/>
    <w:rsid w:val="001477AB"/>
    <w:rsid w:val="00147FD3"/>
    <w:rsid w:val="001518B6"/>
    <w:rsid w:val="00154015"/>
    <w:rsid w:val="0015610B"/>
    <w:rsid w:val="00161E15"/>
    <w:rsid w:val="00162ABD"/>
    <w:rsid w:val="00162B19"/>
    <w:rsid w:val="00164682"/>
    <w:rsid w:val="001649BA"/>
    <w:rsid w:val="00165B16"/>
    <w:rsid w:val="00167F1D"/>
    <w:rsid w:val="001705F0"/>
    <w:rsid w:val="001706A7"/>
    <w:rsid w:val="001706BB"/>
    <w:rsid w:val="00171340"/>
    <w:rsid w:val="0017264F"/>
    <w:rsid w:val="00173773"/>
    <w:rsid w:val="001748BD"/>
    <w:rsid w:val="00181228"/>
    <w:rsid w:val="0018243B"/>
    <w:rsid w:val="00182FE9"/>
    <w:rsid w:val="001832E4"/>
    <w:rsid w:val="001835F8"/>
    <w:rsid w:val="0018373A"/>
    <w:rsid w:val="00183B82"/>
    <w:rsid w:val="00183BA7"/>
    <w:rsid w:val="0018652A"/>
    <w:rsid w:val="001905F6"/>
    <w:rsid w:val="001975E6"/>
    <w:rsid w:val="00197BE7"/>
    <w:rsid w:val="001A0A2C"/>
    <w:rsid w:val="001A4184"/>
    <w:rsid w:val="001A458C"/>
    <w:rsid w:val="001A50F6"/>
    <w:rsid w:val="001A68E5"/>
    <w:rsid w:val="001A6A90"/>
    <w:rsid w:val="001A7537"/>
    <w:rsid w:val="001B044B"/>
    <w:rsid w:val="001B16AE"/>
    <w:rsid w:val="001B3A13"/>
    <w:rsid w:val="001B4C4D"/>
    <w:rsid w:val="001B4F4E"/>
    <w:rsid w:val="001B52AF"/>
    <w:rsid w:val="001B5ADB"/>
    <w:rsid w:val="001B65EE"/>
    <w:rsid w:val="001B68AF"/>
    <w:rsid w:val="001C1949"/>
    <w:rsid w:val="001C1C5C"/>
    <w:rsid w:val="001C3CA3"/>
    <w:rsid w:val="001C4B1C"/>
    <w:rsid w:val="001C4BF5"/>
    <w:rsid w:val="001C58C8"/>
    <w:rsid w:val="001C5D3B"/>
    <w:rsid w:val="001C6DD0"/>
    <w:rsid w:val="001D1AB7"/>
    <w:rsid w:val="001D2D83"/>
    <w:rsid w:val="001D456A"/>
    <w:rsid w:val="001D49EE"/>
    <w:rsid w:val="001D4D2E"/>
    <w:rsid w:val="001D736C"/>
    <w:rsid w:val="001E3B15"/>
    <w:rsid w:val="001E3F6D"/>
    <w:rsid w:val="001E6427"/>
    <w:rsid w:val="001E79EF"/>
    <w:rsid w:val="001F005B"/>
    <w:rsid w:val="001F4DA8"/>
    <w:rsid w:val="001F5FCC"/>
    <w:rsid w:val="001F68A9"/>
    <w:rsid w:val="00201D19"/>
    <w:rsid w:val="00202271"/>
    <w:rsid w:val="002033F3"/>
    <w:rsid w:val="002114D2"/>
    <w:rsid w:val="00211A46"/>
    <w:rsid w:val="0021280E"/>
    <w:rsid w:val="002137EF"/>
    <w:rsid w:val="002138D6"/>
    <w:rsid w:val="00214A5C"/>
    <w:rsid w:val="00215B92"/>
    <w:rsid w:val="00217E96"/>
    <w:rsid w:val="00221050"/>
    <w:rsid w:val="00222001"/>
    <w:rsid w:val="00222684"/>
    <w:rsid w:val="002234B0"/>
    <w:rsid w:val="00224644"/>
    <w:rsid w:val="00224688"/>
    <w:rsid w:val="0022493B"/>
    <w:rsid w:val="002263E3"/>
    <w:rsid w:val="00226404"/>
    <w:rsid w:val="0023276C"/>
    <w:rsid w:val="002330EC"/>
    <w:rsid w:val="0023317C"/>
    <w:rsid w:val="002331DE"/>
    <w:rsid w:val="00233214"/>
    <w:rsid w:val="002333F2"/>
    <w:rsid w:val="00234FDA"/>
    <w:rsid w:val="0023625F"/>
    <w:rsid w:val="00237218"/>
    <w:rsid w:val="00237C5B"/>
    <w:rsid w:val="00240139"/>
    <w:rsid w:val="0024163C"/>
    <w:rsid w:val="00242889"/>
    <w:rsid w:val="002504FC"/>
    <w:rsid w:val="002505E3"/>
    <w:rsid w:val="002507F8"/>
    <w:rsid w:val="002530BC"/>
    <w:rsid w:val="00254400"/>
    <w:rsid w:val="00257056"/>
    <w:rsid w:val="00257F54"/>
    <w:rsid w:val="002609CC"/>
    <w:rsid w:val="00263A14"/>
    <w:rsid w:val="002644B2"/>
    <w:rsid w:val="00264C81"/>
    <w:rsid w:val="00270245"/>
    <w:rsid w:val="00270256"/>
    <w:rsid w:val="002714B9"/>
    <w:rsid w:val="0027237F"/>
    <w:rsid w:val="00273B92"/>
    <w:rsid w:val="0027460D"/>
    <w:rsid w:val="00274835"/>
    <w:rsid w:val="00274E77"/>
    <w:rsid w:val="002750A3"/>
    <w:rsid w:val="00277005"/>
    <w:rsid w:val="00277D14"/>
    <w:rsid w:val="00280535"/>
    <w:rsid w:val="00281C79"/>
    <w:rsid w:val="0028213F"/>
    <w:rsid w:val="002828AD"/>
    <w:rsid w:val="002835C3"/>
    <w:rsid w:val="0028390D"/>
    <w:rsid w:val="002843C9"/>
    <w:rsid w:val="002849D5"/>
    <w:rsid w:val="00285D28"/>
    <w:rsid w:val="00285F34"/>
    <w:rsid w:val="00292891"/>
    <w:rsid w:val="00292A43"/>
    <w:rsid w:val="002961FC"/>
    <w:rsid w:val="0029644D"/>
    <w:rsid w:val="00296A24"/>
    <w:rsid w:val="00297CB2"/>
    <w:rsid w:val="00297F79"/>
    <w:rsid w:val="002A128D"/>
    <w:rsid w:val="002A5C33"/>
    <w:rsid w:val="002A626C"/>
    <w:rsid w:val="002A6C3D"/>
    <w:rsid w:val="002A73C3"/>
    <w:rsid w:val="002A79E2"/>
    <w:rsid w:val="002B1C7B"/>
    <w:rsid w:val="002B1ED2"/>
    <w:rsid w:val="002B47F3"/>
    <w:rsid w:val="002B4863"/>
    <w:rsid w:val="002B68E5"/>
    <w:rsid w:val="002B79EE"/>
    <w:rsid w:val="002C1550"/>
    <w:rsid w:val="002C2BC1"/>
    <w:rsid w:val="002C2FCE"/>
    <w:rsid w:val="002C3738"/>
    <w:rsid w:val="002C3CE1"/>
    <w:rsid w:val="002C4D6C"/>
    <w:rsid w:val="002C757B"/>
    <w:rsid w:val="002C7DED"/>
    <w:rsid w:val="002D0D19"/>
    <w:rsid w:val="002D159D"/>
    <w:rsid w:val="002D1CBA"/>
    <w:rsid w:val="002D1DDE"/>
    <w:rsid w:val="002D2163"/>
    <w:rsid w:val="002D3164"/>
    <w:rsid w:val="002D3B01"/>
    <w:rsid w:val="002D487E"/>
    <w:rsid w:val="002D5668"/>
    <w:rsid w:val="002E1CDF"/>
    <w:rsid w:val="002E2521"/>
    <w:rsid w:val="002E3084"/>
    <w:rsid w:val="002E3140"/>
    <w:rsid w:val="002E4F26"/>
    <w:rsid w:val="002E6CF1"/>
    <w:rsid w:val="002F0945"/>
    <w:rsid w:val="002F4CD4"/>
    <w:rsid w:val="002F4D6D"/>
    <w:rsid w:val="002F6E66"/>
    <w:rsid w:val="00300F29"/>
    <w:rsid w:val="00301025"/>
    <w:rsid w:val="00301641"/>
    <w:rsid w:val="00301D2D"/>
    <w:rsid w:val="00304F17"/>
    <w:rsid w:val="0031181C"/>
    <w:rsid w:val="00311831"/>
    <w:rsid w:val="00311E06"/>
    <w:rsid w:val="0031298F"/>
    <w:rsid w:val="0031425D"/>
    <w:rsid w:val="0031677C"/>
    <w:rsid w:val="0032399F"/>
    <w:rsid w:val="00323BEE"/>
    <w:rsid w:val="00325515"/>
    <w:rsid w:val="00325721"/>
    <w:rsid w:val="0032645F"/>
    <w:rsid w:val="00327EB8"/>
    <w:rsid w:val="00330402"/>
    <w:rsid w:val="003316DC"/>
    <w:rsid w:val="003319B6"/>
    <w:rsid w:val="00333361"/>
    <w:rsid w:val="00334C37"/>
    <w:rsid w:val="00334F57"/>
    <w:rsid w:val="00337D19"/>
    <w:rsid w:val="003402CA"/>
    <w:rsid w:val="00340A74"/>
    <w:rsid w:val="00343159"/>
    <w:rsid w:val="0034370A"/>
    <w:rsid w:val="003440AB"/>
    <w:rsid w:val="00347116"/>
    <w:rsid w:val="00351CAC"/>
    <w:rsid w:val="00351E79"/>
    <w:rsid w:val="0036053A"/>
    <w:rsid w:val="00361F6B"/>
    <w:rsid w:val="0036376C"/>
    <w:rsid w:val="00366664"/>
    <w:rsid w:val="0036685F"/>
    <w:rsid w:val="003669CB"/>
    <w:rsid w:val="0036709C"/>
    <w:rsid w:val="003670E5"/>
    <w:rsid w:val="00367AF2"/>
    <w:rsid w:val="00372603"/>
    <w:rsid w:val="00372C8C"/>
    <w:rsid w:val="00373313"/>
    <w:rsid w:val="00376418"/>
    <w:rsid w:val="00376F0F"/>
    <w:rsid w:val="0037770A"/>
    <w:rsid w:val="00377B11"/>
    <w:rsid w:val="0038305F"/>
    <w:rsid w:val="0038389E"/>
    <w:rsid w:val="00390DDC"/>
    <w:rsid w:val="00393186"/>
    <w:rsid w:val="003934F3"/>
    <w:rsid w:val="003942CB"/>
    <w:rsid w:val="00395AF7"/>
    <w:rsid w:val="00395C0F"/>
    <w:rsid w:val="00397DBC"/>
    <w:rsid w:val="003A3687"/>
    <w:rsid w:val="003A59C9"/>
    <w:rsid w:val="003A6FDA"/>
    <w:rsid w:val="003B1C78"/>
    <w:rsid w:val="003B37B9"/>
    <w:rsid w:val="003B41D8"/>
    <w:rsid w:val="003B5E56"/>
    <w:rsid w:val="003B7E94"/>
    <w:rsid w:val="003C2B8D"/>
    <w:rsid w:val="003C2FD9"/>
    <w:rsid w:val="003C332D"/>
    <w:rsid w:val="003C4269"/>
    <w:rsid w:val="003C4A16"/>
    <w:rsid w:val="003C6295"/>
    <w:rsid w:val="003C79C4"/>
    <w:rsid w:val="003D07A2"/>
    <w:rsid w:val="003D21F5"/>
    <w:rsid w:val="003D2BC5"/>
    <w:rsid w:val="003D34A5"/>
    <w:rsid w:val="003D3501"/>
    <w:rsid w:val="003D4710"/>
    <w:rsid w:val="003D5140"/>
    <w:rsid w:val="003D745C"/>
    <w:rsid w:val="003E04C8"/>
    <w:rsid w:val="003E1AAB"/>
    <w:rsid w:val="003E21D4"/>
    <w:rsid w:val="003E274F"/>
    <w:rsid w:val="003E3A58"/>
    <w:rsid w:val="003E5395"/>
    <w:rsid w:val="003F1336"/>
    <w:rsid w:val="003F1497"/>
    <w:rsid w:val="003F59EE"/>
    <w:rsid w:val="004007C9"/>
    <w:rsid w:val="00402033"/>
    <w:rsid w:val="00402D3B"/>
    <w:rsid w:val="004032C1"/>
    <w:rsid w:val="004039C9"/>
    <w:rsid w:val="00404D2B"/>
    <w:rsid w:val="00404D84"/>
    <w:rsid w:val="0040505C"/>
    <w:rsid w:val="0040569C"/>
    <w:rsid w:val="00407838"/>
    <w:rsid w:val="0041252E"/>
    <w:rsid w:val="0041478C"/>
    <w:rsid w:val="00416041"/>
    <w:rsid w:val="00416199"/>
    <w:rsid w:val="00417A94"/>
    <w:rsid w:val="0042019B"/>
    <w:rsid w:val="00420CCE"/>
    <w:rsid w:val="00420E2F"/>
    <w:rsid w:val="00421C0A"/>
    <w:rsid w:val="004260F3"/>
    <w:rsid w:val="0042791A"/>
    <w:rsid w:val="00427A8B"/>
    <w:rsid w:val="00427E60"/>
    <w:rsid w:val="0043487B"/>
    <w:rsid w:val="00436640"/>
    <w:rsid w:val="00436781"/>
    <w:rsid w:val="00436A3B"/>
    <w:rsid w:val="00437F83"/>
    <w:rsid w:val="00440D9A"/>
    <w:rsid w:val="00443C5A"/>
    <w:rsid w:val="00443EBC"/>
    <w:rsid w:val="0044414D"/>
    <w:rsid w:val="00444E43"/>
    <w:rsid w:val="0044581B"/>
    <w:rsid w:val="00445829"/>
    <w:rsid w:val="00445A7A"/>
    <w:rsid w:val="004466BB"/>
    <w:rsid w:val="00447B2B"/>
    <w:rsid w:val="004503B8"/>
    <w:rsid w:val="00452CC8"/>
    <w:rsid w:val="00453FD9"/>
    <w:rsid w:val="00456A71"/>
    <w:rsid w:val="004573F7"/>
    <w:rsid w:val="00460BA6"/>
    <w:rsid w:val="0046369F"/>
    <w:rsid w:val="00463BC1"/>
    <w:rsid w:val="00463F06"/>
    <w:rsid w:val="004720CE"/>
    <w:rsid w:val="00472DF3"/>
    <w:rsid w:val="00475FE8"/>
    <w:rsid w:val="00481AA4"/>
    <w:rsid w:val="00482699"/>
    <w:rsid w:val="00483DFC"/>
    <w:rsid w:val="0048474F"/>
    <w:rsid w:val="00484A26"/>
    <w:rsid w:val="0048583B"/>
    <w:rsid w:val="004865B1"/>
    <w:rsid w:val="00486A0D"/>
    <w:rsid w:val="004870B7"/>
    <w:rsid w:val="00487F2C"/>
    <w:rsid w:val="00490020"/>
    <w:rsid w:val="004906C6"/>
    <w:rsid w:val="00491575"/>
    <w:rsid w:val="004927CC"/>
    <w:rsid w:val="0049320B"/>
    <w:rsid w:val="0049625B"/>
    <w:rsid w:val="004A0C39"/>
    <w:rsid w:val="004A1D41"/>
    <w:rsid w:val="004A37CF"/>
    <w:rsid w:val="004A41DA"/>
    <w:rsid w:val="004A5B6C"/>
    <w:rsid w:val="004A635B"/>
    <w:rsid w:val="004B0D1A"/>
    <w:rsid w:val="004B2993"/>
    <w:rsid w:val="004B33E4"/>
    <w:rsid w:val="004B3EE0"/>
    <w:rsid w:val="004B5D17"/>
    <w:rsid w:val="004B691E"/>
    <w:rsid w:val="004C1DE9"/>
    <w:rsid w:val="004C2C6E"/>
    <w:rsid w:val="004C396D"/>
    <w:rsid w:val="004C526B"/>
    <w:rsid w:val="004C551C"/>
    <w:rsid w:val="004C5842"/>
    <w:rsid w:val="004C5BEB"/>
    <w:rsid w:val="004C7721"/>
    <w:rsid w:val="004C79A7"/>
    <w:rsid w:val="004D083D"/>
    <w:rsid w:val="004D1916"/>
    <w:rsid w:val="004D1BEE"/>
    <w:rsid w:val="004D1DAA"/>
    <w:rsid w:val="004D1F85"/>
    <w:rsid w:val="004D3007"/>
    <w:rsid w:val="004D3052"/>
    <w:rsid w:val="004D5049"/>
    <w:rsid w:val="004D5D27"/>
    <w:rsid w:val="004D7EB2"/>
    <w:rsid w:val="004E035B"/>
    <w:rsid w:val="004E2421"/>
    <w:rsid w:val="004E5F50"/>
    <w:rsid w:val="004E6B86"/>
    <w:rsid w:val="004E7933"/>
    <w:rsid w:val="004F09AC"/>
    <w:rsid w:val="004F0A0B"/>
    <w:rsid w:val="004F0CFF"/>
    <w:rsid w:val="004F12D9"/>
    <w:rsid w:val="004F1CF4"/>
    <w:rsid w:val="004F3F05"/>
    <w:rsid w:val="004F44C8"/>
    <w:rsid w:val="004F4EA8"/>
    <w:rsid w:val="004F7898"/>
    <w:rsid w:val="004F7DBA"/>
    <w:rsid w:val="00500466"/>
    <w:rsid w:val="00500C64"/>
    <w:rsid w:val="00506BA6"/>
    <w:rsid w:val="00507A3C"/>
    <w:rsid w:val="00510FC4"/>
    <w:rsid w:val="00512562"/>
    <w:rsid w:val="00515645"/>
    <w:rsid w:val="00525456"/>
    <w:rsid w:val="00525644"/>
    <w:rsid w:val="0052611B"/>
    <w:rsid w:val="005265B4"/>
    <w:rsid w:val="005268CE"/>
    <w:rsid w:val="00526BE4"/>
    <w:rsid w:val="00526E8E"/>
    <w:rsid w:val="005278D3"/>
    <w:rsid w:val="005311E7"/>
    <w:rsid w:val="00531400"/>
    <w:rsid w:val="005318ED"/>
    <w:rsid w:val="00531A1D"/>
    <w:rsid w:val="0053360D"/>
    <w:rsid w:val="00533B95"/>
    <w:rsid w:val="005341F2"/>
    <w:rsid w:val="005349CE"/>
    <w:rsid w:val="00536410"/>
    <w:rsid w:val="00540C05"/>
    <w:rsid w:val="00542440"/>
    <w:rsid w:val="00542481"/>
    <w:rsid w:val="005424B1"/>
    <w:rsid w:val="0054337D"/>
    <w:rsid w:val="005448C1"/>
    <w:rsid w:val="005468BC"/>
    <w:rsid w:val="005471AD"/>
    <w:rsid w:val="005501A4"/>
    <w:rsid w:val="0055039C"/>
    <w:rsid w:val="00554E57"/>
    <w:rsid w:val="00555AE9"/>
    <w:rsid w:val="005561B2"/>
    <w:rsid w:val="005562F1"/>
    <w:rsid w:val="00557893"/>
    <w:rsid w:val="00557D74"/>
    <w:rsid w:val="00557E27"/>
    <w:rsid w:val="00561A47"/>
    <w:rsid w:val="005624A4"/>
    <w:rsid w:val="005627B9"/>
    <w:rsid w:val="00565D95"/>
    <w:rsid w:val="005705FA"/>
    <w:rsid w:val="005706C4"/>
    <w:rsid w:val="005737D3"/>
    <w:rsid w:val="0057478F"/>
    <w:rsid w:val="00576313"/>
    <w:rsid w:val="00582110"/>
    <w:rsid w:val="005824BB"/>
    <w:rsid w:val="00582E05"/>
    <w:rsid w:val="0058423C"/>
    <w:rsid w:val="00585166"/>
    <w:rsid w:val="005872B9"/>
    <w:rsid w:val="00590384"/>
    <w:rsid w:val="00591DF7"/>
    <w:rsid w:val="005921EB"/>
    <w:rsid w:val="0059534B"/>
    <w:rsid w:val="005A05B1"/>
    <w:rsid w:val="005A1F2F"/>
    <w:rsid w:val="005A2481"/>
    <w:rsid w:val="005A2A2F"/>
    <w:rsid w:val="005A2C80"/>
    <w:rsid w:val="005A4A10"/>
    <w:rsid w:val="005A5235"/>
    <w:rsid w:val="005A5C11"/>
    <w:rsid w:val="005B2087"/>
    <w:rsid w:val="005B2190"/>
    <w:rsid w:val="005B3220"/>
    <w:rsid w:val="005B3409"/>
    <w:rsid w:val="005B49DC"/>
    <w:rsid w:val="005B4A26"/>
    <w:rsid w:val="005B5536"/>
    <w:rsid w:val="005B6C71"/>
    <w:rsid w:val="005C4017"/>
    <w:rsid w:val="005C4E33"/>
    <w:rsid w:val="005C5CCD"/>
    <w:rsid w:val="005D0018"/>
    <w:rsid w:val="005D2475"/>
    <w:rsid w:val="005D26E9"/>
    <w:rsid w:val="005D287D"/>
    <w:rsid w:val="005D4D4D"/>
    <w:rsid w:val="005D5473"/>
    <w:rsid w:val="005D6C9B"/>
    <w:rsid w:val="005D6D6C"/>
    <w:rsid w:val="005D6E19"/>
    <w:rsid w:val="005E0722"/>
    <w:rsid w:val="005E3B85"/>
    <w:rsid w:val="005E5686"/>
    <w:rsid w:val="005E6EEF"/>
    <w:rsid w:val="005E7B85"/>
    <w:rsid w:val="005F23EE"/>
    <w:rsid w:val="005F4A63"/>
    <w:rsid w:val="005F647B"/>
    <w:rsid w:val="005F6F06"/>
    <w:rsid w:val="00601742"/>
    <w:rsid w:val="0060181B"/>
    <w:rsid w:val="0060223D"/>
    <w:rsid w:val="0060284E"/>
    <w:rsid w:val="006031DF"/>
    <w:rsid w:val="00603E01"/>
    <w:rsid w:val="00604158"/>
    <w:rsid w:val="00604736"/>
    <w:rsid w:val="006049FC"/>
    <w:rsid w:val="00604D7A"/>
    <w:rsid w:val="00610134"/>
    <w:rsid w:val="00611C17"/>
    <w:rsid w:val="00612351"/>
    <w:rsid w:val="0061346F"/>
    <w:rsid w:val="0061439C"/>
    <w:rsid w:val="00617BF0"/>
    <w:rsid w:val="00617F00"/>
    <w:rsid w:val="0062062B"/>
    <w:rsid w:val="006217A6"/>
    <w:rsid w:val="00622243"/>
    <w:rsid w:val="00623E18"/>
    <w:rsid w:val="00623E92"/>
    <w:rsid w:val="00627294"/>
    <w:rsid w:val="00630ED6"/>
    <w:rsid w:val="00631361"/>
    <w:rsid w:val="00632BDC"/>
    <w:rsid w:val="006361B1"/>
    <w:rsid w:val="00637110"/>
    <w:rsid w:val="00640027"/>
    <w:rsid w:val="00640323"/>
    <w:rsid w:val="006410D5"/>
    <w:rsid w:val="00641B9D"/>
    <w:rsid w:val="0064266F"/>
    <w:rsid w:val="00642F51"/>
    <w:rsid w:val="00644008"/>
    <w:rsid w:val="006518D5"/>
    <w:rsid w:val="00651ECB"/>
    <w:rsid w:val="0065291E"/>
    <w:rsid w:val="00652BD4"/>
    <w:rsid w:val="00654A95"/>
    <w:rsid w:val="006559BB"/>
    <w:rsid w:val="0065630A"/>
    <w:rsid w:val="00656CF2"/>
    <w:rsid w:val="006574B9"/>
    <w:rsid w:val="00660F4A"/>
    <w:rsid w:val="00661FF2"/>
    <w:rsid w:val="00664846"/>
    <w:rsid w:val="006707D4"/>
    <w:rsid w:val="006716FE"/>
    <w:rsid w:val="00673685"/>
    <w:rsid w:val="0067471F"/>
    <w:rsid w:val="00675B0C"/>
    <w:rsid w:val="0067753B"/>
    <w:rsid w:val="00680FB4"/>
    <w:rsid w:val="006845D5"/>
    <w:rsid w:val="0068472B"/>
    <w:rsid w:val="00684C49"/>
    <w:rsid w:val="006858EC"/>
    <w:rsid w:val="0068659A"/>
    <w:rsid w:val="00687726"/>
    <w:rsid w:val="006877D3"/>
    <w:rsid w:val="00690385"/>
    <w:rsid w:val="0069184A"/>
    <w:rsid w:val="00691BE6"/>
    <w:rsid w:val="006920BB"/>
    <w:rsid w:val="0069443F"/>
    <w:rsid w:val="0069716A"/>
    <w:rsid w:val="006A0B6D"/>
    <w:rsid w:val="006A2D25"/>
    <w:rsid w:val="006A6A72"/>
    <w:rsid w:val="006B2323"/>
    <w:rsid w:val="006B294B"/>
    <w:rsid w:val="006B50FD"/>
    <w:rsid w:val="006C1043"/>
    <w:rsid w:val="006C1AA3"/>
    <w:rsid w:val="006C43C3"/>
    <w:rsid w:val="006C47ED"/>
    <w:rsid w:val="006C5B34"/>
    <w:rsid w:val="006C7D2A"/>
    <w:rsid w:val="006D2DF9"/>
    <w:rsid w:val="006D5700"/>
    <w:rsid w:val="006D6DF8"/>
    <w:rsid w:val="006D70D0"/>
    <w:rsid w:val="006D7329"/>
    <w:rsid w:val="006E0E49"/>
    <w:rsid w:val="006E4608"/>
    <w:rsid w:val="006E4628"/>
    <w:rsid w:val="006E48E2"/>
    <w:rsid w:val="006F2E10"/>
    <w:rsid w:val="006F45FD"/>
    <w:rsid w:val="006F6730"/>
    <w:rsid w:val="006F6B49"/>
    <w:rsid w:val="0070118D"/>
    <w:rsid w:val="007017C2"/>
    <w:rsid w:val="0070295E"/>
    <w:rsid w:val="00710E07"/>
    <w:rsid w:val="00711321"/>
    <w:rsid w:val="00713C09"/>
    <w:rsid w:val="00716C8C"/>
    <w:rsid w:val="00717FCD"/>
    <w:rsid w:val="00723B8A"/>
    <w:rsid w:val="0072440A"/>
    <w:rsid w:val="00724D02"/>
    <w:rsid w:val="007258A8"/>
    <w:rsid w:val="00726F16"/>
    <w:rsid w:val="00730FE9"/>
    <w:rsid w:val="00731BF7"/>
    <w:rsid w:val="00731C83"/>
    <w:rsid w:val="00734911"/>
    <w:rsid w:val="00734E57"/>
    <w:rsid w:val="00734E7B"/>
    <w:rsid w:val="00735B47"/>
    <w:rsid w:val="0073777E"/>
    <w:rsid w:val="00737E23"/>
    <w:rsid w:val="00740C6B"/>
    <w:rsid w:val="0074332E"/>
    <w:rsid w:val="00745434"/>
    <w:rsid w:val="00745597"/>
    <w:rsid w:val="00745DED"/>
    <w:rsid w:val="0074685E"/>
    <w:rsid w:val="00750005"/>
    <w:rsid w:val="00751332"/>
    <w:rsid w:val="007515F0"/>
    <w:rsid w:val="0075355B"/>
    <w:rsid w:val="00753933"/>
    <w:rsid w:val="007547ED"/>
    <w:rsid w:val="0076495B"/>
    <w:rsid w:val="00765736"/>
    <w:rsid w:val="00765ABB"/>
    <w:rsid w:val="00765E43"/>
    <w:rsid w:val="00767393"/>
    <w:rsid w:val="00772F61"/>
    <w:rsid w:val="00777B60"/>
    <w:rsid w:val="007807D8"/>
    <w:rsid w:val="00780F4E"/>
    <w:rsid w:val="00781694"/>
    <w:rsid w:val="00783837"/>
    <w:rsid w:val="00783CCC"/>
    <w:rsid w:val="0078536B"/>
    <w:rsid w:val="00785708"/>
    <w:rsid w:val="00790CEA"/>
    <w:rsid w:val="00790D09"/>
    <w:rsid w:val="00791628"/>
    <w:rsid w:val="00793C58"/>
    <w:rsid w:val="007952F7"/>
    <w:rsid w:val="00797080"/>
    <w:rsid w:val="00797D08"/>
    <w:rsid w:val="007A051C"/>
    <w:rsid w:val="007A40FC"/>
    <w:rsid w:val="007A50E9"/>
    <w:rsid w:val="007A6F11"/>
    <w:rsid w:val="007B1272"/>
    <w:rsid w:val="007B131E"/>
    <w:rsid w:val="007B31AB"/>
    <w:rsid w:val="007B4076"/>
    <w:rsid w:val="007B4BC1"/>
    <w:rsid w:val="007B56BB"/>
    <w:rsid w:val="007C11B1"/>
    <w:rsid w:val="007C14AB"/>
    <w:rsid w:val="007C1741"/>
    <w:rsid w:val="007C2645"/>
    <w:rsid w:val="007C397F"/>
    <w:rsid w:val="007C441F"/>
    <w:rsid w:val="007C5969"/>
    <w:rsid w:val="007D2440"/>
    <w:rsid w:val="007D29EF"/>
    <w:rsid w:val="007D5FF6"/>
    <w:rsid w:val="007E04B1"/>
    <w:rsid w:val="007E07DE"/>
    <w:rsid w:val="007E0BA7"/>
    <w:rsid w:val="007E1E18"/>
    <w:rsid w:val="007E27E9"/>
    <w:rsid w:val="007E2871"/>
    <w:rsid w:val="007E38EB"/>
    <w:rsid w:val="007E3BB7"/>
    <w:rsid w:val="007E618C"/>
    <w:rsid w:val="007E6DA0"/>
    <w:rsid w:val="007F0E4C"/>
    <w:rsid w:val="007F4C91"/>
    <w:rsid w:val="007F65FE"/>
    <w:rsid w:val="00800A25"/>
    <w:rsid w:val="00803346"/>
    <w:rsid w:val="0080461C"/>
    <w:rsid w:val="00805E0D"/>
    <w:rsid w:val="008062D6"/>
    <w:rsid w:val="008079FB"/>
    <w:rsid w:val="008117DD"/>
    <w:rsid w:val="00813F55"/>
    <w:rsid w:val="00814D17"/>
    <w:rsid w:val="00816027"/>
    <w:rsid w:val="00817C35"/>
    <w:rsid w:val="00821DC7"/>
    <w:rsid w:val="00825330"/>
    <w:rsid w:val="00825F5B"/>
    <w:rsid w:val="0082618E"/>
    <w:rsid w:val="00826821"/>
    <w:rsid w:val="00827B38"/>
    <w:rsid w:val="0083166B"/>
    <w:rsid w:val="00831C5A"/>
    <w:rsid w:val="008336CA"/>
    <w:rsid w:val="00834536"/>
    <w:rsid w:val="008357D7"/>
    <w:rsid w:val="00836F49"/>
    <w:rsid w:val="008431A2"/>
    <w:rsid w:val="00844A5D"/>
    <w:rsid w:val="008479D5"/>
    <w:rsid w:val="00847E45"/>
    <w:rsid w:val="0085122B"/>
    <w:rsid w:val="00852499"/>
    <w:rsid w:val="00852BEB"/>
    <w:rsid w:val="00853E29"/>
    <w:rsid w:val="00854CF0"/>
    <w:rsid w:val="008601E9"/>
    <w:rsid w:val="008611BA"/>
    <w:rsid w:val="00861430"/>
    <w:rsid w:val="00861D95"/>
    <w:rsid w:val="0086246B"/>
    <w:rsid w:val="008627CC"/>
    <w:rsid w:val="00863DE5"/>
    <w:rsid w:val="008642EB"/>
    <w:rsid w:val="00864B58"/>
    <w:rsid w:val="00866FE7"/>
    <w:rsid w:val="00871ED9"/>
    <w:rsid w:val="00872337"/>
    <w:rsid w:val="00873685"/>
    <w:rsid w:val="008760BF"/>
    <w:rsid w:val="00877127"/>
    <w:rsid w:val="00881DE1"/>
    <w:rsid w:val="00881E21"/>
    <w:rsid w:val="00882BF1"/>
    <w:rsid w:val="008842ED"/>
    <w:rsid w:val="008853B8"/>
    <w:rsid w:val="00885500"/>
    <w:rsid w:val="0088613A"/>
    <w:rsid w:val="008864E3"/>
    <w:rsid w:val="00886D78"/>
    <w:rsid w:val="00890A65"/>
    <w:rsid w:val="00891059"/>
    <w:rsid w:val="008915DF"/>
    <w:rsid w:val="00893A77"/>
    <w:rsid w:val="00893E62"/>
    <w:rsid w:val="00896836"/>
    <w:rsid w:val="008972E3"/>
    <w:rsid w:val="008A040C"/>
    <w:rsid w:val="008A083D"/>
    <w:rsid w:val="008A1FC9"/>
    <w:rsid w:val="008A7A51"/>
    <w:rsid w:val="008B013B"/>
    <w:rsid w:val="008B0670"/>
    <w:rsid w:val="008B0E17"/>
    <w:rsid w:val="008B2260"/>
    <w:rsid w:val="008B24B7"/>
    <w:rsid w:val="008B49AB"/>
    <w:rsid w:val="008B4A5F"/>
    <w:rsid w:val="008B4F76"/>
    <w:rsid w:val="008B5254"/>
    <w:rsid w:val="008B5B92"/>
    <w:rsid w:val="008C1569"/>
    <w:rsid w:val="008C48AF"/>
    <w:rsid w:val="008C4E88"/>
    <w:rsid w:val="008C6D42"/>
    <w:rsid w:val="008C7A0B"/>
    <w:rsid w:val="008C7CE7"/>
    <w:rsid w:val="008D1A2D"/>
    <w:rsid w:val="008D4580"/>
    <w:rsid w:val="008D551D"/>
    <w:rsid w:val="008D76AB"/>
    <w:rsid w:val="008E01D8"/>
    <w:rsid w:val="008E158A"/>
    <w:rsid w:val="008E2749"/>
    <w:rsid w:val="008E2E8D"/>
    <w:rsid w:val="008E2F8A"/>
    <w:rsid w:val="008E3188"/>
    <w:rsid w:val="008E3525"/>
    <w:rsid w:val="008E3EC5"/>
    <w:rsid w:val="008E46E2"/>
    <w:rsid w:val="008E59CB"/>
    <w:rsid w:val="008E6C9B"/>
    <w:rsid w:val="008F0047"/>
    <w:rsid w:val="008F08BB"/>
    <w:rsid w:val="008F2232"/>
    <w:rsid w:val="008F6E4C"/>
    <w:rsid w:val="00900574"/>
    <w:rsid w:val="00904389"/>
    <w:rsid w:val="00904E60"/>
    <w:rsid w:val="0090618C"/>
    <w:rsid w:val="00913D41"/>
    <w:rsid w:val="00914845"/>
    <w:rsid w:val="009152AF"/>
    <w:rsid w:val="00916EBF"/>
    <w:rsid w:val="0092075A"/>
    <w:rsid w:val="00921210"/>
    <w:rsid w:val="009232DB"/>
    <w:rsid w:val="00924A30"/>
    <w:rsid w:val="00925416"/>
    <w:rsid w:val="00926A5B"/>
    <w:rsid w:val="00927FBD"/>
    <w:rsid w:val="00930041"/>
    <w:rsid w:val="009301CC"/>
    <w:rsid w:val="00931771"/>
    <w:rsid w:val="00932B57"/>
    <w:rsid w:val="0093342E"/>
    <w:rsid w:val="0093418F"/>
    <w:rsid w:val="00935D47"/>
    <w:rsid w:val="009361E6"/>
    <w:rsid w:val="00936DF3"/>
    <w:rsid w:val="009374A4"/>
    <w:rsid w:val="00937EA5"/>
    <w:rsid w:val="00941529"/>
    <w:rsid w:val="00946F0A"/>
    <w:rsid w:val="00950476"/>
    <w:rsid w:val="00951AD7"/>
    <w:rsid w:val="00952519"/>
    <w:rsid w:val="009530B8"/>
    <w:rsid w:val="00953AA5"/>
    <w:rsid w:val="00953F02"/>
    <w:rsid w:val="00954050"/>
    <w:rsid w:val="00961523"/>
    <w:rsid w:val="00963DB8"/>
    <w:rsid w:val="009650BA"/>
    <w:rsid w:val="009653D2"/>
    <w:rsid w:val="009658B5"/>
    <w:rsid w:val="0096622B"/>
    <w:rsid w:val="00967D47"/>
    <w:rsid w:val="00970684"/>
    <w:rsid w:val="00972888"/>
    <w:rsid w:val="0097424C"/>
    <w:rsid w:val="00975E49"/>
    <w:rsid w:val="009765E7"/>
    <w:rsid w:val="00977A25"/>
    <w:rsid w:val="00977F43"/>
    <w:rsid w:val="00980E10"/>
    <w:rsid w:val="00982A4C"/>
    <w:rsid w:val="009832F5"/>
    <w:rsid w:val="009849BD"/>
    <w:rsid w:val="009849D8"/>
    <w:rsid w:val="00985C82"/>
    <w:rsid w:val="009860BF"/>
    <w:rsid w:val="00987F19"/>
    <w:rsid w:val="009918B8"/>
    <w:rsid w:val="00993A11"/>
    <w:rsid w:val="009943F4"/>
    <w:rsid w:val="00994A5B"/>
    <w:rsid w:val="009A1F5C"/>
    <w:rsid w:val="009A25F9"/>
    <w:rsid w:val="009A52C0"/>
    <w:rsid w:val="009A5A7C"/>
    <w:rsid w:val="009A6164"/>
    <w:rsid w:val="009B04C5"/>
    <w:rsid w:val="009B0E87"/>
    <w:rsid w:val="009B2528"/>
    <w:rsid w:val="009B3057"/>
    <w:rsid w:val="009B350B"/>
    <w:rsid w:val="009B47AC"/>
    <w:rsid w:val="009B5C61"/>
    <w:rsid w:val="009B6C3F"/>
    <w:rsid w:val="009C3F15"/>
    <w:rsid w:val="009C58ED"/>
    <w:rsid w:val="009C6E1F"/>
    <w:rsid w:val="009C6F03"/>
    <w:rsid w:val="009D0674"/>
    <w:rsid w:val="009D294B"/>
    <w:rsid w:val="009D3937"/>
    <w:rsid w:val="009D4ACF"/>
    <w:rsid w:val="009D5B98"/>
    <w:rsid w:val="009D7339"/>
    <w:rsid w:val="009E048D"/>
    <w:rsid w:val="009E2E1D"/>
    <w:rsid w:val="009E3EBA"/>
    <w:rsid w:val="009E58C3"/>
    <w:rsid w:val="009E643D"/>
    <w:rsid w:val="009E7128"/>
    <w:rsid w:val="009E730B"/>
    <w:rsid w:val="009F0515"/>
    <w:rsid w:val="009F06CB"/>
    <w:rsid w:val="009F0719"/>
    <w:rsid w:val="009F25C3"/>
    <w:rsid w:val="009F34B8"/>
    <w:rsid w:val="009F36F0"/>
    <w:rsid w:val="009F371E"/>
    <w:rsid w:val="009F4DB7"/>
    <w:rsid w:val="009F5376"/>
    <w:rsid w:val="009F5FB9"/>
    <w:rsid w:val="009F65BE"/>
    <w:rsid w:val="009F762B"/>
    <w:rsid w:val="00A00132"/>
    <w:rsid w:val="00A01E5F"/>
    <w:rsid w:val="00A045DF"/>
    <w:rsid w:val="00A056BB"/>
    <w:rsid w:val="00A062C3"/>
    <w:rsid w:val="00A101C2"/>
    <w:rsid w:val="00A1024F"/>
    <w:rsid w:val="00A11518"/>
    <w:rsid w:val="00A11793"/>
    <w:rsid w:val="00A17DDB"/>
    <w:rsid w:val="00A20E90"/>
    <w:rsid w:val="00A252C9"/>
    <w:rsid w:val="00A253D4"/>
    <w:rsid w:val="00A2547E"/>
    <w:rsid w:val="00A2572A"/>
    <w:rsid w:val="00A26C55"/>
    <w:rsid w:val="00A26DD1"/>
    <w:rsid w:val="00A277AE"/>
    <w:rsid w:val="00A27E10"/>
    <w:rsid w:val="00A317E8"/>
    <w:rsid w:val="00A34734"/>
    <w:rsid w:val="00A352AF"/>
    <w:rsid w:val="00A35BAD"/>
    <w:rsid w:val="00A371B4"/>
    <w:rsid w:val="00A4040C"/>
    <w:rsid w:val="00A4128B"/>
    <w:rsid w:val="00A413C7"/>
    <w:rsid w:val="00A417FD"/>
    <w:rsid w:val="00A443B0"/>
    <w:rsid w:val="00A44D77"/>
    <w:rsid w:val="00A45565"/>
    <w:rsid w:val="00A4599D"/>
    <w:rsid w:val="00A46542"/>
    <w:rsid w:val="00A47E52"/>
    <w:rsid w:val="00A525AD"/>
    <w:rsid w:val="00A5342B"/>
    <w:rsid w:val="00A546C6"/>
    <w:rsid w:val="00A55D55"/>
    <w:rsid w:val="00A56A02"/>
    <w:rsid w:val="00A57F28"/>
    <w:rsid w:val="00A61651"/>
    <w:rsid w:val="00A622A2"/>
    <w:rsid w:val="00A65F36"/>
    <w:rsid w:val="00A660E9"/>
    <w:rsid w:val="00A71459"/>
    <w:rsid w:val="00A7206D"/>
    <w:rsid w:val="00A73228"/>
    <w:rsid w:val="00A74685"/>
    <w:rsid w:val="00A74F85"/>
    <w:rsid w:val="00A7585F"/>
    <w:rsid w:val="00A767CB"/>
    <w:rsid w:val="00A7723A"/>
    <w:rsid w:val="00A77A72"/>
    <w:rsid w:val="00A77B58"/>
    <w:rsid w:val="00A80260"/>
    <w:rsid w:val="00A8048F"/>
    <w:rsid w:val="00A82E85"/>
    <w:rsid w:val="00A82EB0"/>
    <w:rsid w:val="00A8376D"/>
    <w:rsid w:val="00A86368"/>
    <w:rsid w:val="00A86459"/>
    <w:rsid w:val="00A869D5"/>
    <w:rsid w:val="00A90547"/>
    <w:rsid w:val="00A9288C"/>
    <w:rsid w:val="00A953BC"/>
    <w:rsid w:val="00AA28C5"/>
    <w:rsid w:val="00AA2B5A"/>
    <w:rsid w:val="00AA3254"/>
    <w:rsid w:val="00AA48B8"/>
    <w:rsid w:val="00AA4FC8"/>
    <w:rsid w:val="00AA7590"/>
    <w:rsid w:val="00AA7EB7"/>
    <w:rsid w:val="00AB230F"/>
    <w:rsid w:val="00AB4287"/>
    <w:rsid w:val="00AB4668"/>
    <w:rsid w:val="00AB47BE"/>
    <w:rsid w:val="00AB5547"/>
    <w:rsid w:val="00AB59DA"/>
    <w:rsid w:val="00AB6CCB"/>
    <w:rsid w:val="00AB7257"/>
    <w:rsid w:val="00AB7646"/>
    <w:rsid w:val="00AC1D98"/>
    <w:rsid w:val="00AC24C4"/>
    <w:rsid w:val="00AC357C"/>
    <w:rsid w:val="00AC4E8F"/>
    <w:rsid w:val="00AC5C68"/>
    <w:rsid w:val="00AC6DD9"/>
    <w:rsid w:val="00AC6F35"/>
    <w:rsid w:val="00AC70CD"/>
    <w:rsid w:val="00AD1157"/>
    <w:rsid w:val="00AD280E"/>
    <w:rsid w:val="00AD53FA"/>
    <w:rsid w:val="00AD5614"/>
    <w:rsid w:val="00AE2326"/>
    <w:rsid w:val="00AE2829"/>
    <w:rsid w:val="00AE2A59"/>
    <w:rsid w:val="00AE3B2B"/>
    <w:rsid w:val="00AE41A8"/>
    <w:rsid w:val="00AE427A"/>
    <w:rsid w:val="00AE444D"/>
    <w:rsid w:val="00AE46BE"/>
    <w:rsid w:val="00AE4C8C"/>
    <w:rsid w:val="00AE4FE0"/>
    <w:rsid w:val="00AE528F"/>
    <w:rsid w:val="00AE6784"/>
    <w:rsid w:val="00AE75F3"/>
    <w:rsid w:val="00AF0028"/>
    <w:rsid w:val="00AF09D9"/>
    <w:rsid w:val="00AF115B"/>
    <w:rsid w:val="00AF22D8"/>
    <w:rsid w:val="00AF2D48"/>
    <w:rsid w:val="00AF4CE9"/>
    <w:rsid w:val="00AF74B6"/>
    <w:rsid w:val="00B014C0"/>
    <w:rsid w:val="00B01FCD"/>
    <w:rsid w:val="00B0222D"/>
    <w:rsid w:val="00B02460"/>
    <w:rsid w:val="00B059B2"/>
    <w:rsid w:val="00B067EB"/>
    <w:rsid w:val="00B06987"/>
    <w:rsid w:val="00B075C0"/>
    <w:rsid w:val="00B10C7E"/>
    <w:rsid w:val="00B13098"/>
    <w:rsid w:val="00B142C9"/>
    <w:rsid w:val="00B1702D"/>
    <w:rsid w:val="00B171BD"/>
    <w:rsid w:val="00B209D7"/>
    <w:rsid w:val="00B22A89"/>
    <w:rsid w:val="00B239A1"/>
    <w:rsid w:val="00B2468E"/>
    <w:rsid w:val="00B26C69"/>
    <w:rsid w:val="00B30CED"/>
    <w:rsid w:val="00B31D0C"/>
    <w:rsid w:val="00B32762"/>
    <w:rsid w:val="00B32879"/>
    <w:rsid w:val="00B35EA6"/>
    <w:rsid w:val="00B36059"/>
    <w:rsid w:val="00B36445"/>
    <w:rsid w:val="00B36FF1"/>
    <w:rsid w:val="00B375C8"/>
    <w:rsid w:val="00B37AA7"/>
    <w:rsid w:val="00B40872"/>
    <w:rsid w:val="00B41523"/>
    <w:rsid w:val="00B41559"/>
    <w:rsid w:val="00B448C9"/>
    <w:rsid w:val="00B44FEB"/>
    <w:rsid w:val="00B506DB"/>
    <w:rsid w:val="00B50ABB"/>
    <w:rsid w:val="00B52BD4"/>
    <w:rsid w:val="00B534BA"/>
    <w:rsid w:val="00B53758"/>
    <w:rsid w:val="00B5503B"/>
    <w:rsid w:val="00B553A4"/>
    <w:rsid w:val="00B56171"/>
    <w:rsid w:val="00B57C1D"/>
    <w:rsid w:val="00B57D67"/>
    <w:rsid w:val="00B6133D"/>
    <w:rsid w:val="00B61A9C"/>
    <w:rsid w:val="00B64083"/>
    <w:rsid w:val="00B640D2"/>
    <w:rsid w:val="00B64154"/>
    <w:rsid w:val="00B648AE"/>
    <w:rsid w:val="00B659BD"/>
    <w:rsid w:val="00B65B30"/>
    <w:rsid w:val="00B7016E"/>
    <w:rsid w:val="00B77F1A"/>
    <w:rsid w:val="00B80B68"/>
    <w:rsid w:val="00B80B90"/>
    <w:rsid w:val="00B85AA1"/>
    <w:rsid w:val="00B85BBC"/>
    <w:rsid w:val="00B8639D"/>
    <w:rsid w:val="00B874E4"/>
    <w:rsid w:val="00B87ACA"/>
    <w:rsid w:val="00B914EA"/>
    <w:rsid w:val="00B93349"/>
    <w:rsid w:val="00B96928"/>
    <w:rsid w:val="00BA2716"/>
    <w:rsid w:val="00BA2B22"/>
    <w:rsid w:val="00BA2D33"/>
    <w:rsid w:val="00BA3055"/>
    <w:rsid w:val="00BA4F82"/>
    <w:rsid w:val="00BA5305"/>
    <w:rsid w:val="00BA53DE"/>
    <w:rsid w:val="00BA6517"/>
    <w:rsid w:val="00BA6B98"/>
    <w:rsid w:val="00BB1B41"/>
    <w:rsid w:val="00BB3AF1"/>
    <w:rsid w:val="00BB3B7B"/>
    <w:rsid w:val="00BB3C23"/>
    <w:rsid w:val="00BB689D"/>
    <w:rsid w:val="00BB6D20"/>
    <w:rsid w:val="00BB7B6B"/>
    <w:rsid w:val="00BC05C2"/>
    <w:rsid w:val="00BC2EC4"/>
    <w:rsid w:val="00BC3D39"/>
    <w:rsid w:val="00BC5280"/>
    <w:rsid w:val="00BD2A37"/>
    <w:rsid w:val="00BD4C0F"/>
    <w:rsid w:val="00BD5251"/>
    <w:rsid w:val="00BD55F0"/>
    <w:rsid w:val="00BD6B64"/>
    <w:rsid w:val="00BE288D"/>
    <w:rsid w:val="00BE5F5B"/>
    <w:rsid w:val="00BF0BBB"/>
    <w:rsid w:val="00BF0BF0"/>
    <w:rsid w:val="00BF14FD"/>
    <w:rsid w:val="00BF17C7"/>
    <w:rsid w:val="00BF49CA"/>
    <w:rsid w:val="00BF4EB0"/>
    <w:rsid w:val="00BF540C"/>
    <w:rsid w:val="00BF6F71"/>
    <w:rsid w:val="00C01998"/>
    <w:rsid w:val="00C03C6F"/>
    <w:rsid w:val="00C043DE"/>
    <w:rsid w:val="00C07499"/>
    <w:rsid w:val="00C105A4"/>
    <w:rsid w:val="00C108A1"/>
    <w:rsid w:val="00C1237A"/>
    <w:rsid w:val="00C15529"/>
    <w:rsid w:val="00C15A0B"/>
    <w:rsid w:val="00C15E03"/>
    <w:rsid w:val="00C17223"/>
    <w:rsid w:val="00C210A4"/>
    <w:rsid w:val="00C21129"/>
    <w:rsid w:val="00C212AF"/>
    <w:rsid w:val="00C214CB"/>
    <w:rsid w:val="00C219D2"/>
    <w:rsid w:val="00C30D60"/>
    <w:rsid w:val="00C31639"/>
    <w:rsid w:val="00C31E7C"/>
    <w:rsid w:val="00C3266E"/>
    <w:rsid w:val="00C3352A"/>
    <w:rsid w:val="00C34BCD"/>
    <w:rsid w:val="00C362DB"/>
    <w:rsid w:val="00C37F05"/>
    <w:rsid w:val="00C40039"/>
    <w:rsid w:val="00C40D1E"/>
    <w:rsid w:val="00C417AA"/>
    <w:rsid w:val="00C42027"/>
    <w:rsid w:val="00C42052"/>
    <w:rsid w:val="00C4254C"/>
    <w:rsid w:val="00C42C5A"/>
    <w:rsid w:val="00C435F1"/>
    <w:rsid w:val="00C44070"/>
    <w:rsid w:val="00C444F5"/>
    <w:rsid w:val="00C44E8B"/>
    <w:rsid w:val="00C455A7"/>
    <w:rsid w:val="00C47DDA"/>
    <w:rsid w:val="00C515A9"/>
    <w:rsid w:val="00C51B55"/>
    <w:rsid w:val="00C525A0"/>
    <w:rsid w:val="00C539F3"/>
    <w:rsid w:val="00C600CF"/>
    <w:rsid w:val="00C614FC"/>
    <w:rsid w:val="00C6153D"/>
    <w:rsid w:val="00C6194C"/>
    <w:rsid w:val="00C62467"/>
    <w:rsid w:val="00C63D0A"/>
    <w:rsid w:val="00C66EC2"/>
    <w:rsid w:val="00C7025C"/>
    <w:rsid w:val="00C71834"/>
    <w:rsid w:val="00C718C3"/>
    <w:rsid w:val="00C72394"/>
    <w:rsid w:val="00C729A3"/>
    <w:rsid w:val="00C72E39"/>
    <w:rsid w:val="00C72EA6"/>
    <w:rsid w:val="00C76A94"/>
    <w:rsid w:val="00C77903"/>
    <w:rsid w:val="00C82757"/>
    <w:rsid w:val="00C843E1"/>
    <w:rsid w:val="00C909E8"/>
    <w:rsid w:val="00C92067"/>
    <w:rsid w:val="00C932BE"/>
    <w:rsid w:val="00C9355C"/>
    <w:rsid w:val="00C956E1"/>
    <w:rsid w:val="00C95EA2"/>
    <w:rsid w:val="00C9622F"/>
    <w:rsid w:val="00C972C1"/>
    <w:rsid w:val="00C975C0"/>
    <w:rsid w:val="00CA12C0"/>
    <w:rsid w:val="00CA1616"/>
    <w:rsid w:val="00CA217C"/>
    <w:rsid w:val="00CA2A0B"/>
    <w:rsid w:val="00CA3079"/>
    <w:rsid w:val="00CA3A76"/>
    <w:rsid w:val="00CA4D5C"/>
    <w:rsid w:val="00CA51D8"/>
    <w:rsid w:val="00CA59FC"/>
    <w:rsid w:val="00CA66BF"/>
    <w:rsid w:val="00CA6723"/>
    <w:rsid w:val="00CA6C53"/>
    <w:rsid w:val="00CA7E7B"/>
    <w:rsid w:val="00CA7F57"/>
    <w:rsid w:val="00CB002F"/>
    <w:rsid w:val="00CB0189"/>
    <w:rsid w:val="00CB01BE"/>
    <w:rsid w:val="00CB0C0A"/>
    <w:rsid w:val="00CB13BF"/>
    <w:rsid w:val="00CB1A30"/>
    <w:rsid w:val="00CB2809"/>
    <w:rsid w:val="00CB2994"/>
    <w:rsid w:val="00CB3215"/>
    <w:rsid w:val="00CB3A23"/>
    <w:rsid w:val="00CB48EE"/>
    <w:rsid w:val="00CC2C8C"/>
    <w:rsid w:val="00CC3DB4"/>
    <w:rsid w:val="00CC416F"/>
    <w:rsid w:val="00CC4EEB"/>
    <w:rsid w:val="00CC532E"/>
    <w:rsid w:val="00CC56E3"/>
    <w:rsid w:val="00CC778F"/>
    <w:rsid w:val="00CD0FCE"/>
    <w:rsid w:val="00CD1230"/>
    <w:rsid w:val="00CD1EE8"/>
    <w:rsid w:val="00CD346B"/>
    <w:rsid w:val="00CD4633"/>
    <w:rsid w:val="00CD4D68"/>
    <w:rsid w:val="00CD4D85"/>
    <w:rsid w:val="00CD560A"/>
    <w:rsid w:val="00CD590C"/>
    <w:rsid w:val="00CD5978"/>
    <w:rsid w:val="00CD6760"/>
    <w:rsid w:val="00CD7C8C"/>
    <w:rsid w:val="00CE0C89"/>
    <w:rsid w:val="00CE14E5"/>
    <w:rsid w:val="00CE33C6"/>
    <w:rsid w:val="00CE727B"/>
    <w:rsid w:val="00CF01AF"/>
    <w:rsid w:val="00CF026C"/>
    <w:rsid w:val="00CF0B89"/>
    <w:rsid w:val="00CF4FD9"/>
    <w:rsid w:val="00CF518E"/>
    <w:rsid w:val="00CF591A"/>
    <w:rsid w:val="00CF6307"/>
    <w:rsid w:val="00CF6AF8"/>
    <w:rsid w:val="00CF6EE6"/>
    <w:rsid w:val="00D006A7"/>
    <w:rsid w:val="00D014C0"/>
    <w:rsid w:val="00D01E9F"/>
    <w:rsid w:val="00D024D8"/>
    <w:rsid w:val="00D029D3"/>
    <w:rsid w:val="00D03019"/>
    <w:rsid w:val="00D0478D"/>
    <w:rsid w:val="00D05726"/>
    <w:rsid w:val="00D07399"/>
    <w:rsid w:val="00D10289"/>
    <w:rsid w:val="00D11221"/>
    <w:rsid w:val="00D11B5B"/>
    <w:rsid w:val="00D14DB6"/>
    <w:rsid w:val="00D1535D"/>
    <w:rsid w:val="00D158B6"/>
    <w:rsid w:val="00D15AC8"/>
    <w:rsid w:val="00D15AF3"/>
    <w:rsid w:val="00D17F63"/>
    <w:rsid w:val="00D211DC"/>
    <w:rsid w:val="00D22064"/>
    <w:rsid w:val="00D22341"/>
    <w:rsid w:val="00D22785"/>
    <w:rsid w:val="00D228B4"/>
    <w:rsid w:val="00D23D9D"/>
    <w:rsid w:val="00D24A29"/>
    <w:rsid w:val="00D24BE3"/>
    <w:rsid w:val="00D26C06"/>
    <w:rsid w:val="00D26D91"/>
    <w:rsid w:val="00D31927"/>
    <w:rsid w:val="00D36091"/>
    <w:rsid w:val="00D369C2"/>
    <w:rsid w:val="00D40370"/>
    <w:rsid w:val="00D408B4"/>
    <w:rsid w:val="00D421B0"/>
    <w:rsid w:val="00D42DC4"/>
    <w:rsid w:val="00D469F1"/>
    <w:rsid w:val="00D4764E"/>
    <w:rsid w:val="00D517F8"/>
    <w:rsid w:val="00D527EB"/>
    <w:rsid w:val="00D54878"/>
    <w:rsid w:val="00D55857"/>
    <w:rsid w:val="00D569E0"/>
    <w:rsid w:val="00D57D5A"/>
    <w:rsid w:val="00D60734"/>
    <w:rsid w:val="00D6132B"/>
    <w:rsid w:val="00D63B07"/>
    <w:rsid w:val="00D64206"/>
    <w:rsid w:val="00D65375"/>
    <w:rsid w:val="00D65692"/>
    <w:rsid w:val="00D65C67"/>
    <w:rsid w:val="00D708B3"/>
    <w:rsid w:val="00D7311A"/>
    <w:rsid w:val="00D74BF9"/>
    <w:rsid w:val="00D8193B"/>
    <w:rsid w:val="00D82B9A"/>
    <w:rsid w:val="00D83628"/>
    <w:rsid w:val="00D87C96"/>
    <w:rsid w:val="00D90C20"/>
    <w:rsid w:val="00D92569"/>
    <w:rsid w:val="00D93C44"/>
    <w:rsid w:val="00D93C54"/>
    <w:rsid w:val="00D94174"/>
    <w:rsid w:val="00D95003"/>
    <w:rsid w:val="00D95C0D"/>
    <w:rsid w:val="00D96B5A"/>
    <w:rsid w:val="00DA15C0"/>
    <w:rsid w:val="00DA38AE"/>
    <w:rsid w:val="00DA4811"/>
    <w:rsid w:val="00DA6CF5"/>
    <w:rsid w:val="00DB3B6C"/>
    <w:rsid w:val="00DB6FE4"/>
    <w:rsid w:val="00DC12EE"/>
    <w:rsid w:val="00DC2D9A"/>
    <w:rsid w:val="00DC325B"/>
    <w:rsid w:val="00DC4DFB"/>
    <w:rsid w:val="00DC63BF"/>
    <w:rsid w:val="00DC66A1"/>
    <w:rsid w:val="00DC7443"/>
    <w:rsid w:val="00DC786F"/>
    <w:rsid w:val="00DC7EAB"/>
    <w:rsid w:val="00DD11AE"/>
    <w:rsid w:val="00DD2AEE"/>
    <w:rsid w:val="00DD4D9F"/>
    <w:rsid w:val="00DD54CA"/>
    <w:rsid w:val="00DD5517"/>
    <w:rsid w:val="00DD7829"/>
    <w:rsid w:val="00DE13C0"/>
    <w:rsid w:val="00DE15A1"/>
    <w:rsid w:val="00DE30A4"/>
    <w:rsid w:val="00DE454B"/>
    <w:rsid w:val="00DE57C0"/>
    <w:rsid w:val="00DE5CBF"/>
    <w:rsid w:val="00DE745D"/>
    <w:rsid w:val="00DE7FA6"/>
    <w:rsid w:val="00DF049A"/>
    <w:rsid w:val="00DF140E"/>
    <w:rsid w:val="00DF32F2"/>
    <w:rsid w:val="00DF38FE"/>
    <w:rsid w:val="00DF4ADF"/>
    <w:rsid w:val="00DF4EE6"/>
    <w:rsid w:val="00DF7266"/>
    <w:rsid w:val="00DF7499"/>
    <w:rsid w:val="00E13883"/>
    <w:rsid w:val="00E13F35"/>
    <w:rsid w:val="00E167D8"/>
    <w:rsid w:val="00E202F1"/>
    <w:rsid w:val="00E20C1B"/>
    <w:rsid w:val="00E20F25"/>
    <w:rsid w:val="00E22C2C"/>
    <w:rsid w:val="00E22FC7"/>
    <w:rsid w:val="00E22FD9"/>
    <w:rsid w:val="00E230A0"/>
    <w:rsid w:val="00E242A6"/>
    <w:rsid w:val="00E27A21"/>
    <w:rsid w:val="00E324A1"/>
    <w:rsid w:val="00E33DD1"/>
    <w:rsid w:val="00E3779C"/>
    <w:rsid w:val="00E41343"/>
    <w:rsid w:val="00E42575"/>
    <w:rsid w:val="00E43231"/>
    <w:rsid w:val="00E44301"/>
    <w:rsid w:val="00E45311"/>
    <w:rsid w:val="00E45B40"/>
    <w:rsid w:val="00E45ED3"/>
    <w:rsid w:val="00E4638A"/>
    <w:rsid w:val="00E46D39"/>
    <w:rsid w:val="00E536B7"/>
    <w:rsid w:val="00E54E2B"/>
    <w:rsid w:val="00E63CCF"/>
    <w:rsid w:val="00E65A41"/>
    <w:rsid w:val="00E70DC4"/>
    <w:rsid w:val="00E712BF"/>
    <w:rsid w:val="00E72501"/>
    <w:rsid w:val="00E73972"/>
    <w:rsid w:val="00E76223"/>
    <w:rsid w:val="00E76905"/>
    <w:rsid w:val="00E80E35"/>
    <w:rsid w:val="00E80E8D"/>
    <w:rsid w:val="00E81B33"/>
    <w:rsid w:val="00E8494E"/>
    <w:rsid w:val="00E91003"/>
    <w:rsid w:val="00E91E6F"/>
    <w:rsid w:val="00E92A2A"/>
    <w:rsid w:val="00E93F28"/>
    <w:rsid w:val="00E965FD"/>
    <w:rsid w:val="00E96B51"/>
    <w:rsid w:val="00E96E33"/>
    <w:rsid w:val="00E9714A"/>
    <w:rsid w:val="00E974B2"/>
    <w:rsid w:val="00E97790"/>
    <w:rsid w:val="00EA2851"/>
    <w:rsid w:val="00EA4B5B"/>
    <w:rsid w:val="00EA5D3F"/>
    <w:rsid w:val="00EA732A"/>
    <w:rsid w:val="00EB1B0E"/>
    <w:rsid w:val="00EB2A4A"/>
    <w:rsid w:val="00EB52F8"/>
    <w:rsid w:val="00EB6FE0"/>
    <w:rsid w:val="00EC0FE5"/>
    <w:rsid w:val="00EC18F8"/>
    <w:rsid w:val="00EC21FA"/>
    <w:rsid w:val="00EC4F09"/>
    <w:rsid w:val="00EC6B92"/>
    <w:rsid w:val="00EC7545"/>
    <w:rsid w:val="00EC7A2E"/>
    <w:rsid w:val="00ED0E4A"/>
    <w:rsid w:val="00ED2961"/>
    <w:rsid w:val="00ED2C63"/>
    <w:rsid w:val="00ED5A89"/>
    <w:rsid w:val="00ED5B33"/>
    <w:rsid w:val="00ED7976"/>
    <w:rsid w:val="00ED7A56"/>
    <w:rsid w:val="00EE0EB1"/>
    <w:rsid w:val="00EE2706"/>
    <w:rsid w:val="00EE33D5"/>
    <w:rsid w:val="00EE3839"/>
    <w:rsid w:val="00EE4E20"/>
    <w:rsid w:val="00EE4FDC"/>
    <w:rsid w:val="00EE756E"/>
    <w:rsid w:val="00EE7C39"/>
    <w:rsid w:val="00EE7C54"/>
    <w:rsid w:val="00EF08AF"/>
    <w:rsid w:val="00EF39F9"/>
    <w:rsid w:val="00EF4E81"/>
    <w:rsid w:val="00EF649C"/>
    <w:rsid w:val="00F03E69"/>
    <w:rsid w:val="00F04268"/>
    <w:rsid w:val="00F061E6"/>
    <w:rsid w:val="00F0676F"/>
    <w:rsid w:val="00F06D40"/>
    <w:rsid w:val="00F072EB"/>
    <w:rsid w:val="00F07F71"/>
    <w:rsid w:val="00F110EC"/>
    <w:rsid w:val="00F1170A"/>
    <w:rsid w:val="00F11950"/>
    <w:rsid w:val="00F122B7"/>
    <w:rsid w:val="00F123B3"/>
    <w:rsid w:val="00F13061"/>
    <w:rsid w:val="00F1453C"/>
    <w:rsid w:val="00F15773"/>
    <w:rsid w:val="00F17853"/>
    <w:rsid w:val="00F17F7C"/>
    <w:rsid w:val="00F20F27"/>
    <w:rsid w:val="00F22F21"/>
    <w:rsid w:val="00F240ED"/>
    <w:rsid w:val="00F272A3"/>
    <w:rsid w:val="00F31790"/>
    <w:rsid w:val="00F33EAF"/>
    <w:rsid w:val="00F33EE7"/>
    <w:rsid w:val="00F34998"/>
    <w:rsid w:val="00F35F2C"/>
    <w:rsid w:val="00F37236"/>
    <w:rsid w:val="00F37261"/>
    <w:rsid w:val="00F372A1"/>
    <w:rsid w:val="00F4167E"/>
    <w:rsid w:val="00F41683"/>
    <w:rsid w:val="00F4176C"/>
    <w:rsid w:val="00F41B56"/>
    <w:rsid w:val="00F45C89"/>
    <w:rsid w:val="00F47258"/>
    <w:rsid w:val="00F507FA"/>
    <w:rsid w:val="00F525D3"/>
    <w:rsid w:val="00F52FB7"/>
    <w:rsid w:val="00F53828"/>
    <w:rsid w:val="00F54865"/>
    <w:rsid w:val="00F566E8"/>
    <w:rsid w:val="00F618AC"/>
    <w:rsid w:val="00F61AD3"/>
    <w:rsid w:val="00F626C5"/>
    <w:rsid w:val="00F62D1E"/>
    <w:rsid w:val="00F6456B"/>
    <w:rsid w:val="00F706A1"/>
    <w:rsid w:val="00F713A1"/>
    <w:rsid w:val="00F7289A"/>
    <w:rsid w:val="00F738EC"/>
    <w:rsid w:val="00F739D2"/>
    <w:rsid w:val="00F73BEE"/>
    <w:rsid w:val="00F74067"/>
    <w:rsid w:val="00F773F6"/>
    <w:rsid w:val="00F77DD3"/>
    <w:rsid w:val="00F80619"/>
    <w:rsid w:val="00F809E1"/>
    <w:rsid w:val="00F820DB"/>
    <w:rsid w:val="00F823C2"/>
    <w:rsid w:val="00F82C0E"/>
    <w:rsid w:val="00F856C8"/>
    <w:rsid w:val="00F858E3"/>
    <w:rsid w:val="00F90DBB"/>
    <w:rsid w:val="00F914F4"/>
    <w:rsid w:val="00F96A97"/>
    <w:rsid w:val="00F9709C"/>
    <w:rsid w:val="00F9739D"/>
    <w:rsid w:val="00FA1DE6"/>
    <w:rsid w:val="00FA2ED6"/>
    <w:rsid w:val="00FA50BB"/>
    <w:rsid w:val="00FB0F98"/>
    <w:rsid w:val="00FB20E6"/>
    <w:rsid w:val="00FB472E"/>
    <w:rsid w:val="00FB54EB"/>
    <w:rsid w:val="00FC3E64"/>
    <w:rsid w:val="00FC4DD9"/>
    <w:rsid w:val="00FC5258"/>
    <w:rsid w:val="00FD243E"/>
    <w:rsid w:val="00FD2BB5"/>
    <w:rsid w:val="00FD321D"/>
    <w:rsid w:val="00FD552A"/>
    <w:rsid w:val="00FD5771"/>
    <w:rsid w:val="00FD60B8"/>
    <w:rsid w:val="00FE1CBB"/>
    <w:rsid w:val="00FE2137"/>
    <w:rsid w:val="00FE45E8"/>
    <w:rsid w:val="00FE45F5"/>
    <w:rsid w:val="00FE4BF3"/>
    <w:rsid w:val="00FE5A4C"/>
    <w:rsid w:val="00FE7C90"/>
    <w:rsid w:val="00FF006A"/>
    <w:rsid w:val="00FF0797"/>
    <w:rsid w:val="00FF17AD"/>
    <w:rsid w:val="00FF5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646"/>
    <w:pPr>
      <w:spacing w:after="120"/>
      <w:ind w:firstLine="567"/>
      <w:jc w:val="both"/>
    </w:pPr>
    <w:rPr>
      <w:rFonts w:ascii="Times New Roman" w:eastAsia="Times New Roman" w:hAnsi="Times New Roman" w:cs="Times New Roman"/>
      <w:sz w:val="24"/>
      <w:szCs w:val="24"/>
      <w:lang w:eastAsia="es-ES"/>
    </w:rPr>
  </w:style>
  <w:style w:type="paragraph" w:styleId="Heading2">
    <w:name w:val="heading 2"/>
    <w:basedOn w:val="Normal"/>
    <w:link w:val="Heading2Char"/>
    <w:uiPriority w:val="9"/>
    <w:qFormat/>
    <w:rsid w:val="00852499"/>
    <w:pPr>
      <w:spacing w:before="100" w:beforeAutospacing="1" w:after="100" w:afterAutospacing="1"/>
      <w:ind w:firstLine="0"/>
      <w:jc w:val="left"/>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1C7B"/>
    <w:pPr>
      <w:tabs>
        <w:tab w:val="center" w:pos="4513"/>
        <w:tab w:val="right" w:pos="9026"/>
      </w:tabs>
      <w:spacing w:after="0"/>
    </w:pPr>
  </w:style>
  <w:style w:type="character" w:customStyle="1" w:styleId="HeaderChar">
    <w:name w:val="Header Char"/>
    <w:basedOn w:val="DefaultParagraphFont"/>
    <w:link w:val="Header"/>
    <w:uiPriority w:val="99"/>
    <w:semiHidden/>
    <w:rsid w:val="002B1C7B"/>
    <w:rPr>
      <w:rFonts w:ascii="Times New Roman" w:eastAsia="Times New Roman" w:hAnsi="Times New Roman" w:cs="Times New Roman"/>
      <w:sz w:val="24"/>
      <w:szCs w:val="24"/>
      <w:lang w:eastAsia="es-ES"/>
    </w:rPr>
  </w:style>
  <w:style w:type="paragraph" w:styleId="Footer">
    <w:name w:val="footer"/>
    <w:basedOn w:val="Normal"/>
    <w:link w:val="FooterChar"/>
    <w:uiPriority w:val="99"/>
    <w:unhideWhenUsed/>
    <w:rsid w:val="002B1C7B"/>
    <w:pPr>
      <w:tabs>
        <w:tab w:val="center" w:pos="4513"/>
        <w:tab w:val="right" w:pos="9026"/>
      </w:tabs>
      <w:spacing w:after="0"/>
    </w:pPr>
  </w:style>
  <w:style w:type="character" w:customStyle="1" w:styleId="FooterChar">
    <w:name w:val="Footer Char"/>
    <w:basedOn w:val="DefaultParagraphFont"/>
    <w:link w:val="Footer"/>
    <w:uiPriority w:val="99"/>
    <w:rsid w:val="002B1C7B"/>
    <w:rPr>
      <w:rFonts w:ascii="Times New Roman" w:eastAsia="Times New Roman" w:hAnsi="Times New Roman" w:cs="Times New Roman"/>
      <w:sz w:val="24"/>
      <w:szCs w:val="24"/>
      <w:lang w:eastAsia="es-ES"/>
    </w:rPr>
  </w:style>
  <w:style w:type="paragraph" w:customStyle="1" w:styleId="Normaali1">
    <w:name w:val="Normaali1"/>
    <w:uiPriority w:val="99"/>
    <w:rsid w:val="00A546C6"/>
    <w:pPr>
      <w:widowControl w:val="0"/>
      <w:adjustRightInd w:val="0"/>
      <w:spacing w:line="360" w:lineRule="auto"/>
      <w:jc w:val="both"/>
      <w:textAlignment w:val="baseline"/>
    </w:pPr>
    <w:rPr>
      <w:rFonts w:ascii="Dutch" w:eastAsia="Times New Roman" w:hAnsi="Dutch" w:cs="Times New Roman"/>
      <w:sz w:val="24"/>
      <w:szCs w:val="20"/>
      <w:lang w:val="fi-FI" w:eastAsia="fi-FI"/>
    </w:rPr>
  </w:style>
  <w:style w:type="character" w:customStyle="1" w:styleId="slug-metadata-note3">
    <w:name w:val="slug-metadata-note3"/>
    <w:basedOn w:val="DefaultParagraphFont"/>
    <w:rsid w:val="006D2DF9"/>
    <w:rPr>
      <w:vanish w:val="0"/>
      <w:webHidden w:val="0"/>
      <w:specVanish w:val="0"/>
    </w:rPr>
  </w:style>
  <w:style w:type="character" w:customStyle="1" w:styleId="st2">
    <w:name w:val="st2"/>
    <w:basedOn w:val="DefaultParagraphFont"/>
    <w:rsid w:val="00737E23"/>
  </w:style>
  <w:style w:type="character" w:customStyle="1" w:styleId="CaptionChar">
    <w:name w:val="Caption Char"/>
    <w:link w:val="Caption"/>
    <w:semiHidden/>
    <w:locked/>
    <w:rsid w:val="00640027"/>
    <w:rPr>
      <w:b/>
      <w:bCs/>
      <w:lang w:val="es-ES" w:eastAsia="es-ES"/>
    </w:rPr>
  </w:style>
  <w:style w:type="paragraph" w:styleId="Caption">
    <w:name w:val="caption"/>
    <w:basedOn w:val="Normal"/>
    <w:next w:val="Normal"/>
    <w:link w:val="CaptionChar"/>
    <w:semiHidden/>
    <w:unhideWhenUsed/>
    <w:qFormat/>
    <w:rsid w:val="00640027"/>
    <w:rPr>
      <w:rFonts w:asciiTheme="minorHAnsi" w:eastAsiaTheme="minorHAnsi" w:hAnsiTheme="minorHAnsi" w:cstheme="minorBidi"/>
      <w:b/>
      <w:bCs/>
      <w:sz w:val="22"/>
      <w:szCs w:val="22"/>
      <w:lang w:val="es-ES"/>
    </w:rPr>
  </w:style>
  <w:style w:type="paragraph" w:styleId="FootnoteText">
    <w:name w:val="footnote text"/>
    <w:basedOn w:val="Normal"/>
    <w:link w:val="FootnoteTextChar"/>
    <w:semiHidden/>
    <w:rsid w:val="00B36FF1"/>
    <w:pPr>
      <w:spacing w:after="60"/>
      <w:ind w:firstLine="0"/>
    </w:pPr>
    <w:rPr>
      <w:sz w:val="20"/>
      <w:szCs w:val="20"/>
      <w:lang w:val="es-ES"/>
    </w:rPr>
  </w:style>
  <w:style w:type="character" w:customStyle="1" w:styleId="FootnoteTextChar">
    <w:name w:val="Footnote Text Char"/>
    <w:basedOn w:val="DefaultParagraphFont"/>
    <w:link w:val="FootnoteText"/>
    <w:semiHidden/>
    <w:rsid w:val="00B36FF1"/>
    <w:rPr>
      <w:rFonts w:ascii="Times New Roman" w:eastAsia="Times New Roman" w:hAnsi="Times New Roman" w:cs="Times New Roman"/>
      <w:sz w:val="20"/>
      <w:szCs w:val="20"/>
      <w:lang w:val="es-ES" w:eastAsia="es-ES"/>
    </w:rPr>
  </w:style>
  <w:style w:type="character" w:styleId="FootnoteReference">
    <w:name w:val="footnote reference"/>
    <w:semiHidden/>
    <w:rsid w:val="00B36FF1"/>
    <w:rPr>
      <w:vertAlign w:val="superscript"/>
    </w:rPr>
  </w:style>
  <w:style w:type="paragraph" w:customStyle="1" w:styleId="notaalpia">
    <w:name w:val="notaalpia"/>
    <w:basedOn w:val="FootnoteText"/>
    <w:link w:val="notaalpiaCar"/>
    <w:rsid w:val="00B36FF1"/>
    <w:rPr>
      <w:rFonts w:cs="Arial"/>
      <w:sz w:val="18"/>
      <w:szCs w:val="18"/>
    </w:rPr>
  </w:style>
  <w:style w:type="character" w:customStyle="1" w:styleId="notaalpiaCar">
    <w:name w:val="notaalpia Car"/>
    <w:link w:val="notaalpia"/>
    <w:rsid w:val="00B36FF1"/>
    <w:rPr>
      <w:rFonts w:ascii="Times New Roman" w:eastAsia="Times New Roman" w:hAnsi="Times New Roman" w:cs="Arial"/>
      <w:sz w:val="18"/>
      <w:szCs w:val="18"/>
      <w:lang w:val="es-ES" w:eastAsia="es-ES"/>
    </w:rPr>
  </w:style>
  <w:style w:type="paragraph" w:customStyle="1" w:styleId="tabla">
    <w:name w:val="tabla"/>
    <w:basedOn w:val="Caption"/>
    <w:link w:val="tablaCar"/>
    <w:rsid w:val="00B36FF1"/>
    <w:rPr>
      <w:rFonts w:ascii="Arial" w:eastAsia="Times New Roman" w:hAnsi="Arial" w:cs="Arial"/>
      <w:sz w:val="18"/>
      <w:szCs w:val="18"/>
    </w:rPr>
  </w:style>
  <w:style w:type="character" w:customStyle="1" w:styleId="tablaCar">
    <w:name w:val="tabla Car"/>
    <w:link w:val="tabla"/>
    <w:rsid w:val="00B36FF1"/>
    <w:rPr>
      <w:rFonts w:ascii="Arial" w:eastAsia="Times New Roman" w:hAnsi="Arial" w:cs="Arial"/>
      <w:b/>
      <w:bCs/>
      <w:sz w:val="18"/>
      <w:szCs w:val="18"/>
      <w:lang w:val="es-ES" w:eastAsia="es-ES"/>
    </w:rPr>
  </w:style>
  <w:style w:type="character" w:styleId="Hyperlink">
    <w:name w:val="Hyperlink"/>
    <w:basedOn w:val="DefaultParagraphFont"/>
    <w:uiPriority w:val="99"/>
    <w:unhideWhenUsed/>
    <w:rsid w:val="00831C5A"/>
    <w:rPr>
      <w:color w:val="0000FF" w:themeColor="hyperlink"/>
      <w:u w:val="single"/>
    </w:rPr>
  </w:style>
  <w:style w:type="paragraph" w:styleId="BalloonText">
    <w:name w:val="Balloon Text"/>
    <w:basedOn w:val="Normal"/>
    <w:link w:val="BalloonTextChar"/>
    <w:uiPriority w:val="99"/>
    <w:semiHidden/>
    <w:unhideWhenUsed/>
    <w:rsid w:val="008B5B9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92"/>
    <w:rPr>
      <w:rFonts w:ascii="Tahoma" w:eastAsia="Times New Roman" w:hAnsi="Tahoma" w:cs="Tahoma"/>
      <w:sz w:val="16"/>
      <w:szCs w:val="16"/>
      <w:lang w:eastAsia="es-ES"/>
    </w:rPr>
  </w:style>
  <w:style w:type="character" w:customStyle="1" w:styleId="rwrro">
    <w:name w:val="rwrro"/>
    <w:basedOn w:val="DefaultParagraphFont"/>
    <w:rsid w:val="00512562"/>
  </w:style>
  <w:style w:type="character" w:customStyle="1" w:styleId="rwro">
    <w:name w:val="rwro"/>
    <w:basedOn w:val="DefaultParagraphFont"/>
    <w:rsid w:val="00512562"/>
  </w:style>
  <w:style w:type="character" w:customStyle="1" w:styleId="Heading2Char">
    <w:name w:val="Heading 2 Char"/>
    <w:basedOn w:val="DefaultParagraphFont"/>
    <w:link w:val="Heading2"/>
    <w:uiPriority w:val="9"/>
    <w:rsid w:val="00852499"/>
    <w:rPr>
      <w:rFonts w:ascii="Times New Roman" w:eastAsia="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646"/>
    <w:pPr>
      <w:spacing w:after="120"/>
      <w:ind w:firstLine="567"/>
      <w:jc w:val="both"/>
    </w:pPr>
    <w:rPr>
      <w:rFonts w:ascii="Times New Roman" w:eastAsia="Times New Roman" w:hAnsi="Times New Roman" w:cs="Times New Roman"/>
      <w:sz w:val="24"/>
      <w:szCs w:val="24"/>
      <w:lang w:eastAsia="es-ES"/>
    </w:rPr>
  </w:style>
  <w:style w:type="paragraph" w:styleId="Heading2">
    <w:name w:val="heading 2"/>
    <w:basedOn w:val="Normal"/>
    <w:link w:val="Heading2Char"/>
    <w:uiPriority w:val="9"/>
    <w:qFormat/>
    <w:rsid w:val="00852499"/>
    <w:pPr>
      <w:spacing w:before="100" w:beforeAutospacing="1" w:after="100" w:afterAutospacing="1"/>
      <w:ind w:firstLine="0"/>
      <w:jc w:val="left"/>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1C7B"/>
    <w:pPr>
      <w:tabs>
        <w:tab w:val="center" w:pos="4513"/>
        <w:tab w:val="right" w:pos="9026"/>
      </w:tabs>
      <w:spacing w:after="0"/>
    </w:pPr>
  </w:style>
  <w:style w:type="character" w:customStyle="1" w:styleId="HeaderChar">
    <w:name w:val="Header Char"/>
    <w:basedOn w:val="DefaultParagraphFont"/>
    <w:link w:val="Header"/>
    <w:uiPriority w:val="99"/>
    <w:semiHidden/>
    <w:rsid w:val="002B1C7B"/>
    <w:rPr>
      <w:rFonts w:ascii="Times New Roman" w:eastAsia="Times New Roman" w:hAnsi="Times New Roman" w:cs="Times New Roman"/>
      <w:sz w:val="24"/>
      <w:szCs w:val="24"/>
      <w:lang w:eastAsia="es-ES"/>
    </w:rPr>
  </w:style>
  <w:style w:type="paragraph" w:styleId="Footer">
    <w:name w:val="footer"/>
    <w:basedOn w:val="Normal"/>
    <w:link w:val="FooterChar"/>
    <w:uiPriority w:val="99"/>
    <w:unhideWhenUsed/>
    <w:rsid w:val="002B1C7B"/>
    <w:pPr>
      <w:tabs>
        <w:tab w:val="center" w:pos="4513"/>
        <w:tab w:val="right" w:pos="9026"/>
      </w:tabs>
      <w:spacing w:after="0"/>
    </w:pPr>
  </w:style>
  <w:style w:type="character" w:customStyle="1" w:styleId="FooterChar">
    <w:name w:val="Footer Char"/>
    <w:basedOn w:val="DefaultParagraphFont"/>
    <w:link w:val="Footer"/>
    <w:uiPriority w:val="99"/>
    <w:rsid w:val="002B1C7B"/>
    <w:rPr>
      <w:rFonts w:ascii="Times New Roman" w:eastAsia="Times New Roman" w:hAnsi="Times New Roman" w:cs="Times New Roman"/>
      <w:sz w:val="24"/>
      <w:szCs w:val="24"/>
      <w:lang w:eastAsia="es-ES"/>
    </w:rPr>
  </w:style>
  <w:style w:type="paragraph" w:customStyle="1" w:styleId="Normaali1">
    <w:name w:val="Normaali1"/>
    <w:uiPriority w:val="99"/>
    <w:rsid w:val="00A546C6"/>
    <w:pPr>
      <w:widowControl w:val="0"/>
      <w:adjustRightInd w:val="0"/>
      <w:spacing w:line="360" w:lineRule="auto"/>
      <w:jc w:val="both"/>
      <w:textAlignment w:val="baseline"/>
    </w:pPr>
    <w:rPr>
      <w:rFonts w:ascii="Dutch" w:eastAsia="Times New Roman" w:hAnsi="Dutch" w:cs="Times New Roman"/>
      <w:sz w:val="24"/>
      <w:szCs w:val="20"/>
      <w:lang w:val="fi-FI" w:eastAsia="fi-FI"/>
    </w:rPr>
  </w:style>
  <w:style w:type="character" w:customStyle="1" w:styleId="slug-metadata-note3">
    <w:name w:val="slug-metadata-note3"/>
    <w:basedOn w:val="DefaultParagraphFont"/>
    <w:rsid w:val="006D2DF9"/>
    <w:rPr>
      <w:vanish w:val="0"/>
      <w:webHidden w:val="0"/>
      <w:specVanish w:val="0"/>
    </w:rPr>
  </w:style>
  <w:style w:type="character" w:customStyle="1" w:styleId="st2">
    <w:name w:val="st2"/>
    <w:basedOn w:val="DefaultParagraphFont"/>
    <w:rsid w:val="00737E23"/>
  </w:style>
  <w:style w:type="character" w:customStyle="1" w:styleId="CaptionChar">
    <w:name w:val="Caption Char"/>
    <w:link w:val="Caption"/>
    <w:semiHidden/>
    <w:locked/>
    <w:rsid w:val="00640027"/>
    <w:rPr>
      <w:b/>
      <w:bCs/>
      <w:lang w:val="es-ES" w:eastAsia="es-ES"/>
    </w:rPr>
  </w:style>
  <w:style w:type="paragraph" w:styleId="Caption">
    <w:name w:val="caption"/>
    <w:basedOn w:val="Normal"/>
    <w:next w:val="Normal"/>
    <w:link w:val="CaptionChar"/>
    <w:semiHidden/>
    <w:unhideWhenUsed/>
    <w:qFormat/>
    <w:rsid w:val="00640027"/>
    <w:rPr>
      <w:rFonts w:asciiTheme="minorHAnsi" w:eastAsiaTheme="minorHAnsi" w:hAnsiTheme="minorHAnsi" w:cstheme="minorBidi"/>
      <w:b/>
      <w:bCs/>
      <w:sz w:val="22"/>
      <w:szCs w:val="22"/>
      <w:lang w:val="es-ES"/>
    </w:rPr>
  </w:style>
  <w:style w:type="paragraph" w:styleId="FootnoteText">
    <w:name w:val="footnote text"/>
    <w:basedOn w:val="Normal"/>
    <w:link w:val="FootnoteTextChar"/>
    <w:semiHidden/>
    <w:rsid w:val="00B36FF1"/>
    <w:pPr>
      <w:spacing w:after="60"/>
      <w:ind w:firstLine="0"/>
    </w:pPr>
    <w:rPr>
      <w:sz w:val="20"/>
      <w:szCs w:val="20"/>
      <w:lang w:val="es-ES"/>
    </w:rPr>
  </w:style>
  <w:style w:type="character" w:customStyle="1" w:styleId="FootnoteTextChar">
    <w:name w:val="Footnote Text Char"/>
    <w:basedOn w:val="DefaultParagraphFont"/>
    <w:link w:val="FootnoteText"/>
    <w:semiHidden/>
    <w:rsid w:val="00B36FF1"/>
    <w:rPr>
      <w:rFonts w:ascii="Times New Roman" w:eastAsia="Times New Roman" w:hAnsi="Times New Roman" w:cs="Times New Roman"/>
      <w:sz w:val="20"/>
      <w:szCs w:val="20"/>
      <w:lang w:val="es-ES" w:eastAsia="es-ES"/>
    </w:rPr>
  </w:style>
  <w:style w:type="character" w:styleId="FootnoteReference">
    <w:name w:val="footnote reference"/>
    <w:semiHidden/>
    <w:rsid w:val="00B36FF1"/>
    <w:rPr>
      <w:vertAlign w:val="superscript"/>
    </w:rPr>
  </w:style>
  <w:style w:type="paragraph" w:customStyle="1" w:styleId="notaalpia">
    <w:name w:val="notaalpia"/>
    <w:basedOn w:val="FootnoteText"/>
    <w:link w:val="notaalpiaCar"/>
    <w:rsid w:val="00B36FF1"/>
    <w:rPr>
      <w:rFonts w:cs="Arial"/>
      <w:sz w:val="18"/>
      <w:szCs w:val="18"/>
    </w:rPr>
  </w:style>
  <w:style w:type="character" w:customStyle="1" w:styleId="notaalpiaCar">
    <w:name w:val="notaalpia Car"/>
    <w:link w:val="notaalpia"/>
    <w:rsid w:val="00B36FF1"/>
    <w:rPr>
      <w:rFonts w:ascii="Times New Roman" w:eastAsia="Times New Roman" w:hAnsi="Times New Roman" w:cs="Arial"/>
      <w:sz w:val="18"/>
      <w:szCs w:val="18"/>
      <w:lang w:val="es-ES" w:eastAsia="es-ES"/>
    </w:rPr>
  </w:style>
  <w:style w:type="paragraph" w:customStyle="1" w:styleId="tabla">
    <w:name w:val="tabla"/>
    <w:basedOn w:val="Caption"/>
    <w:link w:val="tablaCar"/>
    <w:rsid w:val="00B36FF1"/>
    <w:rPr>
      <w:rFonts w:ascii="Arial" w:eastAsia="Times New Roman" w:hAnsi="Arial" w:cs="Arial"/>
      <w:sz w:val="18"/>
      <w:szCs w:val="18"/>
    </w:rPr>
  </w:style>
  <w:style w:type="character" w:customStyle="1" w:styleId="tablaCar">
    <w:name w:val="tabla Car"/>
    <w:link w:val="tabla"/>
    <w:rsid w:val="00B36FF1"/>
    <w:rPr>
      <w:rFonts w:ascii="Arial" w:eastAsia="Times New Roman" w:hAnsi="Arial" w:cs="Arial"/>
      <w:b/>
      <w:bCs/>
      <w:sz w:val="18"/>
      <w:szCs w:val="18"/>
      <w:lang w:val="es-ES" w:eastAsia="es-ES"/>
    </w:rPr>
  </w:style>
  <w:style w:type="character" w:styleId="Hyperlink">
    <w:name w:val="Hyperlink"/>
    <w:basedOn w:val="DefaultParagraphFont"/>
    <w:uiPriority w:val="99"/>
    <w:unhideWhenUsed/>
    <w:rsid w:val="00831C5A"/>
    <w:rPr>
      <w:color w:val="0000FF" w:themeColor="hyperlink"/>
      <w:u w:val="single"/>
    </w:rPr>
  </w:style>
  <w:style w:type="paragraph" w:styleId="BalloonText">
    <w:name w:val="Balloon Text"/>
    <w:basedOn w:val="Normal"/>
    <w:link w:val="BalloonTextChar"/>
    <w:uiPriority w:val="99"/>
    <w:semiHidden/>
    <w:unhideWhenUsed/>
    <w:rsid w:val="008B5B9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92"/>
    <w:rPr>
      <w:rFonts w:ascii="Tahoma" w:eastAsia="Times New Roman" w:hAnsi="Tahoma" w:cs="Tahoma"/>
      <w:sz w:val="16"/>
      <w:szCs w:val="16"/>
      <w:lang w:eastAsia="es-ES"/>
    </w:rPr>
  </w:style>
  <w:style w:type="character" w:customStyle="1" w:styleId="rwrro">
    <w:name w:val="rwrro"/>
    <w:basedOn w:val="DefaultParagraphFont"/>
    <w:rsid w:val="00512562"/>
  </w:style>
  <w:style w:type="character" w:customStyle="1" w:styleId="rwro">
    <w:name w:val="rwro"/>
    <w:basedOn w:val="DefaultParagraphFont"/>
    <w:rsid w:val="00512562"/>
  </w:style>
  <w:style w:type="character" w:customStyle="1" w:styleId="Heading2Char">
    <w:name w:val="Heading 2 Char"/>
    <w:basedOn w:val="DefaultParagraphFont"/>
    <w:link w:val="Heading2"/>
    <w:uiPriority w:val="9"/>
    <w:rsid w:val="00852499"/>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0487">
      <w:bodyDiv w:val="1"/>
      <w:marLeft w:val="0"/>
      <w:marRight w:val="0"/>
      <w:marTop w:val="0"/>
      <w:marBottom w:val="0"/>
      <w:divBdr>
        <w:top w:val="none" w:sz="0" w:space="0" w:color="auto"/>
        <w:left w:val="none" w:sz="0" w:space="0" w:color="auto"/>
        <w:bottom w:val="none" w:sz="0" w:space="0" w:color="auto"/>
        <w:right w:val="none" w:sz="0" w:space="0" w:color="auto"/>
      </w:divBdr>
    </w:div>
    <w:div w:id="1237862011">
      <w:bodyDiv w:val="1"/>
      <w:marLeft w:val="0"/>
      <w:marRight w:val="0"/>
      <w:marTop w:val="0"/>
      <w:marBottom w:val="0"/>
      <w:divBdr>
        <w:top w:val="none" w:sz="0" w:space="0" w:color="auto"/>
        <w:left w:val="none" w:sz="0" w:space="0" w:color="auto"/>
        <w:bottom w:val="none" w:sz="0" w:space="0" w:color="auto"/>
        <w:right w:val="none" w:sz="0" w:space="0" w:color="auto"/>
      </w:divBdr>
      <w:divsChild>
        <w:div w:id="1838495226">
          <w:marLeft w:val="0"/>
          <w:marRight w:val="0"/>
          <w:marTop w:val="0"/>
          <w:marBottom w:val="0"/>
          <w:divBdr>
            <w:top w:val="none" w:sz="0" w:space="0" w:color="auto"/>
            <w:left w:val="none" w:sz="0" w:space="0" w:color="auto"/>
            <w:bottom w:val="none" w:sz="0" w:space="0" w:color="auto"/>
            <w:right w:val="none" w:sz="0" w:space="0" w:color="auto"/>
          </w:divBdr>
          <w:divsChild>
            <w:div w:id="1216969432">
              <w:marLeft w:val="0"/>
              <w:marRight w:val="0"/>
              <w:marTop w:val="0"/>
              <w:marBottom w:val="0"/>
              <w:divBdr>
                <w:top w:val="none" w:sz="0" w:space="0" w:color="auto"/>
                <w:left w:val="none" w:sz="0" w:space="0" w:color="auto"/>
                <w:bottom w:val="none" w:sz="0" w:space="0" w:color="auto"/>
                <w:right w:val="none" w:sz="0" w:space="0" w:color="auto"/>
              </w:divBdr>
              <w:divsChild>
                <w:div w:id="8017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1029">
          <w:marLeft w:val="0"/>
          <w:marRight w:val="0"/>
          <w:marTop w:val="0"/>
          <w:marBottom w:val="0"/>
          <w:divBdr>
            <w:top w:val="none" w:sz="0" w:space="0" w:color="auto"/>
            <w:left w:val="none" w:sz="0" w:space="0" w:color="auto"/>
            <w:bottom w:val="none" w:sz="0" w:space="0" w:color="auto"/>
            <w:right w:val="none" w:sz="0" w:space="0" w:color="auto"/>
          </w:divBdr>
        </w:div>
        <w:div w:id="640423503">
          <w:marLeft w:val="0"/>
          <w:marRight w:val="0"/>
          <w:marTop w:val="0"/>
          <w:marBottom w:val="0"/>
          <w:divBdr>
            <w:top w:val="none" w:sz="0" w:space="0" w:color="auto"/>
            <w:left w:val="none" w:sz="0" w:space="0" w:color="auto"/>
            <w:bottom w:val="none" w:sz="0" w:space="0" w:color="auto"/>
            <w:right w:val="none" w:sz="0" w:space="0" w:color="auto"/>
          </w:divBdr>
        </w:div>
      </w:divsChild>
    </w:div>
    <w:div w:id="184978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9.wmf"/><Relationship Id="rId50" Type="http://schemas.openxmlformats.org/officeDocument/2006/relationships/oleObject" Target="embeddings/oleObject20.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29.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38.wmf"/><Relationship Id="rId97" Type="http://schemas.openxmlformats.org/officeDocument/2006/relationships/oleObject" Target="embeddings/oleObject45.bin"/><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3.bin"/><Relationship Id="rId79" Type="http://schemas.openxmlformats.org/officeDocument/2006/relationships/image" Target="media/image33.wmf"/><Relationship Id="rId87" Type="http://schemas.openxmlformats.org/officeDocument/2006/relationships/image" Target="media/image37.wmf"/><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oleObject" Target="embeddings/oleObject44.bin"/><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image" Target="media/image32.wmf"/><Relationship Id="rId100" Type="http://schemas.openxmlformats.org/officeDocument/2006/relationships/footer" Target="footer1.xml"/><Relationship Id="rId8" Type="http://schemas.openxmlformats.org/officeDocument/2006/relationships/hyperlink" Target="mailto:tony.flegg@uwe.ac.uk" TargetMode="External"/><Relationship Id="rId51" Type="http://schemas.openxmlformats.org/officeDocument/2006/relationships/image" Target="media/image21.wmf"/><Relationship Id="rId72" Type="http://schemas.openxmlformats.org/officeDocument/2006/relationships/oleObject" Target="embeddings/oleObject32.bin"/><Relationship Id="rId80" Type="http://schemas.openxmlformats.org/officeDocument/2006/relationships/oleObject" Target="embeddings/oleObject37.bin"/><Relationship Id="rId85" Type="http://schemas.openxmlformats.org/officeDocument/2006/relationships/image" Target="media/image36.wmf"/><Relationship Id="rId93" Type="http://schemas.openxmlformats.org/officeDocument/2006/relationships/hyperlink" Target="http://estadistica.cba.gov.ar/LinkClick.aspx?fileticket=xEa_WsSZLHo%3D&amp;tabid=413&amp;language=es-AR" TargetMode="External"/><Relationship Id="rId98" Type="http://schemas.openxmlformats.org/officeDocument/2006/relationships/image" Target="media/image42.wmf"/><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image" Target="media/image35.wmf"/><Relationship Id="rId88" Type="http://schemas.openxmlformats.org/officeDocument/2006/relationships/oleObject" Target="embeddings/oleObject41.bin"/><Relationship Id="rId91" Type="http://schemas.openxmlformats.org/officeDocument/2006/relationships/image" Target="media/image39.wmf"/><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hyperlink" Target="mailto:cromero@uade.edu.ar" TargetMode="Externa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8.wmf"/><Relationship Id="rId73" Type="http://schemas.openxmlformats.org/officeDocument/2006/relationships/image" Target="media/image31.wmf"/><Relationship Id="rId78" Type="http://schemas.openxmlformats.org/officeDocument/2006/relationships/oleObject" Target="embeddings/oleObject36.bin"/><Relationship Id="rId81" Type="http://schemas.openxmlformats.org/officeDocument/2006/relationships/image" Target="media/image34.wmf"/><Relationship Id="rId86" Type="http://schemas.openxmlformats.org/officeDocument/2006/relationships/oleObject" Target="embeddings/oleObject40.bin"/><Relationship Id="rId94" Type="http://schemas.openxmlformats.org/officeDocument/2006/relationships/image" Target="media/image40.wmf"/><Relationship Id="rId99" Type="http://schemas.openxmlformats.org/officeDocument/2006/relationships/oleObject" Target="embeddings/oleObject46.bin"/><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mastronardi@uade.edu.ar"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474DA-F11B-4F21-8471-A38F90D2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31</Pages>
  <Words>8283</Words>
  <Characters>47218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tony</cp:lastModifiedBy>
  <cp:revision>17</cp:revision>
  <cp:lastPrinted>2015-05-29T09:38:00Z</cp:lastPrinted>
  <dcterms:created xsi:type="dcterms:W3CDTF">2015-05-30T20:48:00Z</dcterms:created>
  <dcterms:modified xsi:type="dcterms:W3CDTF">2015-05-31T08:15:00Z</dcterms:modified>
</cp:coreProperties>
</file>