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F70" w:rsidRPr="00ED7A20" w:rsidRDefault="00385C5A" w:rsidP="000C7F70">
      <w:pPr>
        <w:pStyle w:val="Names"/>
        <w:jc w:val="center"/>
        <w:rPr>
          <w:rFonts w:ascii="Century Schoolbook" w:hAnsi="Century Schoolbook" w:cs="Times-Bold"/>
          <w:sz w:val="36"/>
          <w:szCs w:val="36"/>
        </w:rPr>
      </w:pPr>
      <w:r>
        <w:rPr>
          <w:rFonts w:ascii="Century Schoolbook" w:hAnsi="Century Schoolbook" w:cs="Times-Bold"/>
          <w:sz w:val="36"/>
          <w:szCs w:val="36"/>
        </w:rPr>
        <w:t>Implementation of ESA2010 in European countries: comparative analysis to ESA1995</w:t>
      </w:r>
    </w:p>
    <w:p w:rsidR="000658F8" w:rsidRPr="00ED7A20" w:rsidRDefault="000658F8" w:rsidP="000C7F70">
      <w:pPr>
        <w:pStyle w:val="Names"/>
        <w:jc w:val="center"/>
        <w:rPr>
          <w:rFonts w:ascii="Century Schoolbook" w:hAnsi="Century Schoolbook" w:cs="Times-Bold"/>
          <w:sz w:val="36"/>
          <w:szCs w:val="36"/>
        </w:rPr>
      </w:pPr>
    </w:p>
    <w:p w:rsidR="000658F8" w:rsidRDefault="007041B7" w:rsidP="007041B7">
      <w:pPr>
        <w:pStyle w:val="Names"/>
        <w:jc w:val="center"/>
        <w:rPr>
          <w:rFonts w:ascii="Century Schoolbook" w:hAnsi="Century Schoolbook"/>
        </w:rPr>
      </w:pPr>
      <w:r w:rsidRPr="007041B7">
        <w:rPr>
          <w:rFonts w:ascii="Century Schoolbook" w:hAnsi="Century Schoolbook"/>
        </w:rPr>
        <w:t xml:space="preserve">Remond-Tiedrez, </w:t>
      </w:r>
      <w:r w:rsidR="00D01EB4">
        <w:rPr>
          <w:rFonts w:ascii="Century Schoolbook" w:hAnsi="Century Schoolbook"/>
        </w:rPr>
        <w:t>Isabelle</w:t>
      </w:r>
      <w:r w:rsidR="00D01EB4">
        <w:rPr>
          <w:rStyle w:val="FootnoteReference"/>
          <w:rFonts w:ascii="Century Schoolbook" w:hAnsi="Century Schoolbook"/>
        </w:rPr>
        <w:footnoteReference w:id="1"/>
      </w:r>
    </w:p>
    <w:p w:rsidR="007041B7" w:rsidRPr="007041B7" w:rsidRDefault="007041B7" w:rsidP="007041B7">
      <w:pPr>
        <w:pStyle w:val="Names"/>
        <w:jc w:val="center"/>
        <w:rPr>
          <w:rFonts w:ascii="Century Schoolbook" w:hAnsi="Century Schoolbook"/>
          <w:vertAlign w:val="superscript"/>
        </w:rPr>
      </w:pPr>
    </w:p>
    <w:p w:rsidR="007041B7" w:rsidRPr="007041B7" w:rsidRDefault="007041B7" w:rsidP="007041B7">
      <w:pPr>
        <w:autoSpaceDE w:val="0"/>
        <w:autoSpaceDN w:val="0"/>
        <w:adjustRightInd w:val="0"/>
        <w:jc w:val="center"/>
        <w:rPr>
          <w:rFonts w:ascii="Century Schoolbook" w:hAnsi="Century Schoolbook" w:cs="Arial"/>
          <w:bCs/>
          <w:i/>
          <w:kern w:val="28"/>
        </w:rPr>
      </w:pPr>
      <w:r w:rsidRPr="007041B7">
        <w:rPr>
          <w:rFonts w:ascii="Century Schoolbook" w:hAnsi="Century Schoolbook" w:cs="Arial"/>
          <w:bCs/>
          <w:i/>
          <w:kern w:val="28"/>
        </w:rPr>
        <w:t>European Commission, Eurostat</w:t>
      </w:r>
    </w:p>
    <w:p w:rsidR="007041B7" w:rsidRDefault="007041B7" w:rsidP="007041B7">
      <w:pPr>
        <w:autoSpaceDE w:val="0"/>
        <w:autoSpaceDN w:val="0"/>
        <w:adjustRightInd w:val="0"/>
        <w:jc w:val="center"/>
        <w:rPr>
          <w:rFonts w:ascii="Century Schoolbook" w:hAnsi="Century Schoolbook" w:cs="Arial"/>
          <w:bCs/>
          <w:i/>
          <w:kern w:val="28"/>
        </w:rPr>
      </w:pPr>
      <w:r w:rsidRPr="007041B7">
        <w:rPr>
          <w:rFonts w:ascii="Century Schoolbook" w:hAnsi="Century Schoolbook" w:cs="Arial"/>
          <w:bCs/>
          <w:i/>
          <w:kern w:val="28"/>
        </w:rPr>
        <w:t xml:space="preserve">E-mail: </w:t>
      </w:r>
      <w:hyperlink r:id="rId9" w:history="1">
        <w:r w:rsidRPr="007041B7">
          <w:rPr>
            <w:rStyle w:val="Hyperlink"/>
            <w:rFonts w:ascii="Century Schoolbook" w:hAnsi="Century Schoolbook" w:cs="Arial"/>
            <w:bCs/>
            <w:i/>
            <w:kern w:val="28"/>
          </w:rPr>
          <w:t>isabelle.remond-tiedrez@</w:t>
        </w:r>
        <w:r w:rsidRPr="007041B7">
          <w:rPr>
            <w:rStyle w:val="Hyperlink"/>
            <w:rFonts w:ascii="Century Schoolbook" w:hAnsi="Century Schoolbook" w:cs="Arial"/>
            <w:bCs/>
            <w:i/>
            <w:kern w:val="28"/>
            <w:lang w:val="it-IT"/>
          </w:rPr>
          <w:t>ec.europa.eu</w:t>
        </w:r>
      </w:hyperlink>
    </w:p>
    <w:p w:rsidR="000658F8" w:rsidRPr="00ED7A20" w:rsidRDefault="000658F8" w:rsidP="000658F8">
      <w:pPr>
        <w:jc w:val="center"/>
        <w:rPr>
          <w:rFonts w:ascii="Century Schoolbook" w:hAnsi="Century Schoolbook"/>
          <w:lang w:val="nl-BE"/>
        </w:rPr>
      </w:pPr>
    </w:p>
    <w:p w:rsidR="002825BA" w:rsidRDefault="002825BA" w:rsidP="000658F8">
      <w:pPr>
        <w:ind w:left="284"/>
        <w:rPr>
          <w:rFonts w:ascii="Century Schoolbook" w:hAnsi="Century Schoolbook"/>
          <w:sz w:val="22"/>
          <w:szCs w:val="22"/>
        </w:rPr>
      </w:pPr>
    </w:p>
    <w:p w:rsidR="00E11CE1" w:rsidRDefault="002825BA" w:rsidP="00E11CE1">
      <w:pPr>
        <w:rPr>
          <w:rFonts w:ascii="Century Schoolbook" w:hAnsi="Century Schoolbook"/>
          <w:sz w:val="22"/>
          <w:szCs w:val="22"/>
        </w:rPr>
      </w:pPr>
      <w:r w:rsidRPr="002825BA">
        <w:rPr>
          <w:rFonts w:ascii="Century Schoolbook" w:hAnsi="Century Schoolbook"/>
          <w:sz w:val="22"/>
          <w:szCs w:val="22"/>
        </w:rPr>
        <w:t xml:space="preserve">Eurostat, Statistical Office of the European Union, </w:t>
      </w:r>
      <w:r w:rsidR="00E11CE1">
        <w:rPr>
          <w:rFonts w:ascii="Century Schoolbook" w:hAnsi="Century Schoolbook"/>
          <w:sz w:val="22"/>
          <w:szCs w:val="22"/>
        </w:rPr>
        <w:t xml:space="preserve">received since end of 2014 Supply, Use and Input-Output tables from European countries under the new methodology of ESA2010, European adaptation of the SNA 2008. Data is now disseminated on Eurostat website under the new </w:t>
      </w:r>
      <w:r w:rsidR="003C1BD3">
        <w:rPr>
          <w:rFonts w:ascii="Century Schoolbook" w:hAnsi="Century Schoolbook"/>
          <w:sz w:val="22"/>
          <w:szCs w:val="22"/>
        </w:rPr>
        <w:t>methodology</w:t>
      </w:r>
      <w:r w:rsidR="00E11CE1">
        <w:rPr>
          <w:rFonts w:ascii="Century Schoolbook" w:hAnsi="Century Schoolbook"/>
          <w:sz w:val="22"/>
          <w:szCs w:val="22"/>
        </w:rPr>
        <w:t xml:space="preserve"> for the year 2010 and following. The user can therefore find two datasets for each country: one according to the previous methodology (SNA</w:t>
      </w:r>
      <w:r w:rsidR="003C1BD3">
        <w:rPr>
          <w:rFonts w:ascii="Century Schoolbook" w:hAnsi="Century Schoolbook"/>
          <w:sz w:val="22"/>
          <w:szCs w:val="22"/>
        </w:rPr>
        <w:t xml:space="preserve"> 93 or ESA 95 at European level) and another according to the SNA 2008 or ESA 2010 methodology. Comparing the two datasets users may notice differences that will be underline in this paper.</w:t>
      </w:r>
    </w:p>
    <w:p w:rsidR="00ED3F2F" w:rsidRPr="002825BA" w:rsidRDefault="000C7F70" w:rsidP="002825BA">
      <w:pPr>
        <w:rPr>
          <w:rFonts w:ascii="Century Schoolbook" w:hAnsi="Century Schoolbook"/>
          <w:sz w:val="22"/>
          <w:szCs w:val="22"/>
        </w:rPr>
      </w:pPr>
      <w:r w:rsidRPr="002825BA">
        <w:rPr>
          <w:rFonts w:ascii="Century Schoolbook" w:hAnsi="Century Schoolbook"/>
          <w:b/>
          <w:sz w:val="22"/>
          <w:szCs w:val="22"/>
        </w:rPr>
        <w:t>Keywords</w:t>
      </w:r>
      <w:r w:rsidRPr="00ED7A20">
        <w:rPr>
          <w:rFonts w:ascii="Century Schoolbook" w:hAnsi="Century Schoolbook"/>
          <w:sz w:val="22"/>
          <w:szCs w:val="22"/>
        </w:rPr>
        <w:t xml:space="preserve">: </w:t>
      </w:r>
      <w:r w:rsidR="002825BA" w:rsidRPr="002825BA">
        <w:rPr>
          <w:rFonts w:ascii="Century Schoolbook" w:hAnsi="Century Schoolbook"/>
          <w:sz w:val="22"/>
          <w:szCs w:val="22"/>
        </w:rPr>
        <w:t xml:space="preserve">national accounts, supply and use tables, </w:t>
      </w:r>
      <w:r w:rsidR="003C1BD3">
        <w:rPr>
          <w:rFonts w:ascii="Century Schoolbook" w:hAnsi="Century Schoolbook"/>
          <w:sz w:val="22"/>
          <w:szCs w:val="22"/>
        </w:rPr>
        <w:t>SNA2008, ESA 2010, methodology</w:t>
      </w:r>
      <w:r w:rsidR="002825BA" w:rsidRPr="002825BA">
        <w:rPr>
          <w:rFonts w:ascii="Century Schoolbook" w:hAnsi="Century Schoolbook"/>
          <w:sz w:val="22"/>
          <w:szCs w:val="22"/>
        </w:rPr>
        <w:t>, European Union</w:t>
      </w:r>
    </w:p>
    <w:p w:rsidR="00E52978" w:rsidRDefault="00E52978" w:rsidP="000B5749">
      <w:pPr>
        <w:pStyle w:val="Heading1"/>
      </w:pPr>
      <w:r w:rsidRPr="00ED7A20">
        <w:t>Introduction</w:t>
      </w:r>
    </w:p>
    <w:p w:rsidR="00C00345" w:rsidRDefault="00C00345" w:rsidP="00C00345">
      <w:r>
        <w:t xml:space="preserve">The methodological changes introduced in ESA 2010 had significant impact on some macroeconomics aggregates: the GDP for the European Union has increased by 2.3% in 2010. The most significant impact has been due to the change in the treatment of research and development and military weapon systems registered now as capital formation. The second most important impact results from statistical improvements which were separated from ESA 2010 affects. </w:t>
      </w:r>
    </w:p>
    <w:p w:rsidR="00D274FD" w:rsidRDefault="00C00345" w:rsidP="00C00345">
      <w:r>
        <w:t xml:space="preserve">The Supply and Use Tables, as integrated part of the National Accounts, present the production boundary and other macroeconomics data. With the change of methodology two datasets of SUTs are available. The two datasets will be compared to analyse the difference. </w:t>
      </w:r>
    </w:p>
    <w:p w:rsidR="00C00345" w:rsidRDefault="00D274FD" w:rsidP="00C00345">
      <w:r>
        <w:t xml:space="preserve">However at Eurostat level it is difficult to separate the impact of the methodological changes due to ESA 2010 from other methodological and statistical improvements. </w:t>
      </w:r>
    </w:p>
    <w:p w:rsidR="00C00345" w:rsidRDefault="00C00345" w:rsidP="00C00345">
      <w:r>
        <w:t>Member States reported under ESA 2010 at the end of 2014 with the transmission of SUTs for the years 2010 and 2011. This paper will describe in section B the different impacts of ESA 2010 implementation</w:t>
      </w:r>
      <w:r>
        <w:rPr>
          <w:rStyle w:val="FootnoteReference"/>
        </w:rPr>
        <w:footnoteReference w:id="2"/>
      </w:r>
      <w:r>
        <w:t xml:space="preserve"> for a selected number of countries </w:t>
      </w:r>
      <w:r w:rsidR="00312F85">
        <w:t xml:space="preserve">(seven countries) </w:t>
      </w:r>
      <w:r>
        <w:t>for the year 2010 (common year for both methodologies). The section C will open the discussion on how to compare the two sets of SUIOTs and propose a more systematic comparison framework for dissemination of the analysis.</w:t>
      </w:r>
    </w:p>
    <w:p w:rsidR="00323972" w:rsidRDefault="00323972" w:rsidP="00C00345">
      <w:r>
        <w:t>The comparison is based on two indicators: the simple relative difference o</w:t>
      </w:r>
      <w:r w:rsidR="001F6986">
        <w:t xml:space="preserve">f the two datasets and the WAPE. </w:t>
      </w:r>
      <w:r w:rsidR="001F6986" w:rsidRPr="004075D1">
        <w:t xml:space="preserve">WAPE stands for Weighted Average Percentage Error. </w:t>
      </w:r>
      <w:r w:rsidR="001F6986">
        <w:t>T</w:t>
      </w:r>
      <w:r w:rsidR="001F6986" w:rsidRPr="004075D1">
        <w:t xml:space="preserve">his indicator weights each percentage deviation of </w:t>
      </w:r>
      <w:r w:rsidR="001F6986" w:rsidRPr="004075D1">
        <w:lastRenderedPageBreak/>
        <w:t>the elements of a matrix from the true value by the relative size of the latter in the overall sum of the elements of the true matrix. This indicator considers errors in absolute value in order to avoid potential compensations of deviations due to different signs</w:t>
      </w:r>
      <w:r w:rsidR="001F6986">
        <w:t>. The WAPE is calculated on different part of the SUTs.</w:t>
      </w:r>
    </w:p>
    <w:p w:rsidR="00574C9F" w:rsidRDefault="00574C9F" w:rsidP="00574C9F">
      <w:pPr>
        <w:jc w:val="center"/>
      </w:pPr>
      <w:r w:rsidRPr="00EA3CF8">
        <w:rPr>
          <w:noProof/>
          <w:sz w:val="16"/>
          <w:szCs w:val="16"/>
          <w:lang w:eastAsia="en-GB"/>
        </w:rPr>
        <w:drawing>
          <wp:inline distT="0" distB="0" distL="0" distR="0" wp14:anchorId="13EBD918" wp14:editId="59F42C95">
            <wp:extent cx="2505075" cy="695512"/>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04763" cy="695425"/>
                    </a:xfrm>
                    <a:prstGeom prst="rect">
                      <a:avLst/>
                    </a:prstGeom>
                  </pic:spPr>
                </pic:pic>
              </a:graphicData>
            </a:graphic>
          </wp:inline>
        </w:drawing>
      </w:r>
    </w:p>
    <w:p w:rsidR="00D274FD" w:rsidRDefault="00D274FD" w:rsidP="00D274FD">
      <w:pPr>
        <w:pStyle w:val="Heading1"/>
      </w:pPr>
      <w:bookmarkStart w:id="0" w:name="_Toc413850147"/>
      <w:r>
        <w:t xml:space="preserve">Impact of ESA 2010 on </w:t>
      </w:r>
      <w:r w:rsidR="00312F85">
        <w:t>gross value added in</w:t>
      </w:r>
      <w:r>
        <w:t xml:space="preserve"> the SUT</w:t>
      </w:r>
      <w:bookmarkEnd w:id="0"/>
    </w:p>
    <w:p w:rsidR="00323972" w:rsidRDefault="00323972" w:rsidP="00323972">
      <w:bookmarkStart w:id="1" w:name="_Toc413850148"/>
      <w:r>
        <w:t>As a major component of GDP</w:t>
      </w:r>
      <w:r>
        <w:rPr>
          <w:rStyle w:val="FootnoteReference"/>
        </w:rPr>
        <w:footnoteReference w:id="3"/>
      </w:r>
      <w:r>
        <w:t xml:space="preserve"> gross value added is broken down by industry in the Use Table. The total GVA was revised for 2010 </w:t>
      </w:r>
      <w:r w:rsidR="000C32BB">
        <w:t xml:space="preserve">for example </w:t>
      </w:r>
      <w:r>
        <w:t xml:space="preserve">by 1.4% </w:t>
      </w:r>
      <w:r w:rsidR="00745F8E">
        <w:t xml:space="preserve">in one country </w:t>
      </w:r>
      <w:r w:rsidR="000C32BB">
        <w:t>and</w:t>
      </w:r>
      <w:r>
        <w:t xml:space="preserve"> 5.5% </w:t>
      </w:r>
      <w:r w:rsidR="00745F8E">
        <w:t xml:space="preserve">in another. </w:t>
      </w:r>
      <w:r>
        <w:t xml:space="preserve">Looking at the detailed level of the gross value added broken down by 64 industries, the </w:t>
      </w:r>
      <w:r w:rsidR="000C32BB">
        <w:t>revision of total GVA</w:t>
      </w:r>
      <w:r w:rsidR="00745F8E">
        <w:t xml:space="preserve"> is the results of various revisions at the industry level: the rev</w:t>
      </w:r>
      <w:r>
        <w:t xml:space="preserve">isions' amplitude is quite large, with however, a median revision percentage around 1% for five </w:t>
      </w:r>
      <w:r w:rsidR="00745F8E">
        <w:t xml:space="preserve">European </w:t>
      </w:r>
      <w:r>
        <w:t>countries.</w:t>
      </w:r>
    </w:p>
    <w:p w:rsidR="00323972" w:rsidRPr="00517A1C" w:rsidRDefault="00323972" w:rsidP="00517A1C">
      <w:pPr>
        <w:rPr>
          <w:u w:val="single"/>
        </w:rPr>
      </w:pPr>
      <w:r w:rsidRPr="00517A1C">
        <w:rPr>
          <w:u w:val="single"/>
        </w:rPr>
        <w:t xml:space="preserve">Table </w:t>
      </w:r>
      <w:r w:rsidR="00745F8E" w:rsidRPr="00517A1C">
        <w:rPr>
          <w:u w:val="single"/>
        </w:rPr>
        <w:t>1</w:t>
      </w:r>
      <w:r w:rsidRPr="00517A1C">
        <w:rPr>
          <w:u w:val="single"/>
        </w:rPr>
        <w:t xml:space="preserve">: </w:t>
      </w:r>
      <w:r w:rsidR="00745F8E" w:rsidRPr="00517A1C">
        <w:rPr>
          <w:u w:val="single"/>
        </w:rPr>
        <w:t>Example of p</w:t>
      </w:r>
      <w:r w:rsidRPr="00517A1C">
        <w:rPr>
          <w:u w:val="single"/>
        </w:rPr>
        <w:t xml:space="preserve">ercentage revisions of value </w:t>
      </w:r>
      <w:r w:rsidR="00745F8E" w:rsidRPr="00517A1C">
        <w:rPr>
          <w:u w:val="single"/>
        </w:rPr>
        <w:t>added at</w:t>
      </w:r>
      <w:r w:rsidRPr="00517A1C">
        <w:rPr>
          <w:u w:val="single"/>
        </w:rPr>
        <w:t xml:space="preserve"> A64 breakdown</w:t>
      </w:r>
    </w:p>
    <w:tbl>
      <w:tblPr>
        <w:tblStyle w:val="LightList-Accent4"/>
        <w:tblW w:w="6327" w:type="dxa"/>
        <w:tblInd w:w="108" w:type="dxa"/>
        <w:tblLook w:val="04A0" w:firstRow="1" w:lastRow="0" w:firstColumn="1" w:lastColumn="0" w:noHBand="0" w:noVBand="1"/>
      </w:tblPr>
      <w:tblGrid>
        <w:gridCol w:w="1519"/>
        <w:gridCol w:w="900"/>
        <w:gridCol w:w="921"/>
        <w:gridCol w:w="946"/>
        <w:gridCol w:w="1000"/>
        <w:gridCol w:w="1041"/>
      </w:tblGrid>
      <w:tr w:rsidR="00745F8E" w:rsidRPr="007329C0" w:rsidTr="00745F8E">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519" w:type="dxa"/>
            <w:noWrap/>
            <w:hideMark/>
          </w:tcPr>
          <w:p w:rsidR="00745F8E" w:rsidRPr="007329C0" w:rsidRDefault="00745F8E" w:rsidP="00227F5A">
            <w:pPr>
              <w:spacing w:after="0"/>
              <w:jc w:val="left"/>
              <w:rPr>
                <w:sz w:val="18"/>
                <w:szCs w:val="18"/>
                <w:lang w:eastAsia="en-GB"/>
              </w:rPr>
            </w:pPr>
            <w:r w:rsidRPr="007329C0">
              <w:rPr>
                <w:sz w:val="18"/>
                <w:szCs w:val="18"/>
                <w:lang w:eastAsia="en-GB"/>
              </w:rPr>
              <w:t>Countries</w:t>
            </w:r>
          </w:p>
        </w:tc>
        <w:tc>
          <w:tcPr>
            <w:tcW w:w="900" w:type="dxa"/>
          </w:tcPr>
          <w:p w:rsidR="00745F8E" w:rsidRDefault="00745F8E" w:rsidP="00227F5A">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Total</w:t>
            </w:r>
          </w:p>
        </w:tc>
        <w:tc>
          <w:tcPr>
            <w:tcW w:w="921" w:type="dxa"/>
            <w:noWrap/>
            <w:hideMark/>
          </w:tcPr>
          <w:p w:rsidR="00745F8E" w:rsidRPr="007329C0" w:rsidRDefault="00745F8E" w:rsidP="00227F5A">
            <w:pPr>
              <w:spacing w:after="0"/>
              <w:jc w:val="left"/>
              <w:cnfStyle w:val="100000000000" w:firstRow="1" w:lastRow="0" w:firstColumn="0" w:lastColumn="0" w:oddVBand="0" w:evenVBand="0" w:oddHBand="0" w:evenHBand="0" w:firstRowFirstColumn="0" w:firstRowLastColumn="0" w:lastRowFirstColumn="0" w:lastRowLastColumn="0"/>
              <w:rPr>
                <w:sz w:val="18"/>
                <w:szCs w:val="18"/>
                <w:lang w:eastAsia="en-GB"/>
              </w:rPr>
            </w:pPr>
            <w:r w:rsidRPr="007329C0">
              <w:rPr>
                <w:sz w:val="18"/>
                <w:szCs w:val="18"/>
                <w:lang w:eastAsia="en-GB"/>
              </w:rPr>
              <w:t>Min</w:t>
            </w:r>
          </w:p>
        </w:tc>
        <w:tc>
          <w:tcPr>
            <w:tcW w:w="946" w:type="dxa"/>
            <w:noWrap/>
            <w:hideMark/>
          </w:tcPr>
          <w:p w:rsidR="00745F8E" w:rsidRPr="007329C0" w:rsidRDefault="00745F8E" w:rsidP="00227F5A">
            <w:pPr>
              <w:spacing w:after="0"/>
              <w:jc w:val="left"/>
              <w:cnfStyle w:val="100000000000" w:firstRow="1" w:lastRow="0" w:firstColumn="0" w:lastColumn="0" w:oddVBand="0" w:evenVBand="0" w:oddHBand="0" w:evenHBand="0" w:firstRowFirstColumn="0" w:firstRowLastColumn="0" w:lastRowFirstColumn="0" w:lastRowLastColumn="0"/>
              <w:rPr>
                <w:sz w:val="18"/>
                <w:szCs w:val="18"/>
                <w:lang w:eastAsia="en-GB"/>
              </w:rPr>
            </w:pPr>
            <w:r w:rsidRPr="007329C0">
              <w:rPr>
                <w:sz w:val="18"/>
                <w:szCs w:val="18"/>
                <w:lang w:eastAsia="en-GB"/>
              </w:rPr>
              <w:t>Average</w:t>
            </w:r>
          </w:p>
        </w:tc>
        <w:tc>
          <w:tcPr>
            <w:tcW w:w="1000" w:type="dxa"/>
            <w:noWrap/>
            <w:hideMark/>
          </w:tcPr>
          <w:p w:rsidR="00745F8E" w:rsidRPr="007329C0" w:rsidRDefault="00745F8E" w:rsidP="00227F5A">
            <w:pPr>
              <w:spacing w:after="0"/>
              <w:jc w:val="left"/>
              <w:cnfStyle w:val="100000000000" w:firstRow="1" w:lastRow="0" w:firstColumn="0" w:lastColumn="0" w:oddVBand="0" w:evenVBand="0" w:oddHBand="0" w:evenHBand="0" w:firstRowFirstColumn="0" w:firstRowLastColumn="0" w:lastRowFirstColumn="0" w:lastRowLastColumn="0"/>
              <w:rPr>
                <w:sz w:val="18"/>
                <w:szCs w:val="18"/>
                <w:lang w:eastAsia="en-GB"/>
              </w:rPr>
            </w:pPr>
            <w:r w:rsidRPr="007329C0">
              <w:rPr>
                <w:sz w:val="18"/>
                <w:szCs w:val="18"/>
                <w:lang w:eastAsia="en-GB"/>
              </w:rPr>
              <w:t>Median</w:t>
            </w:r>
          </w:p>
        </w:tc>
        <w:tc>
          <w:tcPr>
            <w:tcW w:w="1041" w:type="dxa"/>
            <w:noWrap/>
            <w:hideMark/>
          </w:tcPr>
          <w:p w:rsidR="00745F8E" w:rsidRPr="007329C0" w:rsidRDefault="00745F8E" w:rsidP="00227F5A">
            <w:pPr>
              <w:spacing w:after="0"/>
              <w:jc w:val="left"/>
              <w:cnfStyle w:val="100000000000" w:firstRow="1" w:lastRow="0" w:firstColumn="0" w:lastColumn="0" w:oddVBand="0" w:evenVBand="0" w:oddHBand="0" w:evenHBand="0" w:firstRowFirstColumn="0" w:firstRowLastColumn="0" w:lastRowFirstColumn="0" w:lastRowLastColumn="0"/>
              <w:rPr>
                <w:sz w:val="18"/>
                <w:szCs w:val="18"/>
                <w:lang w:eastAsia="en-GB"/>
              </w:rPr>
            </w:pPr>
            <w:r w:rsidRPr="007329C0">
              <w:rPr>
                <w:sz w:val="18"/>
                <w:szCs w:val="18"/>
                <w:lang w:eastAsia="en-GB"/>
              </w:rPr>
              <w:t>Max</w:t>
            </w:r>
          </w:p>
        </w:tc>
      </w:tr>
      <w:tr w:rsidR="00745F8E" w:rsidRPr="007329C0" w:rsidTr="00745F8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519" w:type="dxa"/>
            <w:noWrap/>
            <w:hideMark/>
          </w:tcPr>
          <w:p w:rsidR="00745F8E" w:rsidRPr="007329C0" w:rsidRDefault="00745F8E" w:rsidP="00745F8E">
            <w:pPr>
              <w:spacing w:after="0"/>
              <w:rPr>
                <w:sz w:val="18"/>
                <w:szCs w:val="18"/>
                <w:lang w:eastAsia="en-GB"/>
              </w:rPr>
            </w:pPr>
            <w:r>
              <w:rPr>
                <w:sz w:val="18"/>
                <w:szCs w:val="18"/>
                <w:lang w:eastAsia="en-GB"/>
              </w:rPr>
              <w:t>Country 1</w:t>
            </w:r>
          </w:p>
        </w:tc>
        <w:tc>
          <w:tcPr>
            <w:tcW w:w="900" w:type="dxa"/>
            <w:vAlign w:val="bottom"/>
          </w:tcPr>
          <w:p w:rsidR="00745F8E" w:rsidRPr="00771B43" w:rsidRDefault="00745F8E" w:rsidP="00227F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771B43">
              <w:rPr>
                <w:sz w:val="18"/>
                <w:szCs w:val="18"/>
              </w:rPr>
              <w:t>1.36%</w:t>
            </w:r>
          </w:p>
        </w:tc>
        <w:tc>
          <w:tcPr>
            <w:tcW w:w="921" w:type="dxa"/>
            <w:noWrap/>
            <w:hideMark/>
          </w:tcPr>
          <w:p w:rsidR="00745F8E" w:rsidRPr="007329C0" w:rsidRDefault="00745F8E" w:rsidP="00227F5A">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7329C0">
              <w:rPr>
                <w:sz w:val="18"/>
                <w:szCs w:val="18"/>
                <w:lang w:eastAsia="en-GB"/>
              </w:rPr>
              <w:t>-13.67%</w:t>
            </w:r>
          </w:p>
        </w:tc>
        <w:tc>
          <w:tcPr>
            <w:tcW w:w="946" w:type="dxa"/>
            <w:noWrap/>
            <w:hideMark/>
          </w:tcPr>
          <w:p w:rsidR="00745F8E" w:rsidRPr="007329C0" w:rsidRDefault="00745F8E" w:rsidP="00227F5A">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7329C0">
              <w:rPr>
                <w:sz w:val="18"/>
                <w:szCs w:val="18"/>
                <w:lang w:eastAsia="en-GB"/>
              </w:rPr>
              <w:t>2.04%</w:t>
            </w:r>
          </w:p>
        </w:tc>
        <w:tc>
          <w:tcPr>
            <w:tcW w:w="1000" w:type="dxa"/>
            <w:noWrap/>
            <w:hideMark/>
          </w:tcPr>
          <w:p w:rsidR="00745F8E" w:rsidRPr="007329C0" w:rsidRDefault="00745F8E" w:rsidP="00227F5A">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7329C0">
              <w:rPr>
                <w:sz w:val="18"/>
                <w:szCs w:val="18"/>
                <w:lang w:eastAsia="en-GB"/>
              </w:rPr>
              <w:t>0.78%</w:t>
            </w:r>
          </w:p>
        </w:tc>
        <w:tc>
          <w:tcPr>
            <w:tcW w:w="1041" w:type="dxa"/>
            <w:noWrap/>
            <w:hideMark/>
          </w:tcPr>
          <w:p w:rsidR="00745F8E" w:rsidRPr="007329C0" w:rsidRDefault="00745F8E" w:rsidP="00227F5A">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7329C0">
              <w:rPr>
                <w:sz w:val="18"/>
                <w:szCs w:val="18"/>
                <w:lang w:eastAsia="en-GB"/>
              </w:rPr>
              <w:t>62.52%</w:t>
            </w:r>
          </w:p>
        </w:tc>
      </w:tr>
      <w:tr w:rsidR="00745F8E" w:rsidRPr="007329C0" w:rsidTr="00745F8E">
        <w:trPr>
          <w:trHeight w:val="240"/>
        </w:trPr>
        <w:tc>
          <w:tcPr>
            <w:cnfStyle w:val="001000000000" w:firstRow="0" w:lastRow="0" w:firstColumn="1" w:lastColumn="0" w:oddVBand="0" w:evenVBand="0" w:oddHBand="0" w:evenHBand="0" w:firstRowFirstColumn="0" w:firstRowLastColumn="0" w:lastRowFirstColumn="0" w:lastRowLastColumn="0"/>
            <w:tcW w:w="1519" w:type="dxa"/>
            <w:noWrap/>
            <w:hideMark/>
          </w:tcPr>
          <w:p w:rsidR="00745F8E" w:rsidRPr="007329C0" w:rsidRDefault="00745F8E" w:rsidP="00227F5A">
            <w:pPr>
              <w:spacing w:after="0"/>
              <w:jc w:val="left"/>
              <w:rPr>
                <w:sz w:val="18"/>
                <w:szCs w:val="18"/>
                <w:lang w:eastAsia="en-GB"/>
              </w:rPr>
            </w:pPr>
            <w:r>
              <w:rPr>
                <w:sz w:val="18"/>
                <w:szCs w:val="18"/>
                <w:lang w:eastAsia="en-GB"/>
              </w:rPr>
              <w:t>Country 2</w:t>
            </w:r>
          </w:p>
        </w:tc>
        <w:tc>
          <w:tcPr>
            <w:tcW w:w="900" w:type="dxa"/>
            <w:vAlign w:val="bottom"/>
          </w:tcPr>
          <w:p w:rsidR="00745F8E" w:rsidRPr="00771B43" w:rsidRDefault="00745F8E" w:rsidP="00227F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771B43">
              <w:rPr>
                <w:sz w:val="18"/>
                <w:szCs w:val="18"/>
              </w:rPr>
              <w:t>3.07%</w:t>
            </w:r>
          </w:p>
        </w:tc>
        <w:tc>
          <w:tcPr>
            <w:tcW w:w="921" w:type="dxa"/>
            <w:noWrap/>
            <w:hideMark/>
          </w:tcPr>
          <w:p w:rsidR="00745F8E" w:rsidRPr="007329C0" w:rsidRDefault="00745F8E" w:rsidP="00227F5A">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7329C0">
              <w:rPr>
                <w:sz w:val="18"/>
                <w:szCs w:val="18"/>
                <w:lang w:eastAsia="en-GB"/>
              </w:rPr>
              <w:t>-25.05%</w:t>
            </w:r>
          </w:p>
        </w:tc>
        <w:tc>
          <w:tcPr>
            <w:tcW w:w="946" w:type="dxa"/>
            <w:noWrap/>
            <w:hideMark/>
          </w:tcPr>
          <w:p w:rsidR="00745F8E" w:rsidRPr="007329C0" w:rsidRDefault="00745F8E" w:rsidP="00227F5A">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7329C0">
              <w:rPr>
                <w:sz w:val="18"/>
                <w:szCs w:val="18"/>
                <w:lang w:eastAsia="en-GB"/>
              </w:rPr>
              <w:t>4.38%</w:t>
            </w:r>
          </w:p>
        </w:tc>
        <w:tc>
          <w:tcPr>
            <w:tcW w:w="1000" w:type="dxa"/>
            <w:noWrap/>
            <w:hideMark/>
          </w:tcPr>
          <w:p w:rsidR="00745F8E" w:rsidRPr="007329C0" w:rsidRDefault="00745F8E" w:rsidP="00227F5A">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7329C0">
              <w:rPr>
                <w:sz w:val="18"/>
                <w:szCs w:val="18"/>
                <w:lang w:eastAsia="en-GB"/>
              </w:rPr>
              <w:t>0.96%</w:t>
            </w:r>
          </w:p>
        </w:tc>
        <w:tc>
          <w:tcPr>
            <w:tcW w:w="1041" w:type="dxa"/>
            <w:noWrap/>
            <w:hideMark/>
          </w:tcPr>
          <w:p w:rsidR="00745F8E" w:rsidRPr="007329C0" w:rsidRDefault="00745F8E" w:rsidP="00227F5A">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7329C0">
              <w:rPr>
                <w:sz w:val="18"/>
                <w:szCs w:val="18"/>
                <w:lang w:eastAsia="en-GB"/>
              </w:rPr>
              <w:t>80.68%</w:t>
            </w:r>
          </w:p>
        </w:tc>
      </w:tr>
      <w:tr w:rsidR="00745F8E" w:rsidRPr="007329C0" w:rsidTr="00745F8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519" w:type="dxa"/>
            <w:noWrap/>
            <w:hideMark/>
          </w:tcPr>
          <w:p w:rsidR="00745F8E" w:rsidRPr="007329C0" w:rsidRDefault="00745F8E" w:rsidP="00227F5A">
            <w:pPr>
              <w:spacing w:after="0"/>
              <w:jc w:val="left"/>
              <w:rPr>
                <w:sz w:val="18"/>
                <w:szCs w:val="18"/>
                <w:lang w:eastAsia="en-GB"/>
              </w:rPr>
            </w:pPr>
            <w:r>
              <w:rPr>
                <w:sz w:val="18"/>
                <w:szCs w:val="18"/>
                <w:lang w:eastAsia="en-GB"/>
              </w:rPr>
              <w:t>Country 3</w:t>
            </w:r>
          </w:p>
        </w:tc>
        <w:tc>
          <w:tcPr>
            <w:tcW w:w="900" w:type="dxa"/>
            <w:vAlign w:val="bottom"/>
          </w:tcPr>
          <w:p w:rsidR="00745F8E" w:rsidRPr="00771B43" w:rsidRDefault="00745F8E" w:rsidP="00227F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771B43">
              <w:rPr>
                <w:sz w:val="18"/>
                <w:szCs w:val="18"/>
              </w:rPr>
              <w:t>3.45%</w:t>
            </w:r>
          </w:p>
        </w:tc>
        <w:tc>
          <w:tcPr>
            <w:tcW w:w="921" w:type="dxa"/>
            <w:noWrap/>
            <w:hideMark/>
          </w:tcPr>
          <w:p w:rsidR="00745F8E" w:rsidRPr="007329C0" w:rsidRDefault="00745F8E" w:rsidP="00227F5A">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7329C0">
              <w:rPr>
                <w:sz w:val="18"/>
                <w:szCs w:val="18"/>
                <w:lang w:eastAsia="en-GB"/>
              </w:rPr>
              <w:t>-93.51%</w:t>
            </w:r>
          </w:p>
        </w:tc>
        <w:tc>
          <w:tcPr>
            <w:tcW w:w="946" w:type="dxa"/>
            <w:noWrap/>
            <w:hideMark/>
          </w:tcPr>
          <w:p w:rsidR="00745F8E" w:rsidRPr="007329C0" w:rsidRDefault="00745F8E" w:rsidP="00227F5A">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7329C0">
              <w:rPr>
                <w:sz w:val="18"/>
                <w:szCs w:val="18"/>
                <w:lang w:eastAsia="en-GB"/>
              </w:rPr>
              <w:t>6.25%</w:t>
            </w:r>
          </w:p>
        </w:tc>
        <w:tc>
          <w:tcPr>
            <w:tcW w:w="1000" w:type="dxa"/>
            <w:noWrap/>
            <w:hideMark/>
          </w:tcPr>
          <w:p w:rsidR="00745F8E" w:rsidRPr="007329C0" w:rsidRDefault="00745F8E" w:rsidP="00227F5A">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7329C0">
              <w:rPr>
                <w:sz w:val="18"/>
                <w:szCs w:val="18"/>
                <w:lang w:eastAsia="en-GB"/>
              </w:rPr>
              <w:t>1.01%</w:t>
            </w:r>
          </w:p>
        </w:tc>
        <w:tc>
          <w:tcPr>
            <w:tcW w:w="1041" w:type="dxa"/>
            <w:noWrap/>
            <w:hideMark/>
          </w:tcPr>
          <w:p w:rsidR="00745F8E" w:rsidRPr="007329C0" w:rsidRDefault="00745F8E" w:rsidP="00227F5A">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7329C0">
              <w:rPr>
                <w:sz w:val="18"/>
                <w:szCs w:val="18"/>
                <w:lang w:eastAsia="en-GB"/>
              </w:rPr>
              <w:t>155.71%</w:t>
            </w:r>
          </w:p>
        </w:tc>
      </w:tr>
      <w:tr w:rsidR="00745F8E" w:rsidRPr="007329C0" w:rsidTr="00745F8E">
        <w:trPr>
          <w:trHeight w:val="240"/>
        </w:trPr>
        <w:tc>
          <w:tcPr>
            <w:cnfStyle w:val="001000000000" w:firstRow="0" w:lastRow="0" w:firstColumn="1" w:lastColumn="0" w:oddVBand="0" w:evenVBand="0" w:oddHBand="0" w:evenHBand="0" w:firstRowFirstColumn="0" w:firstRowLastColumn="0" w:lastRowFirstColumn="0" w:lastRowLastColumn="0"/>
            <w:tcW w:w="1519" w:type="dxa"/>
            <w:noWrap/>
            <w:hideMark/>
          </w:tcPr>
          <w:p w:rsidR="00745F8E" w:rsidRPr="007329C0" w:rsidRDefault="00745F8E" w:rsidP="00227F5A">
            <w:pPr>
              <w:spacing w:after="0"/>
              <w:jc w:val="left"/>
              <w:rPr>
                <w:sz w:val="18"/>
                <w:szCs w:val="18"/>
                <w:lang w:eastAsia="en-GB"/>
              </w:rPr>
            </w:pPr>
            <w:r>
              <w:rPr>
                <w:sz w:val="18"/>
                <w:szCs w:val="18"/>
                <w:lang w:eastAsia="en-GB"/>
              </w:rPr>
              <w:t>Country 4</w:t>
            </w:r>
          </w:p>
        </w:tc>
        <w:tc>
          <w:tcPr>
            <w:tcW w:w="900" w:type="dxa"/>
            <w:vAlign w:val="bottom"/>
          </w:tcPr>
          <w:p w:rsidR="00745F8E" w:rsidRPr="00771B43" w:rsidRDefault="00745F8E" w:rsidP="00227F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771B43">
              <w:rPr>
                <w:sz w:val="18"/>
                <w:szCs w:val="18"/>
              </w:rPr>
              <w:t>3.89%</w:t>
            </w:r>
          </w:p>
        </w:tc>
        <w:tc>
          <w:tcPr>
            <w:tcW w:w="921" w:type="dxa"/>
            <w:noWrap/>
            <w:hideMark/>
          </w:tcPr>
          <w:p w:rsidR="00745F8E" w:rsidRPr="007329C0" w:rsidRDefault="00745F8E" w:rsidP="00227F5A">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7329C0">
              <w:rPr>
                <w:sz w:val="18"/>
                <w:szCs w:val="18"/>
                <w:lang w:eastAsia="en-GB"/>
              </w:rPr>
              <w:t>-35.67%</w:t>
            </w:r>
          </w:p>
        </w:tc>
        <w:tc>
          <w:tcPr>
            <w:tcW w:w="946" w:type="dxa"/>
            <w:noWrap/>
            <w:hideMark/>
          </w:tcPr>
          <w:p w:rsidR="00745F8E" w:rsidRPr="007329C0" w:rsidRDefault="00745F8E" w:rsidP="00227F5A">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7329C0">
              <w:rPr>
                <w:sz w:val="18"/>
                <w:szCs w:val="18"/>
                <w:lang w:eastAsia="en-GB"/>
              </w:rPr>
              <w:t>7.50%</w:t>
            </w:r>
          </w:p>
        </w:tc>
        <w:tc>
          <w:tcPr>
            <w:tcW w:w="1000" w:type="dxa"/>
            <w:noWrap/>
            <w:hideMark/>
          </w:tcPr>
          <w:p w:rsidR="00745F8E" w:rsidRPr="007329C0" w:rsidRDefault="00745F8E" w:rsidP="00227F5A">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7329C0">
              <w:rPr>
                <w:sz w:val="18"/>
                <w:szCs w:val="18"/>
                <w:lang w:eastAsia="en-GB"/>
              </w:rPr>
              <w:t>2.30%</w:t>
            </w:r>
          </w:p>
        </w:tc>
        <w:tc>
          <w:tcPr>
            <w:tcW w:w="1041" w:type="dxa"/>
            <w:noWrap/>
            <w:hideMark/>
          </w:tcPr>
          <w:p w:rsidR="00745F8E" w:rsidRPr="007329C0" w:rsidRDefault="00745F8E" w:rsidP="00227F5A">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7329C0">
              <w:rPr>
                <w:sz w:val="18"/>
                <w:szCs w:val="18"/>
                <w:lang w:eastAsia="en-GB"/>
              </w:rPr>
              <w:t>84.73%</w:t>
            </w:r>
          </w:p>
        </w:tc>
      </w:tr>
      <w:tr w:rsidR="00745F8E" w:rsidRPr="007329C0" w:rsidTr="00745F8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519" w:type="dxa"/>
            <w:noWrap/>
          </w:tcPr>
          <w:p w:rsidR="00745F8E" w:rsidRPr="007329C0" w:rsidRDefault="00745F8E" w:rsidP="00227F5A">
            <w:pPr>
              <w:spacing w:after="0"/>
              <w:jc w:val="left"/>
              <w:rPr>
                <w:sz w:val="18"/>
                <w:szCs w:val="18"/>
                <w:lang w:eastAsia="en-GB"/>
              </w:rPr>
            </w:pPr>
            <w:r>
              <w:rPr>
                <w:sz w:val="18"/>
                <w:szCs w:val="18"/>
                <w:lang w:eastAsia="en-GB"/>
              </w:rPr>
              <w:t>Country 5</w:t>
            </w:r>
          </w:p>
        </w:tc>
        <w:tc>
          <w:tcPr>
            <w:tcW w:w="900" w:type="dxa"/>
            <w:vAlign w:val="bottom"/>
          </w:tcPr>
          <w:p w:rsidR="00745F8E" w:rsidRPr="00771B43" w:rsidRDefault="00745F8E" w:rsidP="00227F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771B43">
              <w:rPr>
                <w:sz w:val="18"/>
                <w:szCs w:val="18"/>
              </w:rPr>
              <w:t>5.48%</w:t>
            </w:r>
          </w:p>
        </w:tc>
        <w:tc>
          <w:tcPr>
            <w:tcW w:w="921" w:type="dxa"/>
            <w:noWrap/>
            <w:hideMark/>
          </w:tcPr>
          <w:p w:rsidR="00745F8E" w:rsidRPr="007329C0" w:rsidRDefault="00745F8E" w:rsidP="00227F5A">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7329C0">
              <w:rPr>
                <w:sz w:val="18"/>
                <w:szCs w:val="18"/>
                <w:lang w:eastAsia="en-GB"/>
              </w:rPr>
              <w:t>-20.97%</w:t>
            </w:r>
          </w:p>
        </w:tc>
        <w:tc>
          <w:tcPr>
            <w:tcW w:w="946" w:type="dxa"/>
            <w:noWrap/>
            <w:hideMark/>
          </w:tcPr>
          <w:p w:rsidR="00745F8E" w:rsidRPr="007329C0" w:rsidRDefault="00745F8E" w:rsidP="00227F5A">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7329C0">
              <w:rPr>
                <w:sz w:val="18"/>
                <w:szCs w:val="18"/>
                <w:lang w:eastAsia="en-GB"/>
              </w:rPr>
              <w:t>7.35%</w:t>
            </w:r>
          </w:p>
        </w:tc>
        <w:tc>
          <w:tcPr>
            <w:tcW w:w="1000" w:type="dxa"/>
            <w:noWrap/>
            <w:hideMark/>
          </w:tcPr>
          <w:p w:rsidR="00745F8E" w:rsidRPr="007329C0" w:rsidRDefault="00745F8E" w:rsidP="00227F5A">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7329C0">
              <w:rPr>
                <w:sz w:val="18"/>
                <w:szCs w:val="18"/>
                <w:lang w:eastAsia="en-GB"/>
              </w:rPr>
              <w:t>3.92%</w:t>
            </w:r>
          </w:p>
        </w:tc>
        <w:tc>
          <w:tcPr>
            <w:tcW w:w="1041" w:type="dxa"/>
            <w:noWrap/>
            <w:hideMark/>
          </w:tcPr>
          <w:p w:rsidR="00745F8E" w:rsidRPr="007329C0" w:rsidRDefault="00745F8E" w:rsidP="00227F5A">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7329C0">
              <w:rPr>
                <w:sz w:val="18"/>
                <w:szCs w:val="18"/>
                <w:lang w:eastAsia="en-GB"/>
              </w:rPr>
              <w:t>117.56%</w:t>
            </w:r>
          </w:p>
        </w:tc>
      </w:tr>
    </w:tbl>
    <w:p w:rsidR="00323972" w:rsidRDefault="00323972" w:rsidP="00323972"/>
    <w:p w:rsidR="00312F85" w:rsidRDefault="00312F85" w:rsidP="00323972">
      <w:r>
        <w:t xml:space="preserve">Because one of the changes in the SNA 2008 (ESA 2010) methodology is the capitalisation of research and development activities, the GVA for this </w:t>
      </w:r>
      <w:r w:rsidR="00323972">
        <w:t xml:space="preserve">industry </w:t>
      </w:r>
      <w:r>
        <w:t>was expected to show revision from one dataset to another.</w:t>
      </w:r>
    </w:p>
    <w:p w:rsidR="00312F85" w:rsidRDefault="00312F85" w:rsidP="00323972">
      <w:r>
        <w:t xml:space="preserve">Indeed the industry </w:t>
      </w:r>
      <w:r w:rsidR="00323972">
        <w:t xml:space="preserve">of </w:t>
      </w:r>
      <w:r w:rsidR="00323972" w:rsidRPr="006A0436">
        <w:t>scientific research and development</w:t>
      </w:r>
      <w:r w:rsidR="00323972">
        <w:t xml:space="preserve"> M72 shows large revisions </w:t>
      </w:r>
      <w:r>
        <w:t>from 54% to 86% on the seven countries examined</w:t>
      </w:r>
      <w:r w:rsidR="00323972">
        <w:t xml:space="preserve">. </w:t>
      </w:r>
    </w:p>
    <w:p w:rsidR="00323972" w:rsidRDefault="00312F85" w:rsidP="00323972">
      <w:r>
        <w:t>At the 64 detailed levels of industries some GVA were revised extremely in real estate's activity which correspond not only to the SNA 2008 (ESA 2010</w:t>
      </w:r>
      <w:r w:rsidR="00517A1C">
        <w:t>)</w:t>
      </w:r>
      <w:r>
        <w:t xml:space="preserve"> methodology change but as well to </w:t>
      </w:r>
      <w:r w:rsidR="00323972">
        <w:t>methodological improvements or corrections</w:t>
      </w:r>
      <w:r>
        <w:t>.</w:t>
      </w:r>
    </w:p>
    <w:p w:rsidR="00323972" w:rsidRDefault="00323972" w:rsidP="00323972">
      <w:r>
        <w:t xml:space="preserve">Going to a higher level of aggregation, </w:t>
      </w:r>
      <w:r w:rsidR="00312F85">
        <w:t>t</w:t>
      </w:r>
      <w:r>
        <w:t>he revisions are in general larger for services activities than for agricultur</w:t>
      </w:r>
      <w:r w:rsidR="00312F85">
        <w:t>al and manufacturing activities</w:t>
      </w:r>
      <w:r>
        <w:t>, with a 30% revision of gross value added for e</w:t>
      </w:r>
      <w:r w:rsidRPr="003671D4">
        <w:t>lectricity, gas, steam and air conditioning supply</w:t>
      </w:r>
      <w:r w:rsidR="00517A1C">
        <w:t xml:space="preserve"> in one of the seven countries.</w:t>
      </w:r>
    </w:p>
    <w:p w:rsidR="00517A1C" w:rsidRDefault="00517A1C" w:rsidP="00460FB4">
      <w:pPr>
        <w:autoSpaceDE w:val="0"/>
        <w:autoSpaceDN w:val="0"/>
        <w:adjustRightInd w:val="0"/>
        <w:spacing w:after="0"/>
      </w:pPr>
      <w:r>
        <w:t xml:space="preserve">Looking at a simple average over the seven countries, we may leave aside the industries S, T and U </w:t>
      </w:r>
      <w:r w:rsidR="00460FB4">
        <w:t>(</w:t>
      </w:r>
      <w:r>
        <w:t xml:space="preserve">which are </w:t>
      </w:r>
      <w:r w:rsidR="00460FB4">
        <w:t xml:space="preserve">S </w:t>
      </w:r>
      <w:r w:rsidR="00460FB4" w:rsidRPr="00460FB4">
        <w:t>Other service activities</w:t>
      </w:r>
      <w:r w:rsidR="00460FB4">
        <w:t xml:space="preserve">, T, </w:t>
      </w:r>
      <w:r w:rsidR="00460FB4" w:rsidRPr="00460FB4">
        <w:t>Activities of households as employers</w:t>
      </w:r>
      <w:r w:rsidR="00460FB4">
        <w:t xml:space="preserve"> and U </w:t>
      </w:r>
      <w:r w:rsidR="00460FB4" w:rsidRPr="00460FB4">
        <w:t>Activities of extraterritorial organisations and Bodies)</w:t>
      </w:r>
      <w:r w:rsidR="00460FB4">
        <w:t xml:space="preserve"> </w:t>
      </w:r>
      <w:r>
        <w:t>because of some outliers' revision percentages</w:t>
      </w:r>
      <w:r w:rsidR="00460FB4">
        <w:t>.</w:t>
      </w:r>
    </w:p>
    <w:p w:rsidR="001F6986" w:rsidRDefault="006B0904" w:rsidP="00460FB4">
      <w:pPr>
        <w:autoSpaceDE w:val="0"/>
        <w:autoSpaceDN w:val="0"/>
        <w:adjustRightInd w:val="0"/>
        <w:spacing w:after="0"/>
      </w:pPr>
      <w:r>
        <w:t xml:space="preserve">But services industries such as M </w:t>
      </w:r>
      <w:r w:rsidRPr="006B0904">
        <w:t xml:space="preserve">Professional, scientific and technical activities (in which the research and development industry is) register high revision for the GVA, followed by the industry L of real estate activities, the industry I Accommodation and food service activities. </w:t>
      </w:r>
    </w:p>
    <w:p w:rsidR="001F6986" w:rsidRDefault="001F6986" w:rsidP="001F6986">
      <w:r>
        <w:t>The defence services are part of the activity O, and therefore, the high change in gross value added for this industry may be linked to the capitalisation of military weapon systems.</w:t>
      </w:r>
    </w:p>
    <w:p w:rsidR="006B0904" w:rsidRDefault="006B0904" w:rsidP="00460FB4">
      <w:pPr>
        <w:autoSpaceDE w:val="0"/>
        <w:autoSpaceDN w:val="0"/>
        <w:adjustRightInd w:val="0"/>
        <w:spacing w:after="0"/>
      </w:pPr>
      <w:r w:rsidRPr="006B0904">
        <w:t>The overall average revision in manufacturing for those seven countries is however of the same amplitude with 5.6% which is driven by two upwards revisions of 13%.</w:t>
      </w:r>
    </w:p>
    <w:p w:rsidR="00460FB4" w:rsidRDefault="00460FB4" w:rsidP="00460FB4">
      <w:pPr>
        <w:autoSpaceDE w:val="0"/>
        <w:autoSpaceDN w:val="0"/>
        <w:adjustRightInd w:val="0"/>
        <w:spacing w:after="0"/>
      </w:pPr>
    </w:p>
    <w:p w:rsidR="00517A1C" w:rsidRPr="00517A1C" w:rsidRDefault="00517A1C" w:rsidP="00323972">
      <w:pPr>
        <w:rPr>
          <w:u w:val="single"/>
        </w:rPr>
      </w:pPr>
      <w:r w:rsidRPr="00517A1C">
        <w:rPr>
          <w:u w:val="single"/>
        </w:rPr>
        <w:t>Table 2: average GVA revision by industry</w:t>
      </w:r>
      <w:r w:rsidR="00D155FF">
        <w:rPr>
          <w:rStyle w:val="FootnoteReference"/>
          <w:u w:val="single"/>
        </w:rPr>
        <w:footnoteReference w:id="4"/>
      </w:r>
      <w:r w:rsidRPr="00517A1C">
        <w:rPr>
          <w:u w:val="single"/>
        </w:rPr>
        <w:t xml:space="preserve"> (Section level) over seven European countries</w:t>
      </w:r>
    </w:p>
    <w:tbl>
      <w:tblPr>
        <w:tblStyle w:val="LightShading-Accent4"/>
        <w:tblW w:w="9880" w:type="dxa"/>
        <w:tblLook w:val="04A0" w:firstRow="1" w:lastRow="0" w:firstColumn="1" w:lastColumn="0" w:noHBand="0" w:noVBand="1"/>
      </w:tblPr>
      <w:tblGrid>
        <w:gridCol w:w="980"/>
        <w:gridCol w:w="980"/>
        <w:gridCol w:w="1000"/>
        <w:gridCol w:w="980"/>
        <w:gridCol w:w="980"/>
        <w:gridCol w:w="980"/>
        <w:gridCol w:w="1000"/>
        <w:gridCol w:w="1000"/>
        <w:gridCol w:w="980"/>
        <w:gridCol w:w="1000"/>
      </w:tblGrid>
      <w:tr w:rsidR="006B0904" w:rsidRPr="00517A1C" w:rsidTr="006B0904">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80" w:type="dxa"/>
            <w:noWrap/>
            <w:hideMark/>
          </w:tcPr>
          <w:p w:rsidR="006B0904" w:rsidRPr="00517A1C" w:rsidRDefault="006B0904" w:rsidP="00517A1C">
            <w:pPr>
              <w:spacing w:after="0"/>
              <w:rPr>
                <w:rFonts w:ascii="Arial" w:eastAsia="Times New Roman" w:hAnsi="Arial" w:cs="Arial"/>
                <w:sz w:val="18"/>
                <w:szCs w:val="18"/>
                <w:lang w:eastAsia="en-GB"/>
              </w:rPr>
            </w:pPr>
            <w:r w:rsidRPr="00517A1C">
              <w:rPr>
                <w:rFonts w:ascii="Arial" w:eastAsia="Times New Roman" w:hAnsi="Arial" w:cs="Arial"/>
                <w:sz w:val="18"/>
                <w:szCs w:val="18"/>
                <w:lang w:eastAsia="en-GB"/>
              </w:rPr>
              <w:t>A</w:t>
            </w:r>
            <w:r>
              <w:rPr>
                <w:rFonts w:ascii="Arial" w:eastAsia="Times New Roman" w:hAnsi="Arial" w:cs="Arial"/>
                <w:sz w:val="18"/>
                <w:szCs w:val="18"/>
                <w:lang w:eastAsia="en-GB"/>
              </w:rPr>
              <w:t xml:space="preserve"> </w:t>
            </w:r>
          </w:p>
        </w:tc>
        <w:tc>
          <w:tcPr>
            <w:tcW w:w="980" w:type="dxa"/>
            <w:noWrap/>
            <w:hideMark/>
          </w:tcPr>
          <w:p w:rsidR="006B0904" w:rsidRPr="00517A1C" w:rsidRDefault="006B0904" w:rsidP="00517A1C">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sidRPr="00517A1C">
              <w:rPr>
                <w:rFonts w:ascii="Arial" w:eastAsia="Times New Roman" w:hAnsi="Arial" w:cs="Arial"/>
                <w:sz w:val="18"/>
                <w:szCs w:val="18"/>
                <w:lang w:eastAsia="en-GB"/>
              </w:rPr>
              <w:t>B</w:t>
            </w:r>
          </w:p>
        </w:tc>
        <w:tc>
          <w:tcPr>
            <w:tcW w:w="1000" w:type="dxa"/>
            <w:noWrap/>
            <w:hideMark/>
          </w:tcPr>
          <w:p w:rsidR="006B0904" w:rsidRPr="00517A1C" w:rsidRDefault="006B0904" w:rsidP="00517A1C">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sidRPr="00517A1C">
              <w:rPr>
                <w:rFonts w:ascii="Arial" w:eastAsia="Times New Roman" w:hAnsi="Arial" w:cs="Arial"/>
                <w:sz w:val="18"/>
                <w:szCs w:val="18"/>
                <w:lang w:eastAsia="en-GB"/>
              </w:rPr>
              <w:t>C</w:t>
            </w:r>
          </w:p>
        </w:tc>
        <w:tc>
          <w:tcPr>
            <w:tcW w:w="980" w:type="dxa"/>
            <w:noWrap/>
            <w:hideMark/>
          </w:tcPr>
          <w:p w:rsidR="006B0904" w:rsidRPr="00517A1C" w:rsidRDefault="006B0904" w:rsidP="00517A1C">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sidRPr="00517A1C">
              <w:rPr>
                <w:rFonts w:ascii="Arial" w:eastAsia="Times New Roman" w:hAnsi="Arial" w:cs="Arial"/>
                <w:sz w:val="18"/>
                <w:szCs w:val="18"/>
                <w:lang w:eastAsia="en-GB"/>
              </w:rPr>
              <w:t>D</w:t>
            </w:r>
          </w:p>
        </w:tc>
        <w:tc>
          <w:tcPr>
            <w:tcW w:w="980" w:type="dxa"/>
            <w:noWrap/>
            <w:hideMark/>
          </w:tcPr>
          <w:p w:rsidR="006B0904" w:rsidRPr="00517A1C" w:rsidRDefault="006B0904" w:rsidP="00517A1C">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sidRPr="00517A1C">
              <w:rPr>
                <w:rFonts w:ascii="Arial" w:eastAsia="Times New Roman" w:hAnsi="Arial" w:cs="Arial"/>
                <w:sz w:val="18"/>
                <w:szCs w:val="18"/>
                <w:lang w:eastAsia="en-GB"/>
              </w:rPr>
              <w:t>E</w:t>
            </w:r>
          </w:p>
        </w:tc>
        <w:tc>
          <w:tcPr>
            <w:tcW w:w="980" w:type="dxa"/>
            <w:noWrap/>
            <w:hideMark/>
          </w:tcPr>
          <w:p w:rsidR="006B0904" w:rsidRPr="00517A1C" w:rsidRDefault="006B0904" w:rsidP="00517A1C">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sidRPr="00517A1C">
              <w:rPr>
                <w:rFonts w:ascii="Arial" w:eastAsia="Times New Roman" w:hAnsi="Arial" w:cs="Arial"/>
                <w:sz w:val="18"/>
                <w:szCs w:val="18"/>
                <w:lang w:eastAsia="en-GB"/>
              </w:rPr>
              <w:t>F</w:t>
            </w:r>
          </w:p>
        </w:tc>
        <w:tc>
          <w:tcPr>
            <w:tcW w:w="1000" w:type="dxa"/>
            <w:noWrap/>
            <w:hideMark/>
          </w:tcPr>
          <w:p w:rsidR="006B0904" w:rsidRPr="00517A1C" w:rsidRDefault="006B0904" w:rsidP="00517A1C">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sidRPr="00517A1C">
              <w:rPr>
                <w:rFonts w:ascii="Arial" w:eastAsia="Times New Roman" w:hAnsi="Arial" w:cs="Arial"/>
                <w:sz w:val="18"/>
                <w:szCs w:val="18"/>
                <w:lang w:eastAsia="en-GB"/>
              </w:rPr>
              <w:t>G</w:t>
            </w:r>
          </w:p>
        </w:tc>
        <w:tc>
          <w:tcPr>
            <w:tcW w:w="1000" w:type="dxa"/>
            <w:noWrap/>
            <w:hideMark/>
          </w:tcPr>
          <w:p w:rsidR="006B0904" w:rsidRPr="00517A1C" w:rsidRDefault="006B0904" w:rsidP="00517A1C">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sidRPr="00517A1C">
              <w:rPr>
                <w:rFonts w:ascii="Arial" w:eastAsia="Times New Roman" w:hAnsi="Arial" w:cs="Arial"/>
                <w:sz w:val="18"/>
                <w:szCs w:val="18"/>
                <w:lang w:eastAsia="en-GB"/>
              </w:rPr>
              <w:t>H</w:t>
            </w:r>
          </w:p>
        </w:tc>
        <w:tc>
          <w:tcPr>
            <w:tcW w:w="980" w:type="dxa"/>
            <w:noWrap/>
            <w:hideMark/>
          </w:tcPr>
          <w:p w:rsidR="006B0904" w:rsidRPr="00517A1C" w:rsidRDefault="006B0904" w:rsidP="00517A1C">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sidRPr="00517A1C">
              <w:rPr>
                <w:rFonts w:ascii="Arial" w:eastAsia="Times New Roman" w:hAnsi="Arial" w:cs="Arial"/>
                <w:sz w:val="18"/>
                <w:szCs w:val="18"/>
                <w:lang w:eastAsia="en-GB"/>
              </w:rPr>
              <w:t>I</w:t>
            </w:r>
          </w:p>
        </w:tc>
        <w:tc>
          <w:tcPr>
            <w:tcW w:w="1000" w:type="dxa"/>
            <w:noWrap/>
            <w:hideMark/>
          </w:tcPr>
          <w:p w:rsidR="006B0904" w:rsidRPr="00517A1C" w:rsidRDefault="006B0904" w:rsidP="00517A1C">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sidRPr="00517A1C">
              <w:rPr>
                <w:rFonts w:ascii="Arial" w:eastAsia="Times New Roman" w:hAnsi="Arial" w:cs="Arial"/>
                <w:sz w:val="18"/>
                <w:szCs w:val="18"/>
                <w:lang w:eastAsia="en-GB"/>
              </w:rPr>
              <w:t>J</w:t>
            </w:r>
          </w:p>
        </w:tc>
      </w:tr>
      <w:tr w:rsidR="006B0904" w:rsidRPr="006B0904" w:rsidTr="006B090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80" w:type="dxa"/>
            <w:noWrap/>
            <w:hideMark/>
          </w:tcPr>
          <w:p w:rsidR="006B0904" w:rsidRPr="00517A1C" w:rsidRDefault="006B0904" w:rsidP="00517A1C">
            <w:pPr>
              <w:spacing w:after="0"/>
              <w:jc w:val="right"/>
              <w:rPr>
                <w:rFonts w:ascii="Arial" w:eastAsia="Times New Roman" w:hAnsi="Arial" w:cs="Arial"/>
                <w:b w:val="0"/>
                <w:sz w:val="18"/>
                <w:szCs w:val="18"/>
                <w:lang w:eastAsia="en-GB"/>
              </w:rPr>
            </w:pPr>
            <w:r w:rsidRPr="00517A1C">
              <w:rPr>
                <w:rFonts w:ascii="Arial" w:eastAsia="Times New Roman" w:hAnsi="Arial" w:cs="Arial"/>
                <w:b w:val="0"/>
                <w:sz w:val="18"/>
                <w:szCs w:val="18"/>
                <w:lang w:eastAsia="en-GB"/>
              </w:rPr>
              <w:t>5.3%</w:t>
            </w:r>
          </w:p>
        </w:tc>
        <w:tc>
          <w:tcPr>
            <w:tcW w:w="980" w:type="dxa"/>
            <w:noWrap/>
            <w:hideMark/>
          </w:tcPr>
          <w:p w:rsidR="006B0904" w:rsidRPr="00517A1C" w:rsidRDefault="006B0904" w:rsidP="00517A1C">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GB"/>
              </w:rPr>
            </w:pPr>
            <w:r w:rsidRPr="00517A1C">
              <w:rPr>
                <w:rFonts w:ascii="Arial" w:eastAsia="Times New Roman" w:hAnsi="Arial" w:cs="Arial"/>
                <w:sz w:val="18"/>
                <w:szCs w:val="18"/>
                <w:lang w:eastAsia="en-GB"/>
              </w:rPr>
              <w:t>0.8%</w:t>
            </w:r>
          </w:p>
        </w:tc>
        <w:tc>
          <w:tcPr>
            <w:tcW w:w="1000" w:type="dxa"/>
            <w:noWrap/>
            <w:hideMark/>
          </w:tcPr>
          <w:p w:rsidR="006B0904" w:rsidRPr="00517A1C" w:rsidRDefault="006B0904" w:rsidP="00517A1C">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GB"/>
              </w:rPr>
            </w:pPr>
            <w:r w:rsidRPr="00517A1C">
              <w:rPr>
                <w:rFonts w:ascii="Arial" w:eastAsia="Times New Roman" w:hAnsi="Arial" w:cs="Arial"/>
                <w:sz w:val="18"/>
                <w:szCs w:val="18"/>
                <w:lang w:eastAsia="en-GB"/>
              </w:rPr>
              <w:t>5.6%</w:t>
            </w:r>
          </w:p>
        </w:tc>
        <w:tc>
          <w:tcPr>
            <w:tcW w:w="980" w:type="dxa"/>
            <w:noWrap/>
            <w:hideMark/>
          </w:tcPr>
          <w:p w:rsidR="006B0904" w:rsidRPr="00517A1C" w:rsidRDefault="006B0904" w:rsidP="00517A1C">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GB"/>
              </w:rPr>
            </w:pPr>
            <w:r w:rsidRPr="00517A1C">
              <w:rPr>
                <w:rFonts w:ascii="Arial" w:eastAsia="Times New Roman" w:hAnsi="Arial" w:cs="Arial"/>
                <w:sz w:val="18"/>
                <w:szCs w:val="18"/>
                <w:lang w:eastAsia="en-GB"/>
              </w:rPr>
              <w:t>1.3%</w:t>
            </w:r>
          </w:p>
        </w:tc>
        <w:tc>
          <w:tcPr>
            <w:tcW w:w="980" w:type="dxa"/>
            <w:noWrap/>
            <w:hideMark/>
          </w:tcPr>
          <w:p w:rsidR="006B0904" w:rsidRPr="00517A1C" w:rsidRDefault="006B0904" w:rsidP="00517A1C">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GB"/>
              </w:rPr>
            </w:pPr>
            <w:r w:rsidRPr="00517A1C">
              <w:rPr>
                <w:rFonts w:ascii="Arial" w:eastAsia="Times New Roman" w:hAnsi="Arial" w:cs="Arial"/>
                <w:sz w:val="18"/>
                <w:szCs w:val="18"/>
                <w:lang w:eastAsia="en-GB"/>
              </w:rPr>
              <w:t>2.8%</w:t>
            </w:r>
          </w:p>
        </w:tc>
        <w:tc>
          <w:tcPr>
            <w:tcW w:w="980" w:type="dxa"/>
            <w:noWrap/>
            <w:hideMark/>
          </w:tcPr>
          <w:p w:rsidR="006B0904" w:rsidRPr="00517A1C" w:rsidRDefault="006B0904" w:rsidP="00517A1C">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GB"/>
              </w:rPr>
            </w:pPr>
            <w:r w:rsidRPr="00517A1C">
              <w:rPr>
                <w:rFonts w:ascii="Arial" w:eastAsia="Times New Roman" w:hAnsi="Arial" w:cs="Arial"/>
                <w:sz w:val="18"/>
                <w:szCs w:val="18"/>
                <w:lang w:eastAsia="en-GB"/>
              </w:rPr>
              <w:t>-0.2%</w:t>
            </w:r>
          </w:p>
        </w:tc>
        <w:tc>
          <w:tcPr>
            <w:tcW w:w="1000" w:type="dxa"/>
            <w:noWrap/>
            <w:hideMark/>
          </w:tcPr>
          <w:p w:rsidR="006B0904" w:rsidRPr="00517A1C" w:rsidRDefault="006B0904" w:rsidP="00517A1C">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GB"/>
              </w:rPr>
            </w:pPr>
            <w:r w:rsidRPr="00517A1C">
              <w:rPr>
                <w:rFonts w:ascii="Arial" w:eastAsia="Times New Roman" w:hAnsi="Arial" w:cs="Arial"/>
                <w:sz w:val="18"/>
                <w:szCs w:val="18"/>
                <w:lang w:eastAsia="en-GB"/>
              </w:rPr>
              <w:t>2.9%</w:t>
            </w:r>
          </w:p>
        </w:tc>
        <w:tc>
          <w:tcPr>
            <w:tcW w:w="1000" w:type="dxa"/>
            <w:noWrap/>
            <w:hideMark/>
          </w:tcPr>
          <w:p w:rsidR="006B0904" w:rsidRPr="00517A1C" w:rsidRDefault="006B0904" w:rsidP="00517A1C">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GB"/>
              </w:rPr>
            </w:pPr>
            <w:r w:rsidRPr="00517A1C">
              <w:rPr>
                <w:rFonts w:ascii="Arial" w:eastAsia="Times New Roman" w:hAnsi="Arial" w:cs="Arial"/>
                <w:sz w:val="18"/>
                <w:szCs w:val="18"/>
                <w:lang w:eastAsia="en-GB"/>
              </w:rPr>
              <w:t>0.7%</w:t>
            </w:r>
          </w:p>
        </w:tc>
        <w:tc>
          <w:tcPr>
            <w:tcW w:w="980" w:type="dxa"/>
            <w:noWrap/>
            <w:hideMark/>
          </w:tcPr>
          <w:p w:rsidR="006B0904" w:rsidRPr="00517A1C" w:rsidRDefault="006B0904" w:rsidP="00517A1C">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GB"/>
              </w:rPr>
            </w:pPr>
            <w:r w:rsidRPr="00517A1C">
              <w:rPr>
                <w:rFonts w:ascii="Arial" w:eastAsia="Times New Roman" w:hAnsi="Arial" w:cs="Arial"/>
                <w:sz w:val="18"/>
                <w:szCs w:val="18"/>
                <w:lang w:eastAsia="en-GB"/>
              </w:rPr>
              <w:t>5.1%</w:t>
            </w:r>
          </w:p>
        </w:tc>
        <w:tc>
          <w:tcPr>
            <w:tcW w:w="1000" w:type="dxa"/>
            <w:noWrap/>
            <w:hideMark/>
          </w:tcPr>
          <w:p w:rsidR="006B0904" w:rsidRPr="00517A1C" w:rsidRDefault="006B0904" w:rsidP="00517A1C">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GB"/>
              </w:rPr>
            </w:pPr>
            <w:r w:rsidRPr="00517A1C">
              <w:rPr>
                <w:rFonts w:ascii="Arial" w:eastAsia="Times New Roman" w:hAnsi="Arial" w:cs="Arial"/>
                <w:sz w:val="18"/>
                <w:szCs w:val="18"/>
                <w:lang w:eastAsia="en-GB"/>
              </w:rPr>
              <w:t>3.0%</w:t>
            </w:r>
          </w:p>
        </w:tc>
      </w:tr>
      <w:tr w:rsidR="006B0904" w:rsidRPr="006B0904" w:rsidTr="006B0904">
        <w:trPr>
          <w:trHeight w:val="240"/>
        </w:trPr>
        <w:tc>
          <w:tcPr>
            <w:cnfStyle w:val="001000000000" w:firstRow="0" w:lastRow="0" w:firstColumn="1" w:lastColumn="0" w:oddVBand="0" w:evenVBand="0" w:oddHBand="0" w:evenHBand="0" w:firstRowFirstColumn="0" w:firstRowLastColumn="0" w:lastRowFirstColumn="0" w:lastRowLastColumn="0"/>
            <w:tcW w:w="980" w:type="dxa"/>
            <w:noWrap/>
          </w:tcPr>
          <w:p w:rsidR="006B0904" w:rsidRPr="00517A1C" w:rsidRDefault="006B0904" w:rsidP="00227F5A">
            <w:pPr>
              <w:spacing w:after="0"/>
              <w:rPr>
                <w:rFonts w:ascii="Arial" w:eastAsia="Times New Roman" w:hAnsi="Arial" w:cs="Arial"/>
                <w:sz w:val="18"/>
                <w:szCs w:val="18"/>
                <w:lang w:eastAsia="en-GB"/>
              </w:rPr>
            </w:pPr>
            <w:r w:rsidRPr="00517A1C">
              <w:rPr>
                <w:rFonts w:ascii="Arial" w:eastAsia="Times New Roman" w:hAnsi="Arial" w:cs="Arial"/>
                <w:sz w:val="18"/>
                <w:szCs w:val="18"/>
                <w:lang w:eastAsia="en-GB"/>
              </w:rPr>
              <w:t>K</w:t>
            </w:r>
          </w:p>
        </w:tc>
        <w:tc>
          <w:tcPr>
            <w:tcW w:w="980" w:type="dxa"/>
            <w:noWrap/>
          </w:tcPr>
          <w:p w:rsidR="006B0904" w:rsidRPr="00517A1C" w:rsidRDefault="006B0904" w:rsidP="00227F5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18"/>
                <w:lang w:eastAsia="en-GB"/>
              </w:rPr>
            </w:pPr>
            <w:r w:rsidRPr="00517A1C">
              <w:rPr>
                <w:rFonts w:ascii="Arial" w:eastAsia="Times New Roman" w:hAnsi="Arial" w:cs="Arial"/>
                <w:b/>
                <w:sz w:val="18"/>
                <w:szCs w:val="18"/>
                <w:lang w:eastAsia="en-GB"/>
              </w:rPr>
              <w:t>L</w:t>
            </w:r>
          </w:p>
        </w:tc>
        <w:tc>
          <w:tcPr>
            <w:tcW w:w="1000" w:type="dxa"/>
            <w:noWrap/>
          </w:tcPr>
          <w:p w:rsidR="006B0904" w:rsidRPr="00517A1C" w:rsidRDefault="006B0904" w:rsidP="00227F5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18"/>
                <w:lang w:eastAsia="en-GB"/>
              </w:rPr>
            </w:pPr>
            <w:r w:rsidRPr="00517A1C">
              <w:rPr>
                <w:rFonts w:ascii="Arial" w:eastAsia="Times New Roman" w:hAnsi="Arial" w:cs="Arial"/>
                <w:b/>
                <w:sz w:val="18"/>
                <w:szCs w:val="18"/>
                <w:lang w:eastAsia="en-GB"/>
              </w:rPr>
              <w:t>M</w:t>
            </w:r>
          </w:p>
        </w:tc>
        <w:tc>
          <w:tcPr>
            <w:tcW w:w="980" w:type="dxa"/>
            <w:noWrap/>
          </w:tcPr>
          <w:p w:rsidR="006B0904" w:rsidRPr="00517A1C" w:rsidRDefault="006B0904" w:rsidP="00227F5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18"/>
                <w:lang w:eastAsia="en-GB"/>
              </w:rPr>
            </w:pPr>
            <w:r w:rsidRPr="00517A1C">
              <w:rPr>
                <w:rFonts w:ascii="Arial" w:eastAsia="Times New Roman" w:hAnsi="Arial" w:cs="Arial"/>
                <w:b/>
                <w:sz w:val="18"/>
                <w:szCs w:val="18"/>
                <w:lang w:eastAsia="en-GB"/>
              </w:rPr>
              <w:t>N</w:t>
            </w:r>
          </w:p>
        </w:tc>
        <w:tc>
          <w:tcPr>
            <w:tcW w:w="980" w:type="dxa"/>
            <w:noWrap/>
          </w:tcPr>
          <w:p w:rsidR="006B0904" w:rsidRPr="00517A1C" w:rsidRDefault="006B0904" w:rsidP="00227F5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18"/>
                <w:lang w:eastAsia="en-GB"/>
              </w:rPr>
            </w:pPr>
            <w:r w:rsidRPr="00517A1C">
              <w:rPr>
                <w:rFonts w:ascii="Arial" w:eastAsia="Times New Roman" w:hAnsi="Arial" w:cs="Arial"/>
                <w:b/>
                <w:sz w:val="18"/>
                <w:szCs w:val="18"/>
                <w:lang w:eastAsia="en-GB"/>
              </w:rPr>
              <w:t>O</w:t>
            </w:r>
          </w:p>
        </w:tc>
        <w:tc>
          <w:tcPr>
            <w:tcW w:w="980" w:type="dxa"/>
            <w:noWrap/>
          </w:tcPr>
          <w:p w:rsidR="006B0904" w:rsidRPr="00517A1C" w:rsidRDefault="006B0904" w:rsidP="00227F5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18"/>
                <w:lang w:eastAsia="en-GB"/>
              </w:rPr>
            </w:pPr>
            <w:r w:rsidRPr="00517A1C">
              <w:rPr>
                <w:rFonts w:ascii="Arial" w:eastAsia="Times New Roman" w:hAnsi="Arial" w:cs="Arial"/>
                <w:b/>
                <w:sz w:val="18"/>
                <w:szCs w:val="18"/>
                <w:lang w:eastAsia="en-GB"/>
              </w:rPr>
              <w:t>P</w:t>
            </w:r>
          </w:p>
        </w:tc>
        <w:tc>
          <w:tcPr>
            <w:tcW w:w="1000" w:type="dxa"/>
            <w:noWrap/>
          </w:tcPr>
          <w:p w:rsidR="006B0904" w:rsidRPr="00517A1C" w:rsidRDefault="006B0904" w:rsidP="00227F5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18"/>
                <w:lang w:eastAsia="en-GB"/>
              </w:rPr>
            </w:pPr>
            <w:r w:rsidRPr="00517A1C">
              <w:rPr>
                <w:rFonts w:ascii="Arial" w:eastAsia="Times New Roman" w:hAnsi="Arial" w:cs="Arial"/>
                <w:b/>
                <w:sz w:val="18"/>
                <w:szCs w:val="18"/>
                <w:lang w:eastAsia="en-GB"/>
              </w:rPr>
              <w:t>Q</w:t>
            </w:r>
          </w:p>
        </w:tc>
        <w:tc>
          <w:tcPr>
            <w:tcW w:w="1000" w:type="dxa"/>
            <w:noWrap/>
          </w:tcPr>
          <w:p w:rsidR="006B0904" w:rsidRPr="00517A1C" w:rsidRDefault="006B0904" w:rsidP="00227F5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18"/>
                <w:lang w:eastAsia="en-GB"/>
              </w:rPr>
            </w:pPr>
            <w:r w:rsidRPr="00517A1C">
              <w:rPr>
                <w:rFonts w:ascii="Arial" w:eastAsia="Times New Roman" w:hAnsi="Arial" w:cs="Arial"/>
                <w:b/>
                <w:sz w:val="18"/>
                <w:szCs w:val="18"/>
                <w:lang w:eastAsia="en-GB"/>
              </w:rPr>
              <w:t>R</w:t>
            </w:r>
          </w:p>
        </w:tc>
        <w:tc>
          <w:tcPr>
            <w:tcW w:w="980" w:type="dxa"/>
            <w:noWrap/>
          </w:tcPr>
          <w:p w:rsidR="006B0904" w:rsidRPr="00517A1C" w:rsidRDefault="006B0904" w:rsidP="00227F5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18"/>
                <w:lang w:eastAsia="en-GB"/>
              </w:rPr>
            </w:pPr>
            <w:r w:rsidRPr="00517A1C">
              <w:rPr>
                <w:rFonts w:ascii="Arial" w:eastAsia="Times New Roman" w:hAnsi="Arial" w:cs="Arial"/>
                <w:b/>
                <w:sz w:val="18"/>
                <w:szCs w:val="18"/>
                <w:lang w:eastAsia="en-GB"/>
              </w:rPr>
              <w:t>S</w:t>
            </w:r>
          </w:p>
        </w:tc>
        <w:tc>
          <w:tcPr>
            <w:tcW w:w="1000" w:type="dxa"/>
            <w:noWrap/>
          </w:tcPr>
          <w:p w:rsidR="006B0904" w:rsidRPr="00517A1C" w:rsidRDefault="006B0904" w:rsidP="00227F5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18"/>
                <w:lang w:eastAsia="en-GB"/>
              </w:rPr>
            </w:pPr>
            <w:r w:rsidRPr="00517A1C">
              <w:rPr>
                <w:rFonts w:ascii="Arial" w:eastAsia="Times New Roman" w:hAnsi="Arial" w:cs="Arial"/>
                <w:b/>
                <w:sz w:val="18"/>
                <w:szCs w:val="18"/>
                <w:lang w:eastAsia="en-GB"/>
              </w:rPr>
              <w:t>TU</w:t>
            </w:r>
          </w:p>
        </w:tc>
      </w:tr>
      <w:tr w:rsidR="006B0904" w:rsidRPr="006B0904" w:rsidTr="006B090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80" w:type="dxa"/>
            <w:noWrap/>
          </w:tcPr>
          <w:p w:rsidR="006B0904" w:rsidRPr="00517A1C" w:rsidRDefault="006B0904" w:rsidP="00227F5A">
            <w:pPr>
              <w:spacing w:after="0"/>
              <w:jc w:val="right"/>
              <w:rPr>
                <w:rFonts w:ascii="Arial" w:eastAsia="Times New Roman" w:hAnsi="Arial" w:cs="Arial"/>
                <w:b w:val="0"/>
                <w:sz w:val="18"/>
                <w:szCs w:val="18"/>
                <w:lang w:eastAsia="en-GB"/>
              </w:rPr>
            </w:pPr>
            <w:r w:rsidRPr="00517A1C">
              <w:rPr>
                <w:rFonts w:ascii="Arial" w:eastAsia="Times New Roman" w:hAnsi="Arial" w:cs="Arial"/>
                <w:b w:val="0"/>
                <w:sz w:val="18"/>
                <w:szCs w:val="18"/>
                <w:lang w:eastAsia="en-GB"/>
              </w:rPr>
              <w:t>0.3%</w:t>
            </w:r>
          </w:p>
        </w:tc>
        <w:tc>
          <w:tcPr>
            <w:tcW w:w="980" w:type="dxa"/>
            <w:noWrap/>
          </w:tcPr>
          <w:p w:rsidR="006B0904" w:rsidRPr="00517A1C" w:rsidRDefault="006B0904" w:rsidP="00227F5A">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GB"/>
              </w:rPr>
            </w:pPr>
            <w:r w:rsidRPr="00517A1C">
              <w:rPr>
                <w:rFonts w:ascii="Arial" w:eastAsia="Times New Roman" w:hAnsi="Arial" w:cs="Arial"/>
                <w:sz w:val="18"/>
                <w:szCs w:val="18"/>
                <w:lang w:eastAsia="en-GB"/>
              </w:rPr>
              <w:t>5.5%</w:t>
            </w:r>
          </w:p>
        </w:tc>
        <w:tc>
          <w:tcPr>
            <w:tcW w:w="1000" w:type="dxa"/>
            <w:noWrap/>
          </w:tcPr>
          <w:p w:rsidR="006B0904" w:rsidRPr="00517A1C" w:rsidRDefault="006B0904" w:rsidP="00227F5A">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GB"/>
              </w:rPr>
            </w:pPr>
            <w:r w:rsidRPr="00517A1C">
              <w:rPr>
                <w:rFonts w:ascii="Arial" w:eastAsia="Times New Roman" w:hAnsi="Arial" w:cs="Arial"/>
                <w:sz w:val="18"/>
                <w:szCs w:val="18"/>
                <w:lang w:eastAsia="en-GB"/>
              </w:rPr>
              <w:t>9.2%</w:t>
            </w:r>
          </w:p>
        </w:tc>
        <w:tc>
          <w:tcPr>
            <w:tcW w:w="980" w:type="dxa"/>
            <w:noWrap/>
          </w:tcPr>
          <w:p w:rsidR="006B0904" w:rsidRPr="00517A1C" w:rsidRDefault="006B0904" w:rsidP="00227F5A">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GB"/>
              </w:rPr>
            </w:pPr>
            <w:r w:rsidRPr="00517A1C">
              <w:rPr>
                <w:rFonts w:ascii="Arial" w:eastAsia="Times New Roman" w:hAnsi="Arial" w:cs="Arial"/>
                <w:sz w:val="18"/>
                <w:szCs w:val="18"/>
                <w:lang w:eastAsia="en-GB"/>
              </w:rPr>
              <w:t>1.2%</w:t>
            </w:r>
          </w:p>
        </w:tc>
        <w:tc>
          <w:tcPr>
            <w:tcW w:w="980" w:type="dxa"/>
            <w:noWrap/>
          </w:tcPr>
          <w:p w:rsidR="006B0904" w:rsidRPr="00517A1C" w:rsidRDefault="006B0904" w:rsidP="00227F5A">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GB"/>
              </w:rPr>
            </w:pPr>
            <w:r w:rsidRPr="00517A1C">
              <w:rPr>
                <w:rFonts w:ascii="Arial" w:eastAsia="Times New Roman" w:hAnsi="Arial" w:cs="Arial"/>
                <w:sz w:val="18"/>
                <w:szCs w:val="18"/>
                <w:lang w:eastAsia="en-GB"/>
              </w:rPr>
              <w:t>6.1%</w:t>
            </w:r>
          </w:p>
        </w:tc>
        <w:tc>
          <w:tcPr>
            <w:tcW w:w="980" w:type="dxa"/>
            <w:noWrap/>
          </w:tcPr>
          <w:p w:rsidR="006B0904" w:rsidRPr="00517A1C" w:rsidRDefault="006B0904" w:rsidP="00227F5A">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GB"/>
              </w:rPr>
            </w:pPr>
            <w:r w:rsidRPr="00517A1C">
              <w:rPr>
                <w:rFonts w:ascii="Arial" w:eastAsia="Times New Roman" w:hAnsi="Arial" w:cs="Arial"/>
                <w:sz w:val="18"/>
                <w:szCs w:val="18"/>
                <w:lang w:eastAsia="en-GB"/>
              </w:rPr>
              <w:t>3.3%</w:t>
            </w:r>
          </w:p>
        </w:tc>
        <w:tc>
          <w:tcPr>
            <w:tcW w:w="1000" w:type="dxa"/>
            <w:noWrap/>
          </w:tcPr>
          <w:p w:rsidR="006B0904" w:rsidRPr="00517A1C" w:rsidRDefault="006B0904" w:rsidP="00227F5A">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GB"/>
              </w:rPr>
            </w:pPr>
            <w:r w:rsidRPr="00517A1C">
              <w:rPr>
                <w:rFonts w:ascii="Arial" w:eastAsia="Times New Roman" w:hAnsi="Arial" w:cs="Arial"/>
                <w:sz w:val="18"/>
                <w:szCs w:val="18"/>
                <w:lang w:eastAsia="en-GB"/>
              </w:rPr>
              <w:t>1.2%</w:t>
            </w:r>
          </w:p>
        </w:tc>
        <w:tc>
          <w:tcPr>
            <w:tcW w:w="1000" w:type="dxa"/>
            <w:noWrap/>
          </w:tcPr>
          <w:p w:rsidR="006B0904" w:rsidRPr="00517A1C" w:rsidRDefault="006B0904" w:rsidP="00227F5A">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GB"/>
              </w:rPr>
            </w:pPr>
            <w:r w:rsidRPr="00517A1C">
              <w:rPr>
                <w:rFonts w:ascii="Arial" w:eastAsia="Times New Roman" w:hAnsi="Arial" w:cs="Arial"/>
                <w:sz w:val="18"/>
                <w:szCs w:val="18"/>
                <w:lang w:eastAsia="en-GB"/>
              </w:rPr>
              <w:t>0.5%</w:t>
            </w:r>
          </w:p>
        </w:tc>
        <w:tc>
          <w:tcPr>
            <w:tcW w:w="980" w:type="dxa"/>
            <w:noWrap/>
          </w:tcPr>
          <w:p w:rsidR="006B0904" w:rsidRPr="00517A1C" w:rsidRDefault="006B0904" w:rsidP="00227F5A">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GB"/>
              </w:rPr>
            </w:pPr>
            <w:r w:rsidRPr="00517A1C">
              <w:rPr>
                <w:rFonts w:ascii="Arial" w:eastAsia="Times New Roman" w:hAnsi="Arial" w:cs="Arial"/>
                <w:sz w:val="18"/>
                <w:szCs w:val="18"/>
                <w:lang w:eastAsia="en-GB"/>
              </w:rPr>
              <w:t>12.8%</w:t>
            </w:r>
          </w:p>
        </w:tc>
        <w:tc>
          <w:tcPr>
            <w:tcW w:w="1000" w:type="dxa"/>
            <w:noWrap/>
          </w:tcPr>
          <w:p w:rsidR="006B0904" w:rsidRPr="00517A1C" w:rsidRDefault="006B0904" w:rsidP="00227F5A">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GB"/>
              </w:rPr>
            </w:pPr>
            <w:r w:rsidRPr="00517A1C">
              <w:rPr>
                <w:rFonts w:ascii="Arial" w:eastAsia="Times New Roman" w:hAnsi="Arial" w:cs="Arial"/>
                <w:sz w:val="18"/>
                <w:szCs w:val="18"/>
                <w:lang w:eastAsia="en-GB"/>
              </w:rPr>
              <w:t>58.1%</w:t>
            </w:r>
          </w:p>
        </w:tc>
      </w:tr>
    </w:tbl>
    <w:p w:rsidR="00B9691A" w:rsidRDefault="00B9691A" w:rsidP="00323972">
      <w:pPr>
        <w:pStyle w:val="Subtitle"/>
        <w:rPr>
          <w:rFonts w:ascii="Times New Roman" w:eastAsia="MS Mincho" w:hAnsi="Times New Roman" w:cs="Times New Roman"/>
          <w:i w:val="0"/>
          <w:iCs w:val="0"/>
          <w:color w:val="auto"/>
          <w:spacing w:val="0"/>
          <w:lang w:eastAsia="ja-JP"/>
        </w:rPr>
      </w:pPr>
    </w:p>
    <w:p w:rsidR="00B9691A" w:rsidRDefault="00B9691A" w:rsidP="00B9691A">
      <w:r>
        <w:t>The WAPE is compiled for GVA on the 64 breakdown industry details and corroborates the changes in gross value added for services such as real estate activities, research and development activities and financial services.</w:t>
      </w:r>
    </w:p>
    <w:p w:rsidR="00227F5A" w:rsidRDefault="00B83A66" w:rsidP="00B83A66">
      <w:pPr>
        <w:pStyle w:val="Heading1"/>
      </w:pPr>
      <w:r>
        <w:t>Impact on intermediate consumption</w:t>
      </w:r>
    </w:p>
    <w:p w:rsidR="00B83A66" w:rsidRDefault="00B83A66" w:rsidP="00B83A66">
      <w:r>
        <w:t>While the revision on total gross value added was positive for all countries, the revision for the total intermediate consumption is negative for six of the seven countries analysed. The amplitude (maximum revision – minimum revision) of revisions is usually smaller for intermediate consumption than for gross value added.</w:t>
      </w:r>
    </w:p>
    <w:p w:rsidR="00B83A66" w:rsidRPr="00B83A66" w:rsidRDefault="00B83A66" w:rsidP="00B83A66">
      <w:pPr>
        <w:rPr>
          <w:u w:val="single"/>
        </w:rPr>
      </w:pPr>
      <w:r w:rsidRPr="00B83A66">
        <w:rPr>
          <w:u w:val="single"/>
        </w:rPr>
        <w:t>Table 3: Percentage revisions for intermediate consumption at A64 breakdown</w:t>
      </w:r>
    </w:p>
    <w:tbl>
      <w:tblPr>
        <w:tblStyle w:val="LightList-Accent4"/>
        <w:tblW w:w="7017" w:type="dxa"/>
        <w:tblInd w:w="1057" w:type="dxa"/>
        <w:tblLook w:val="04A0" w:firstRow="1" w:lastRow="0" w:firstColumn="1" w:lastColumn="0" w:noHBand="0" w:noVBand="1"/>
      </w:tblPr>
      <w:tblGrid>
        <w:gridCol w:w="1592"/>
        <w:gridCol w:w="1592"/>
        <w:gridCol w:w="969"/>
        <w:gridCol w:w="921"/>
        <w:gridCol w:w="1000"/>
        <w:gridCol w:w="943"/>
      </w:tblGrid>
      <w:tr w:rsidR="00B83A66" w:rsidRPr="007329C0" w:rsidTr="00B83A66">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592" w:type="dxa"/>
          </w:tcPr>
          <w:p w:rsidR="00B83A66" w:rsidRPr="007329C0" w:rsidRDefault="00B83A66" w:rsidP="00B83A66">
            <w:pPr>
              <w:spacing w:after="0"/>
              <w:jc w:val="left"/>
              <w:rPr>
                <w:sz w:val="18"/>
                <w:szCs w:val="18"/>
                <w:lang w:eastAsia="en-GB"/>
              </w:rPr>
            </w:pPr>
            <w:r w:rsidRPr="007329C0">
              <w:rPr>
                <w:sz w:val="18"/>
                <w:szCs w:val="18"/>
                <w:lang w:eastAsia="en-GB"/>
              </w:rPr>
              <w:t>Countries</w:t>
            </w:r>
          </w:p>
        </w:tc>
        <w:tc>
          <w:tcPr>
            <w:tcW w:w="1592" w:type="dxa"/>
          </w:tcPr>
          <w:p w:rsidR="00B83A66" w:rsidRDefault="00B83A66" w:rsidP="00B90135">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Total GVA</w:t>
            </w:r>
          </w:p>
        </w:tc>
        <w:tc>
          <w:tcPr>
            <w:tcW w:w="969" w:type="dxa"/>
            <w:vAlign w:val="bottom"/>
          </w:tcPr>
          <w:p w:rsidR="00B83A66" w:rsidRPr="007329C0" w:rsidRDefault="00B83A66" w:rsidP="00B90135">
            <w:pPr>
              <w:spacing w:after="0"/>
              <w:contextualSpacing/>
              <w:cnfStyle w:val="100000000000" w:firstRow="1" w:lastRow="0" w:firstColumn="0" w:lastColumn="0" w:oddVBand="0" w:evenVBand="0" w:oddHBand="0" w:evenHBand="0" w:firstRowFirstColumn="0" w:firstRowLastColumn="0" w:lastRowFirstColumn="0" w:lastRowLastColumn="0"/>
              <w:rPr>
                <w:sz w:val="18"/>
                <w:szCs w:val="18"/>
                <w:lang w:eastAsia="en-GB"/>
              </w:rPr>
            </w:pPr>
            <w:r w:rsidRPr="007329C0">
              <w:rPr>
                <w:sz w:val="18"/>
                <w:szCs w:val="18"/>
                <w:lang w:eastAsia="en-GB"/>
              </w:rPr>
              <w:t>Total IC</w:t>
            </w:r>
          </w:p>
          <w:p w:rsidR="00B83A66" w:rsidRPr="007329C0" w:rsidRDefault="00B83A66" w:rsidP="00B90135">
            <w:pPr>
              <w:spacing w:after="0"/>
              <w:contextualSpacing/>
              <w:cnfStyle w:val="100000000000" w:firstRow="1" w:lastRow="0" w:firstColumn="0" w:lastColumn="0" w:oddVBand="0" w:evenVBand="0" w:oddHBand="0" w:evenHBand="0" w:firstRowFirstColumn="0" w:firstRowLastColumn="0" w:lastRowFirstColumn="0" w:lastRowLastColumn="0"/>
              <w:rPr>
                <w:sz w:val="18"/>
                <w:szCs w:val="18"/>
                <w:lang w:eastAsia="en-GB"/>
              </w:rPr>
            </w:pPr>
          </w:p>
        </w:tc>
        <w:tc>
          <w:tcPr>
            <w:tcW w:w="921" w:type="dxa"/>
            <w:noWrap/>
            <w:hideMark/>
          </w:tcPr>
          <w:p w:rsidR="00B83A66" w:rsidRPr="007329C0" w:rsidRDefault="00B83A66" w:rsidP="00B90135">
            <w:pPr>
              <w:spacing w:after="0"/>
              <w:contextualSpacing/>
              <w:cnfStyle w:val="100000000000" w:firstRow="1" w:lastRow="0" w:firstColumn="0" w:lastColumn="0" w:oddVBand="0" w:evenVBand="0" w:oddHBand="0" w:evenHBand="0" w:firstRowFirstColumn="0" w:firstRowLastColumn="0" w:lastRowFirstColumn="0" w:lastRowLastColumn="0"/>
              <w:rPr>
                <w:sz w:val="18"/>
                <w:szCs w:val="18"/>
                <w:lang w:eastAsia="en-GB"/>
              </w:rPr>
            </w:pPr>
            <w:r w:rsidRPr="007329C0">
              <w:rPr>
                <w:sz w:val="18"/>
                <w:szCs w:val="18"/>
                <w:lang w:eastAsia="en-GB"/>
              </w:rPr>
              <w:t>Min</w:t>
            </w:r>
          </w:p>
        </w:tc>
        <w:tc>
          <w:tcPr>
            <w:tcW w:w="1000" w:type="dxa"/>
            <w:noWrap/>
            <w:hideMark/>
          </w:tcPr>
          <w:p w:rsidR="00B83A66" w:rsidRPr="007329C0" w:rsidRDefault="00B83A66" w:rsidP="00B90135">
            <w:pPr>
              <w:spacing w:after="0"/>
              <w:contextualSpacing/>
              <w:cnfStyle w:val="100000000000" w:firstRow="1" w:lastRow="0" w:firstColumn="0" w:lastColumn="0" w:oddVBand="0" w:evenVBand="0" w:oddHBand="0" w:evenHBand="0" w:firstRowFirstColumn="0" w:firstRowLastColumn="0" w:lastRowFirstColumn="0" w:lastRowLastColumn="0"/>
              <w:rPr>
                <w:sz w:val="18"/>
                <w:szCs w:val="18"/>
                <w:lang w:eastAsia="en-GB"/>
              </w:rPr>
            </w:pPr>
            <w:r w:rsidRPr="007329C0">
              <w:rPr>
                <w:sz w:val="18"/>
                <w:szCs w:val="18"/>
                <w:lang w:eastAsia="en-GB"/>
              </w:rPr>
              <w:t>Average</w:t>
            </w:r>
          </w:p>
        </w:tc>
        <w:tc>
          <w:tcPr>
            <w:tcW w:w="943" w:type="dxa"/>
            <w:noWrap/>
            <w:hideMark/>
          </w:tcPr>
          <w:p w:rsidR="00B83A66" w:rsidRPr="007329C0" w:rsidRDefault="00B83A66" w:rsidP="00B90135">
            <w:pPr>
              <w:spacing w:after="0"/>
              <w:contextualSpacing/>
              <w:cnfStyle w:val="100000000000" w:firstRow="1" w:lastRow="0" w:firstColumn="0" w:lastColumn="0" w:oddVBand="0" w:evenVBand="0" w:oddHBand="0" w:evenHBand="0" w:firstRowFirstColumn="0" w:firstRowLastColumn="0" w:lastRowFirstColumn="0" w:lastRowLastColumn="0"/>
              <w:rPr>
                <w:sz w:val="18"/>
                <w:szCs w:val="18"/>
                <w:lang w:eastAsia="en-GB"/>
              </w:rPr>
            </w:pPr>
            <w:r w:rsidRPr="007329C0">
              <w:rPr>
                <w:sz w:val="18"/>
                <w:szCs w:val="18"/>
                <w:lang w:eastAsia="en-GB"/>
              </w:rPr>
              <w:t>Max</w:t>
            </w:r>
          </w:p>
        </w:tc>
      </w:tr>
      <w:tr w:rsidR="00B83A66" w:rsidRPr="007329C0" w:rsidTr="00B83A6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592" w:type="dxa"/>
          </w:tcPr>
          <w:p w:rsidR="00B83A66" w:rsidRPr="007329C0" w:rsidRDefault="00B83A66" w:rsidP="00B83A66">
            <w:pPr>
              <w:spacing w:after="0"/>
              <w:jc w:val="left"/>
              <w:rPr>
                <w:sz w:val="18"/>
                <w:szCs w:val="18"/>
                <w:lang w:eastAsia="en-GB"/>
              </w:rPr>
            </w:pPr>
            <w:r>
              <w:rPr>
                <w:sz w:val="18"/>
                <w:szCs w:val="18"/>
                <w:lang w:eastAsia="en-GB"/>
              </w:rPr>
              <w:t>Country 1</w:t>
            </w:r>
          </w:p>
        </w:tc>
        <w:tc>
          <w:tcPr>
            <w:tcW w:w="1592" w:type="dxa"/>
            <w:vAlign w:val="bottom"/>
          </w:tcPr>
          <w:p w:rsidR="00B83A66" w:rsidRPr="00771B43" w:rsidRDefault="00B83A66" w:rsidP="00B83A66">
            <w:pPr>
              <w:jc w:val="center"/>
              <w:cnfStyle w:val="000000100000" w:firstRow="0" w:lastRow="0" w:firstColumn="0" w:lastColumn="0" w:oddVBand="0" w:evenVBand="0" w:oddHBand="1" w:evenHBand="0" w:firstRowFirstColumn="0" w:firstRowLastColumn="0" w:lastRowFirstColumn="0" w:lastRowLastColumn="0"/>
              <w:rPr>
                <w:sz w:val="18"/>
                <w:szCs w:val="18"/>
              </w:rPr>
            </w:pPr>
            <w:r w:rsidRPr="00771B43">
              <w:rPr>
                <w:sz w:val="18"/>
                <w:szCs w:val="18"/>
              </w:rPr>
              <w:t>1.36%</w:t>
            </w:r>
          </w:p>
        </w:tc>
        <w:tc>
          <w:tcPr>
            <w:tcW w:w="969" w:type="dxa"/>
            <w:vAlign w:val="bottom"/>
          </w:tcPr>
          <w:p w:rsidR="00B83A66" w:rsidRPr="007329C0" w:rsidRDefault="00B83A66" w:rsidP="00B83A66">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7329C0">
              <w:rPr>
                <w:sz w:val="18"/>
                <w:szCs w:val="18"/>
              </w:rPr>
              <w:t>-1.3%</w:t>
            </w:r>
          </w:p>
        </w:tc>
        <w:tc>
          <w:tcPr>
            <w:tcW w:w="921" w:type="dxa"/>
            <w:noWrap/>
            <w:vAlign w:val="bottom"/>
            <w:hideMark/>
          </w:tcPr>
          <w:p w:rsidR="00B83A66" w:rsidRPr="007329C0" w:rsidRDefault="00B83A66" w:rsidP="00B83A66">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7329C0">
              <w:rPr>
                <w:sz w:val="18"/>
                <w:szCs w:val="18"/>
              </w:rPr>
              <w:t>-20.35%</w:t>
            </w:r>
          </w:p>
        </w:tc>
        <w:tc>
          <w:tcPr>
            <w:tcW w:w="1000" w:type="dxa"/>
            <w:noWrap/>
            <w:vAlign w:val="bottom"/>
            <w:hideMark/>
          </w:tcPr>
          <w:p w:rsidR="00B83A66" w:rsidRPr="007329C0" w:rsidRDefault="00B83A66" w:rsidP="00B83A66">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7329C0">
              <w:rPr>
                <w:sz w:val="18"/>
                <w:szCs w:val="18"/>
              </w:rPr>
              <w:t>-1.81%</w:t>
            </w:r>
          </w:p>
        </w:tc>
        <w:tc>
          <w:tcPr>
            <w:tcW w:w="943" w:type="dxa"/>
            <w:noWrap/>
            <w:vAlign w:val="bottom"/>
            <w:hideMark/>
          </w:tcPr>
          <w:p w:rsidR="00B83A66" w:rsidRPr="007329C0" w:rsidRDefault="00B83A66" w:rsidP="00B83A66">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7329C0">
              <w:rPr>
                <w:sz w:val="18"/>
                <w:szCs w:val="18"/>
              </w:rPr>
              <w:t>10.26%</w:t>
            </w:r>
          </w:p>
        </w:tc>
      </w:tr>
      <w:tr w:rsidR="00B83A66" w:rsidRPr="007329C0" w:rsidTr="00B83A66">
        <w:trPr>
          <w:trHeight w:val="240"/>
        </w:trPr>
        <w:tc>
          <w:tcPr>
            <w:cnfStyle w:val="001000000000" w:firstRow="0" w:lastRow="0" w:firstColumn="1" w:lastColumn="0" w:oddVBand="0" w:evenVBand="0" w:oddHBand="0" w:evenHBand="0" w:firstRowFirstColumn="0" w:firstRowLastColumn="0" w:lastRowFirstColumn="0" w:lastRowLastColumn="0"/>
            <w:tcW w:w="1592" w:type="dxa"/>
          </w:tcPr>
          <w:p w:rsidR="00B83A66" w:rsidRPr="007329C0" w:rsidRDefault="00B83A66" w:rsidP="00B83A66">
            <w:pPr>
              <w:spacing w:after="0"/>
              <w:jc w:val="left"/>
              <w:rPr>
                <w:sz w:val="18"/>
                <w:szCs w:val="18"/>
                <w:lang w:eastAsia="en-GB"/>
              </w:rPr>
            </w:pPr>
            <w:r>
              <w:rPr>
                <w:sz w:val="18"/>
                <w:szCs w:val="18"/>
                <w:lang w:eastAsia="en-GB"/>
              </w:rPr>
              <w:t>Country 2</w:t>
            </w:r>
          </w:p>
        </w:tc>
        <w:tc>
          <w:tcPr>
            <w:tcW w:w="1592" w:type="dxa"/>
            <w:vAlign w:val="bottom"/>
          </w:tcPr>
          <w:p w:rsidR="00B83A66" w:rsidRPr="00771B43" w:rsidRDefault="00B83A66" w:rsidP="00B83A66">
            <w:pPr>
              <w:jc w:val="center"/>
              <w:cnfStyle w:val="000000000000" w:firstRow="0" w:lastRow="0" w:firstColumn="0" w:lastColumn="0" w:oddVBand="0" w:evenVBand="0" w:oddHBand="0" w:evenHBand="0" w:firstRowFirstColumn="0" w:firstRowLastColumn="0" w:lastRowFirstColumn="0" w:lastRowLastColumn="0"/>
              <w:rPr>
                <w:sz w:val="18"/>
                <w:szCs w:val="18"/>
              </w:rPr>
            </w:pPr>
            <w:r w:rsidRPr="00771B43">
              <w:rPr>
                <w:sz w:val="18"/>
                <w:szCs w:val="18"/>
              </w:rPr>
              <w:t>3.07%</w:t>
            </w:r>
          </w:p>
        </w:tc>
        <w:tc>
          <w:tcPr>
            <w:tcW w:w="969" w:type="dxa"/>
            <w:vAlign w:val="bottom"/>
          </w:tcPr>
          <w:p w:rsidR="00B83A66" w:rsidRPr="007329C0" w:rsidRDefault="00B83A66" w:rsidP="00B83A66">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7329C0">
              <w:rPr>
                <w:sz w:val="18"/>
                <w:szCs w:val="18"/>
              </w:rPr>
              <w:t>-1.9%</w:t>
            </w:r>
          </w:p>
        </w:tc>
        <w:tc>
          <w:tcPr>
            <w:tcW w:w="921" w:type="dxa"/>
            <w:noWrap/>
            <w:vAlign w:val="bottom"/>
            <w:hideMark/>
          </w:tcPr>
          <w:p w:rsidR="00B83A66" w:rsidRPr="007329C0" w:rsidRDefault="00B83A66" w:rsidP="00B83A66">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7329C0">
              <w:rPr>
                <w:sz w:val="18"/>
                <w:szCs w:val="18"/>
              </w:rPr>
              <w:t>-59.95%</w:t>
            </w:r>
          </w:p>
        </w:tc>
        <w:tc>
          <w:tcPr>
            <w:tcW w:w="1000" w:type="dxa"/>
            <w:noWrap/>
            <w:vAlign w:val="bottom"/>
            <w:hideMark/>
          </w:tcPr>
          <w:p w:rsidR="00B83A66" w:rsidRPr="007329C0" w:rsidRDefault="00B83A66" w:rsidP="00B83A66">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7329C0">
              <w:rPr>
                <w:sz w:val="18"/>
                <w:szCs w:val="18"/>
              </w:rPr>
              <w:t>-2.03%</w:t>
            </w:r>
          </w:p>
        </w:tc>
        <w:tc>
          <w:tcPr>
            <w:tcW w:w="943" w:type="dxa"/>
            <w:noWrap/>
            <w:vAlign w:val="bottom"/>
            <w:hideMark/>
          </w:tcPr>
          <w:p w:rsidR="00B83A66" w:rsidRPr="007329C0" w:rsidRDefault="00B83A66" w:rsidP="00B83A66">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7329C0">
              <w:rPr>
                <w:sz w:val="18"/>
                <w:szCs w:val="18"/>
              </w:rPr>
              <w:t>20.37%</w:t>
            </w:r>
          </w:p>
        </w:tc>
      </w:tr>
      <w:tr w:rsidR="00B83A66" w:rsidRPr="007329C0" w:rsidTr="00B83A6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592" w:type="dxa"/>
          </w:tcPr>
          <w:p w:rsidR="00B83A66" w:rsidRPr="007329C0" w:rsidRDefault="00B83A66" w:rsidP="00B83A66">
            <w:pPr>
              <w:spacing w:after="0"/>
              <w:jc w:val="left"/>
              <w:rPr>
                <w:sz w:val="18"/>
                <w:szCs w:val="18"/>
                <w:lang w:eastAsia="en-GB"/>
              </w:rPr>
            </w:pPr>
            <w:r>
              <w:rPr>
                <w:sz w:val="18"/>
                <w:szCs w:val="18"/>
                <w:lang w:eastAsia="en-GB"/>
              </w:rPr>
              <w:t>Country 3</w:t>
            </w:r>
          </w:p>
        </w:tc>
        <w:tc>
          <w:tcPr>
            <w:tcW w:w="1592" w:type="dxa"/>
            <w:vAlign w:val="bottom"/>
          </w:tcPr>
          <w:p w:rsidR="00B83A66" w:rsidRPr="00771B43" w:rsidRDefault="00B83A66" w:rsidP="00B83A66">
            <w:pPr>
              <w:jc w:val="center"/>
              <w:cnfStyle w:val="000000100000" w:firstRow="0" w:lastRow="0" w:firstColumn="0" w:lastColumn="0" w:oddVBand="0" w:evenVBand="0" w:oddHBand="1" w:evenHBand="0" w:firstRowFirstColumn="0" w:firstRowLastColumn="0" w:lastRowFirstColumn="0" w:lastRowLastColumn="0"/>
              <w:rPr>
                <w:sz w:val="18"/>
                <w:szCs w:val="18"/>
              </w:rPr>
            </w:pPr>
            <w:r w:rsidRPr="00771B43">
              <w:rPr>
                <w:sz w:val="18"/>
                <w:szCs w:val="18"/>
              </w:rPr>
              <w:t>3.45%</w:t>
            </w:r>
          </w:p>
        </w:tc>
        <w:tc>
          <w:tcPr>
            <w:tcW w:w="969" w:type="dxa"/>
            <w:vAlign w:val="bottom"/>
          </w:tcPr>
          <w:p w:rsidR="00B83A66" w:rsidRPr="007329C0" w:rsidRDefault="00B83A66" w:rsidP="00B83A66">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7329C0">
              <w:rPr>
                <w:sz w:val="18"/>
                <w:szCs w:val="18"/>
              </w:rPr>
              <w:t>-1.1%</w:t>
            </w:r>
          </w:p>
        </w:tc>
        <w:tc>
          <w:tcPr>
            <w:tcW w:w="921" w:type="dxa"/>
            <w:noWrap/>
            <w:vAlign w:val="bottom"/>
            <w:hideMark/>
          </w:tcPr>
          <w:p w:rsidR="00B83A66" w:rsidRPr="007329C0" w:rsidRDefault="00B83A66" w:rsidP="00B83A66">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7329C0">
              <w:rPr>
                <w:sz w:val="18"/>
                <w:szCs w:val="18"/>
              </w:rPr>
              <w:t>-</w:t>
            </w:r>
            <w:r>
              <w:rPr>
                <w:sz w:val="18"/>
                <w:szCs w:val="18"/>
              </w:rPr>
              <w:t>69.1</w:t>
            </w:r>
            <w:r w:rsidRPr="007329C0">
              <w:rPr>
                <w:sz w:val="18"/>
                <w:szCs w:val="18"/>
              </w:rPr>
              <w:t>%</w:t>
            </w:r>
          </w:p>
        </w:tc>
        <w:tc>
          <w:tcPr>
            <w:tcW w:w="1000" w:type="dxa"/>
            <w:noWrap/>
            <w:vAlign w:val="bottom"/>
            <w:hideMark/>
          </w:tcPr>
          <w:p w:rsidR="00B83A66" w:rsidRPr="007329C0" w:rsidRDefault="00B83A66" w:rsidP="00B83A66">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0.7</w:t>
            </w:r>
            <w:r w:rsidRPr="007329C0">
              <w:rPr>
                <w:sz w:val="18"/>
                <w:szCs w:val="18"/>
              </w:rPr>
              <w:t>%</w:t>
            </w:r>
          </w:p>
        </w:tc>
        <w:tc>
          <w:tcPr>
            <w:tcW w:w="943" w:type="dxa"/>
            <w:noWrap/>
            <w:vAlign w:val="bottom"/>
            <w:hideMark/>
          </w:tcPr>
          <w:p w:rsidR="00B83A66" w:rsidRPr="007329C0" w:rsidRDefault="00B83A66" w:rsidP="00B83A66">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r>
      <w:tr w:rsidR="00B83A66" w:rsidRPr="007329C0" w:rsidTr="00B83A66">
        <w:trPr>
          <w:trHeight w:val="240"/>
        </w:trPr>
        <w:tc>
          <w:tcPr>
            <w:cnfStyle w:val="001000000000" w:firstRow="0" w:lastRow="0" w:firstColumn="1" w:lastColumn="0" w:oddVBand="0" w:evenVBand="0" w:oddHBand="0" w:evenHBand="0" w:firstRowFirstColumn="0" w:firstRowLastColumn="0" w:lastRowFirstColumn="0" w:lastRowLastColumn="0"/>
            <w:tcW w:w="1592" w:type="dxa"/>
          </w:tcPr>
          <w:p w:rsidR="00B83A66" w:rsidRPr="007329C0" w:rsidRDefault="00B83A66" w:rsidP="00B83A66">
            <w:pPr>
              <w:spacing w:after="0"/>
              <w:jc w:val="left"/>
              <w:rPr>
                <w:sz w:val="18"/>
                <w:szCs w:val="18"/>
                <w:lang w:eastAsia="en-GB"/>
              </w:rPr>
            </w:pPr>
            <w:r>
              <w:rPr>
                <w:sz w:val="18"/>
                <w:szCs w:val="18"/>
                <w:lang w:eastAsia="en-GB"/>
              </w:rPr>
              <w:t>Country 4</w:t>
            </w:r>
          </w:p>
        </w:tc>
        <w:tc>
          <w:tcPr>
            <w:tcW w:w="1592" w:type="dxa"/>
            <w:vAlign w:val="bottom"/>
          </w:tcPr>
          <w:p w:rsidR="00B83A66" w:rsidRPr="00771B43" w:rsidRDefault="00B83A66" w:rsidP="00B83A66">
            <w:pPr>
              <w:jc w:val="center"/>
              <w:cnfStyle w:val="000000000000" w:firstRow="0" w:lastRow="0" w:firstColumn="0" w:lastColumn="0" w:oddVBand="0" w:evenVBand="0" w:oddHBand="0" w:evenHBand="0" w:firstRowFirstColumn="0" w:firstRowLastColumn="0" w:lastRowFirstColumn="0" w:lastRowLastColumn="0"/>
              <w:rPr>
                <w:sz w:val="18"/>
                <w:szCs w:val="18"/>
              </w:rPr>
            </w:pPr>
            <w:r w:rsidRPr="00771B43">
              <w:rPr>
                <w:sz w:val="18"/>
                <w:szCs w:val="18"/>
              </w:rPr>
              <w:t>3.89%</w:t>
            </w:r>
          </w:p>
        </w:tc>
        <w:tc>
          <w:tcPr>
            <w:tcW w:w="969" w:type="dxa"/>
            <w:vAlign w:val="bottom"/>
          </w:tcPr>
          <w:p w:rsidR="00B83A66" w:rsidRPr="007329C0" w:rsidRDefault="00B83A66" w:rsidP="00B83A66">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7329C0">
              <w:rPr>
                <w:sz w:val="18"/>
                <w:szCs w:val="18"/>
              </w:rPr>
              <w:t>0.1%</w:t>
            </w:r>
          </w:p>
        </w:tc>
        <w:tc>
          <w:tcPr>
            <w:tcW w:w="921" w:type="dxa"/>
            <w:noWrap/>
            <w:vAlign w:val="bottom"/>
            <w:hideMark/>
          </w:tcPr>
          <w:p w:rsidR="00B83A66" w:rsidRPr="007329C0" w:rsidRDefault="00B83A66" w:rsidP="00B83A66">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7329C0">
              <w:rPr>
                <w:sz w:val="18"/>
                <w:szCs w:val="18"/>
              </w:rPr>
              <w:t>-36.55%</w:t>
            </w:r>
          </w:p>
        </w:tc>
        <w:tc>
          <w:tcPr>
            <w:tcW w:w="1000" w:type="dxa"/>
            <w:noWrap/>
            <w:vAlign w:val="bottom"/>
            <w:hideMark/>
          </w:tcPr>
          <w:p w:rsidR="00B83A66" w:rsidRPr="007329C0" w:rsidRDefault="00B83A66" w:rsidP="00B83A66">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7329C0">
              <w:rPr>
                <w:sz w:val="18"/>
                <w:szCs w:val="18"/>
              </w:rPr>
              <w:t>5.56%</w:t>
            </w:r>
          </w:p>
        </w:tc>
        <w:tc>
          <w:tcPr>
            <w:tcW w:w="943" w:type="dxa"/>
            <w:noWrap/>
            <w:vAlign w:val="bottom"/>
            <w:hideMark/>
          </w:tcPr>
          <w:p w:rsidR="00B83A66" w:rsidRPr="007329C0" w:rsidRDefault="00B83A66" w:rsidP="00B83A66">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7329C0">
              <w:rPr>
                <w:sz w:val="18"/>
                <w:szCs w:val="18"/>
              </w:rPr>
              <w:t>134.48%</w:t>
            </w:r>
          </w:p>
        </w:tc>
      </w:tr>
      <w:tr w:rsidR="00B83A66" w:rsidRPr="007329C0" w:rsidTr="00B83A6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592" w:type="dxa"/>
          </w:tcPr>
          <w:p w:rsidR="00B83A66" w:rsidRPr="007329C0" w:rsidRDefault="00B83A66" w:rsidP="00B83A66">
            <w:pPr>
              <w:spacing w:after="0"/>
              <w:jc w:val="left"/>
              <w:rPr>
                <w:sz w:val="18"/>
                <w:szCs w:val="18"/>
                <w:lang w:eastAsia="en-GB"/>
              </w:rPr>
            </w:pPr>
            <w:r>
              <w:rPr>
                <w:sz w:val="18"/>
                <w:szCs w:val="18"/>
                <w:lang w:eastAsia="en-GB"/>
              </w:rPr>
              <w:t>Country 5</w:t>
            </w:r>
          </w:p>
        </w:tc>
        <w:tc>
          <w:tcPr>
            <w:tcW w:w="1592" w:type="dxa"/>
            <w:vAlign w:val="bottom"/>
          </w:tcPr>
          <w:p w:rsidR="00B83A66" w:rsidRPr="00771B43" w:rsidRDefault="00B83A66" w:rsidP="00B83A66">
            <w:pPr>
              <w:jc w:val="center"/>
              <w:cnfStyle w:val="000000100000" w:firstRow="0" w:lastRow="0" w:firstColumn="0" w:lastColumn="0" w:oddVBand="0" w:evenVBand="0" w:oddHBand="1" w:evenHBand="0" w:firstRowFirstColumn="0" w:firstRowLastColumn="0" w:lastRowFirstColumn="0" w:lastRowLastColumn="0"/>
              <w:rPr>
                <w:sz w:val="18"/>
                <w:szCs w:val="18"/>
              </w:rPr>
            </w:pPr>
            <w:r w:rsidRPr="00771B43">
              <w:rPr>
                <w:sz w:val="18"/>
                <w:szCs w:val="18"/>
              </w:rPr>
              <w:t>5.48%</w:t>
            </w:r>
          </w:p>
        </w:tc>
        <w:tc>
          <w:tcPr>
            <w:tcW w:w="969" w:type="dxa"/>
            <w:vAlign w:val="bottom"/>
          </w:tcPr>
          <w:p w:rsidR="00B83A66" w:rsidRPr="007329C0" w:rsidRDefault="00B83A66" w:rsidP="00B83A66">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7329C0">
              <w:rPr>
                <w:sz w:val="18"/>
                <w:szCs w:val="18"/>
              </w:rPr>
              <w:t>-0.5%</w:t>
            </w:r>
          </w:p>
        </w:tc>
        <w:tc>
          <w:tcPr>
            <w:tcW w:w="921" w:type="dxa"/>
            <w:noWrap/>
            <w:vAlign w:val="bottom"/>
            <w:hideMark/>
          </w:tcPr>
          <w:p w:rsidR="00B83A66" w:rsidRPr="007329C0" w:rsidRDefault="00B83A66" w:rsidP="00B83A66">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7329C0">
              <w:rPr>
                <w:sz w:val="18"/>
                <w:szCs w:val="18"/>
              </w:rPr>
              <w:t>-20.59%</w:t>
            </w:r>
          </w:p>
        </w:tc>
        <w:tc>
          <w:tcPr>
            <w:tcW w:w="1000" w:type="dxa"/>
            <w:noWrap/>
            <w:vAlign w:val="bottom"/>
            <w:hideMark/>
          </w:tcPr>
          <w:p w:rsidR="00B83A66" w:rsidRPr="007329C0" w:rsidRDefault="00B83A66" w:rsidP="00B83A66">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7329C0">
              <w:rPr>
                <w:sz w:val="18"/>
                <w:szCs w:val="18"/>
              </w:rPr>
              <w:t>1.23%</w:t>
            </w:r>
          </w:p>
        </w:tc>
        <w:tc>
          <w:tcPr>
            <w:tcW w:w="943" w:type="dxa"/>
            <w:noWrap/>
            <w:vAlign w:val="bottom"/>
            <w:hideMark/>
          </w:tcPr>
          <w:p w:rsidR="00B83A66" w:rsidRPr="007329C0" w:rsidRDefault="00B83A66" w:rsidP="00B83A66">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7329C0">
              <w:rPr>
                <w:sz w:val="18"/>
                <w:szCs w:val="18"/>
              </w:rPr>
              <w:t>89.20%</w:t>
            </w:r>
          </w:p>
        </w:tc>
      </w:tr>
    </w:tbl>
    <w:p w:rsidR="00B83A66" w:rsidRDefault="00B83A66" w:rsidP="00B83A66">
      <w:pPr>
        <w:rPr>
          <w:rFonts w:eastAsia="Calibri"/>
        </w:rPr>
      </w:pPr>
    </w:p>
    <w:p w:rsidR="00292B32" w:rsidRPr="00297D2F" w:rsidRDefault="00292B32" w:rsidP="00292B32">
      <w:r>
        <w:t>The industries for which the revisions are the highest may not be the ones expected with the methodological changes</w:t>
      </w:r>
      <w:r w:rsidR="00753EAC">
        <w:t>: financial and insurance services (K) and R&amp;D industries are the most impacted by the revision</w:t>
      </w:r>
      <w:r>
        <w:t xml:space="preserve">. The WAPE compilation </w:t>
      </w:r>
      <w:r w:rsidR="00753EAC">
        <w:t>for</w:t>
      </w:r>
      <w:r>
        <w:t xml:space="preserve"> the intermediate consumption part by </w:t>
      </w:r>
      <w:r w:rsidR="00753EAC">
        <w:t>industry</w:t>
      </w:r>
      <w:r>
        <w:t xml:space="preserve"> however corroborates that </w:t>
      </w:r>
      <w:r w:rsidR="00753EAC">
        <w:t xml:space="preserve">those industries </w:t>
      </w:r>
      <w:r>
        <w:t>are the most impacted by the revision. At the same time the construction industry (F) shows a high WAPE for all countries except one, as well as the energy industry (electricity, gas, steam and air conditioning supply D</w:t>
      </w:r>
      <w:r w:rsidR="00753EAC">
        <w:t xml:space="preserve">). </w:t>
      </w:r>
    </w:p>
    <w:p w:rsidR="00B83A66" w:rsidRDefault="00B83A66" w:rsidP="00B83A66">
      <w:pPr>
        <w:rPr>
          <w:rFonts w:eastAsia="Calibri"/>
        </w:rPr>
      </w:pPr>
      <w:r>
        <w:rPr>
          <w:rFonts w:eastAsia="Calibri"/>
        </w:rPr>
        <w:t>Manufacturing products appears as impacting the structure of the intermediate consumption. Because of the g</w:t>
      </w:r>
      <w:r w:rsidRPr="00983631">
        <w:rPr>
          <w:rFonts w:eastAsia="Calibri"/>
        </w:rPr>
        <w:t xml:space="preserve">oods sent abroad for processing are </w:t>
      </w:r>
      <w:r>
        <w:rPr>
          <w:rFonts w:eastAsia="Calibri"/>
        </w:rPr>
        <w:t xml:space="preserve">now </w:t>
      </w:r>
      <w:r w:rsidRPr="00983631">
        <w:rPr>
          <w:rFonts w:eastAsia="Calibri"/>
        </w:rPr>
        <w:t>recorded “net</w:t>
      </w:r>
      <w:r w:rsidRPr="00983631">
        <w:rPr>
          <w:rFonts w:eastAsia="MS PGothic" w:cstheme="minorHAnsi"/>
          <w:lang w:eastAsia="en-GB"/>
        </w:rPr>
        <w:t xml:space="preserve">” in </w:t>
      </w:r>
      <w:r>
        <w:rPr>
          <w:rFonts w:eastAsia="MS PGothic" w:cstheme="minorHAnsi"/>
          <w:lang w:eastAsia="en-GB"/>
        </w:rPr>
        <w:t xml:space="preserve">ESA 2010 </w:t>
      </w:r>
      <w:r w:rsidRPr="00983631">
        <w:rPr>
          <w:rFonts w:eastAsia="MS PGothic" w:cstheme="minorHAnsi"/>
          <w:lang w:eastAsia="en-GB"/>
        </w:rPr>
        <w:t xml:space="preserve">and </w:t>
      </w:r>
      <w:r>
        <w:rPr>
          <w:rFonts w:eastAsia="MS PGothic" w:cstheme="minorHAnsi"/>
          <w:lang w:eastAsia="en-GB"/>
        </w:rPr>
        <w:t xml:space="preserve">that </w:t>
      </w:r>
      <w:r w:rsidRPr="00983631">
        <w:rPr>
          <w:rFonts w:eastAsia="MS PGothic" w:cstheme="minorHAnsi"/>
          <w:lang w:eastAsia="en-GB"/>
        </w:rPr>
        <w:t>flows are classified as services</w:t>
      </w:r>
      <w:r w:rsidRPr="00983631">
        <w:rPr>
          <w:rFonts w:eastAsia="Calibri"/>
          <w:szCs w:val="22"/>
        </w:rPr>
        <w:t xml:space="preserve"> (</w:t>
      </w:r>
      <w:r>
        <w:rPr>
          <w:rFonts w:eastAsia="Calibri"/>
          <w:szCs w:val="22"/>
        </w:rPr>
        <w:t xml:space="preserve">as a </w:t>
      </w:r>
      <w:r w:rsidRPr="00983631">
        <w:rPr>
          <w:rFonts w:eastAsia="Calibri"/>
          <w:szCs w:val="22"/>
        </w:rPr>
        <w:t>processing fee)</w:t>
      </w:r>
      <w:r>
        <w:rPr>
          <w:rFonts w:eastAsia="Calibri"/>
          <w:szCs w:val="22"/>
        </w:rPr>
        <w:t>, t</w:t>
      </w:r>
      <w:r w:rsidRPr="00983631">
        <w:rPr>
          <w:rFonts w:eastAsia="MS PGothic" w:cstheme="minorHAnsi"/>
          <w:lang w:eastAsia="en-GB"/>
        </w:rPr>
        <w:t xml:space="preserve">he </w:t>
      </w:r>
      <w:r>
        <w:rPr>
          <w:rFonts w:eastAsia="MS PGothic" w:cstheme="minorHAnsi"/>
          <w:lang w:eastAsia="en-GB"/>
        </w:rPr>
        <w:t>intermediate consumption of such product decreases. The value of goods sent abroad to be processed are no longer included in the intermediate consumption. The value recorded is now the processing fee only.</w:t>
      </w:r>
      <w:r w:rsidRPr="00983631">
        <w:rPr>
          <w:rFonts w:eastAsia="MS PGothic" w:cstheme="minorHAnsi"/>
          <w:lang w:eastAsia="en-GB"/>
        </w:rPr>
        <w:t xml:space="preserve"> </w:t>
      </w:r>
      <w:r>
        <w:rPr>
          <w:rFonts w:eastAsia="MS PGothic" w:cstheme="minorHAnsi"/>
          <w:lang w:eastAsia="en-GB"/>
        </w:rPr>
        <w:t>T</w:t>
      </w:r>
      <w:r w:rsidRPr="00983631">
        <w:rPr>
          <w:rFonts w:eastAsia="Calibri"/>
        </w:rPr>
        <w:t xml:space="preserve">he industry structure in the processing country </w:t>
      </w:r>
      <w:r>
        <w:rPr>
          <w:rFonts w:eastAsia="Calibri"/>
        </w:rPr>
        <w:t xml:space="preserve">has </w:t>
      </w:r>
      <w:r w:rsidRPr="00983631">
        <w:rPr>
          <w:rFonts w:eastAsia="Calibri"/>
        </w:rPr>
        <w:t>change</w:t>
      </w:r>
      <w:r>
        <w:rPr>
          <w:rFonts w:eastAsia="Calibri"/>
        </w:rPr>
        <w:t xml:space="preserve">d. Table </w:t>
      </w:r>
      <w:r w:rsidR="00753EAC">
        <w:rPr>
          <w:rFonts w:eastAsia="Calibri"/>
        </w:rPr>
        <w:t>4</w:t>
      </w:r>
      <w:r>
        <w:rPr>
          <w:rFonts w:eastAsia="Calibri"/>
        </w:rPr>
        <w:t xml:space="preserve"> highlights products such as textiles (C13-15), metal products (C25), computers and electronic products (C26), electrical equipment (C27), for which, the intermediate consumption value has considerably decreased.</w:t>
      </w:r>
    </w:p>
    <w:p w:rsidR="00727AF0" w:rsidRDefault="00727AF0">
      <w:pPr>
        <w:spacing w:after="0"/>
        <w:jc w:val="left"/>
        <w:rPr>
          <w:u w:val="single"/>
        </w:rPr>
      </w:pPr>
      <w:r>
        <w:rPr>
          <w:u w:val="single"/>
        </w:rPr>
        <w:br w:type="page"/>
      </w:r>
    </w:p>
    <w:p w:rsidR="00B83A66" w:rsidRPr="00753EAC" w:rsidRDefault="00B83A66" w:rsidP="00753EAC">
      <w:pPr>
        <w:rPr>
          <w:u w:val="single"/>
        </w:rPr>
      </w:pPr>
      <w:r w:rsidRPr="00753EAC">
        <w:rPr>
          <w:u w:val="single"/>
        </w:rPr>
        <w:lastRenderedPageBreak/>
        <w:t xml:space="preserve">Table </w:t>
      </w:r>
      <w:r w:rsidR="00753EAC" w:rsidRPr="00753EAC">
        <w:rPr>
          <w:u w:val="single"/>
        </w:rPr>
        <w:t>4</w:t>
      </w:r>
      <w:r w:rsidRPr="00753EAC">
        <w:rPr>
          <w:u w:val="single"/>
        </w:rPr>
        <w:t>: Rank of WAPE for intermediate consumption, selection of largest industries at A64 level</w:t>
      </w:r>
    </w:p>
    <w:tbl>
      <w:tblPr>
        <w:tblStyle w:val="LightList-Accent4"/>
        <w:tblW w:w="8148" w:type="dxa"/>
        <w:tblBorders>
          <w:insideH w:val="single" w:sz="8" w:space="0" w:color="8064A2" w:themeColor="accent4"/>
        </w:tblBorders>
        <w:tblLook w:val="04A0" w:firstRow="1" w:lastRow="0" w:firstColumn="1" w:lastColumn="0" w:noHBand="0" w:noVBand="1"/>
      </w:tblPr>
      <w:tblGrid>
        <w:gridCol w:w="1428"/>
        <w:gridCol w:w="960"/>
        <w:gridCol w:w="960"/>
        <w:gridCol w:w="960"/>
        <w:gridCol w:w="960"/>
        <w:gridCol w:w="960"/>
        <w:gridCol w:w="960"/>
        <w:gridCol w:w="960"/>
      </w:tblGrid>
      <w:tr w:rsidR="00B83A66" w:rsidRPr="00C56AC8" w:rsidTr="00B90135">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428" w:type="dxa"/>
            <w:noWrap/>
            <w:hideMark/>
          </w:tcPr>
          <w:p w:rsidR="00B83A66" w:rsidRPr="00AC2544" w:rsidRDefault="00B83A66" w:rsidP="00B90135">
            <w:pPr>
              <w:spacing w:after="0"/>
              <w:jc w:val="left"/>
              <w:rPr>
                <w:sz w:val="16"/>
                <w:szCs w:val="16"/>
                <w:lang w:eastAsia="en-GB"/>
              </w:rPr>
            </w:pPr>
            <w:r w:rsidRPr="00AC2544">
              <w:rPr>
                <w:color w:val="auto"/>
                <w:sz w:val="16"/>
                <w:szCs w:val="16"/>
                <w:lang w:eastAsia="en-GB"/>
              </w:rPr>
              <w:t>Industry</w:t>
            </w:r>
          </w:p>
        </w:tc>
        <w:tc>
          <w:tcPr>
            <w:tcW w:w="960" w:type="dxa"/>
            <w:noWrap/>
            <w:hideMark/>
          </w:tcPr>
          <w:p w:rsidR="00B83A66" w:rsidRPr="00AC2544" w:rsidRDefault="00753EAC" w:rsidP="00B90135">
            <w:pPr>
              <w:spacing w:after="0"/>
              <w:jc w:val="left"/>
              <w:cnfStyle w:val="100000000000" w:firstRow="1" w:lastRow="0" w:firstColumn="0" w:lastColumn="0" w:oddVBand="0" w:evenVBand="0" w:oddHBand="0" w:evenHBand="0" w:firstRowFirstColumn="0" w:firstRowLastColumn="0" w:lastRowFirstColumn="0" w:lastRowLastColumn="0"/>
              <w:rPr>
                <w:sz w:val="16"/>
                <w:szCs w:val="16"/>
                <w:lang w:eastAsia="en-GB"/>
              </w:rPr>
            </w:pPr>
            <w:r>
              <w:rPr>
                <w:color w:val="auto"/>
                <w:sz w:val="16"/>
                <w:szCs w:val="16"/>
                <w:lang w:eastAsia="en-GB"/>
              </w:rPr>
              <w:t>Country 1</w:t>
            </w:r>
          </w:p>
        </w:tc>
        <w:tc>
          <w:tcPr>
            <w:tcW w:w="960" w:type="dxa"/>
            <w:noWrap/>
            <w:hideMark/>
          </w:tcPr>
          <w:p w:rsidR="00B83A66" w:rsidRPr="00AC2544" w:rsidRDefault="00753EAC" w:rsidP="00B90135">
            <w:pPr>
              <w:spacing w:after="0"/>
              <w:jc w:val="left"/>
              <w:cnfStyle w:val="100000000000" w:firstRow="1" w:lastRow="0" w:firstColumn="0" w:lastColumn="0" w:oddVBand="0" w:evenVBand="0" w:oddHBand="0" w:evenHBand="0" w:firstRowFirstColumn="0" w:firstRowLastColumn="0" w:lastRowFirstColumn="0" w:lastRowLastColumn="0"/>
              <w:rPr>
                <w:sz w:val="16"/>
                <w:szCs w:val="16"/>
                <w:lang w:eastAsia="en-GB"/>
              </w:rPr>
            </w:pPr>
            <w:r>
              <w:rPr>
                <w:color w:val="auto"/>
                <w:sz w:val="16"/>
                <w:szCs w:val="16"/>
                <w:lang w:eastAsia="en-GB"/>
              </w:rPr>
              <w:t>Country 2</w:t>
            </w:r>
          </w:p>
        </w:tc>
        <w:tc>
          <w:tcPr>
            <w:tcW w:w="960" w:type="dxa"/>
            <w:noWrap/>
            <w:hideMark/>
          </w:tcPr>
          <w:p w:rsidR="00B83A66" w:rsidRPr="00AC2544" w:rsidRDefault="00753EAC" w:rsidP="00B90135">
            <w:pPr>
              <w:spacing w:after="0"/>
              <w:jc w:val="left"/>
              <w:cnfStyle w:val="100000000000" w:firstRow="1" w:lastRow="0" w:firstColumn="0" w:lastColumn="0" w:oddVBand="0" w:evenVBand="0" w:oddHBand="0" w:evenHBand="0" w:firstRowFirstColumn="0" w:firstRowLastColumn="0" w:lastRowFirstColumn="0" w:lastRowLastColumn="0"/>
              <w:rPr>
                <w:sz w:val="16"/>
                <w:szCs w:val="16"/>
                <w:lang w:eastAsia="en-GB"/>
              </w:rPr>
            </w:pPr>
            <w:r>
              <w:rPr>
                <w:color w:val="auto"/>
                <w:sz w:val="16"/>
                <w:szCs w:val="16"/>
                <w:lang w:eastAsia="en-GB"/>
              </w:rPr>
              <w:t>Country 3</w:t>
            </w:r>
          </w:p>
        </w:tc>
        <w:tc>
          <w:tcPr>
            <w:tcW w:w="960" w:type="dxa"/>
            <w:noWrap/>
            <w:hideMark/>
          </w:tcPr>
          <w:p w:rsidR="00B83A66" w:rsidRPr="00AC2544" w:rsidRDefault="00753EAC" w:rsidP="00B90135">
            <w:pPr>
              <w:spacing w:after="0"/>
              <w:jc w:val="left"/>
              <w:cnfStyle w:val="100000000000" w:firstRow="1" w:lastRow="0" w:firstColumn="0" w:lastColumn="0" w:oddVBand="0" w:evenVBand="0" w:oddHBand="0" w:evenHBand="0" w:firstRowFirstColumn="0" w:firstRowLastColumn="0" w:lastRowFirstColumn="0" w:lastRowLastColumn="0"/>
              <w:rPr>
                <w:sz w:val="16"/>
                <w:szCs w:val="16"/>
                <w:lang w:eastAsia="en-GB"/>
              </w:rPr>
            </w:pPr>
            <w:r>
              <w:rPr>
                <w:color w:val="auto"/>
                <w:sz w:val="16"/>
                <w:szCs w:val="16"/>
                <w:lang w:eastAsia="en-GB"/>
              </w:rPr>
              <w:t>Country 4</w:t>
            </w:r>
          </w:p>
        </w:tc>
        <w:tc>
          <w:tcPr>
            <w:tcW w:w="960" w:type="dxa"/>
            <w:noWrap/>
            <w:hideMark/>
          </w:tcPr>
          <w:p w:rsidR="00B83A66" w:rsidRPr="00AC2544" w:rsidRDefault="00753EAC" w:rsidP="00B90135">
            <w:pPr>
              <w:spacing w:after="0"/>
              <w:jc w:val="left"/>
              <w:cnfStyle w:val="100000000000" w:firstRow="1" w:lastRow="0" w:firstColumn="0" w:lastColumn="0" w:oddVBand="0" w:evenVBand="0" w:oddHBand="0" w:evenHBand="0" w:firstRowFirstColumn="0" w:firstRowLastColumn="0" w:lastRowFirstColumn="0" w:lastRowLastColumn="0"/>
              <w:rPr>
                <w:sz w:val="16"/>
                <w:szCs w:val="16"/>
                <w:lang w:eastAsia="en-GB"/>
              </w:rPr>
            </w:pPr>
            <w:r>
              <w:rPr>
                <w:color w:val="auto"/>
                <w:sz w:val="16"/>
                <w:szCs w:val="16"/>
                <w:lang w:eastAsia="en-GB"/>
              </w:rPr>
              <w:t>Country 5</w:t>
            </w:r>
          </w:p>
        </w:tc>
        <w:tc>
          <w:tcPr>
            <w:tcW w:w="960" w:type="dxa"/>
            <w:noWrap/>
            <w:hideMark/>
          </w:tcPr>
          <w:p w:rsidR="00B83A66" w:rsidRPr="00AC2544" w:rsidRDefault="00753EAC" w:rsidP="00B90135">
            <w:pPr>
              <w:spacing w:after="0"/>
              <w:jc w:val="left"/>
              <w:cnfStyle w:val="100000000000" w:firstRow="1" w:lastRow="0" w:firstColumn="0" w:lastColumn="0" w:oddVBand="0" w:evenVBand="0" w:oddHBand="0" w:evenHBand="0" w:firstRowFirstColumn="0" w:firstRowLastColumn="0" w:lastRowFirstColumn="0" w:lastRowLastColumn="0"/>
              <w:rPr>
                <w:sz w:val="16"/>
                <w:szCs w:val="16"/>
                <w:lang w:eastAsia="en-GB"/>
              </w:rPr>
            </w:pPr>
            <w:r>
              <w:rPr>
                <w:color w:val="auto"/>
                <w:sz w:val="16"/>
                <w:szCs w:val="16"/>
                <w:lang w:eastAsia="en-GB"/>
              </w:rPr>
              <w:t>Country 6</w:t>
            </w:r>
          </w:p>
        </w:tc>
        <w:tc>
          <w:tcPr>
            <w:tcW w:w="960" w:type="dxa"/>
            <w:tcBorders>
              <w:bottom w:val="single" w:sz="8" w:space="0" w:color="8064A2" w:themeColor="accent4"/>
            </w:tcBorders>
          </w:tcPr>
          <w:p w:rsidR="00B83A66" w:rsidRPr="00C8103C" w:rsidRDefault="00753EAC" w:rsidP="00B90135">
            <w:pPr>
              <w:spacing w:after="0"/>
              <w:jc w:val="left"/>
              <w:cnfStyle w:val="100000000000" w:firstRow="1" w:lastRow="0" w:firstColumn="0" w:lastColumn="0" w:oddVBand="0" w:evenVBand="0" w:oddHBand="0" w:evenHBand="0" w:firstRowFirstColumn="0" w:firstRowLastColumn="0" w:lastRowFirstColumn="0" w:lastRowLastColumn="0"/>
              <w:rPr>
                <w:color w:val="auto"/>
                <w:sz w:val="16"/>
                <w:szCs w:val="16"/>
                <w:lang w:eastAsia="en-GB"/>
              </w:rPr>
            </w:pPr>
            <w:r>
              <w:rPr>
                <w:color w:val="auto"/>
                <w:sz w:val="16"/>
                <w:szCs w:val="16"/>
                <w:lang w:eastAsia="en-GB"/>
              </w:rPr>
              <w:t>Country 7</w:t>
            </w:r>
          </w:p>
        </w:tc>
      </w:tr>
      <w:tr w:rsidR="00B83A66" w:rsidRPr="00C56AC8" w:rsidTr="00B90135">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428" w:type="dxa"/>
            <w:noWrap/>
            <w:hideMark/>
          </w:tcPr>
          <w:p w:rsidR="00B83A66" w:rsidRPr="00C56AC8" w:rsidRDefault="00B83A66" w:rsidP="00B90135">
            <w:pPr>
              <w:spacing w:after="0"/>
              <w:jc w:val="left"/>
              <w:rPr>
                <w:color w:val="000000"/>
                <w:sz w:val="16"/>
                <w:szCs w:val="16"/>
                <w:lang w:eastAsia="en-GB"/>
              </w:rPr>
            </w:pPr>
            <w:r w:rsidRPr="00C56AC8">
              <w:rPr>
                <w:color w:val="000000"/>
                <w:sz w:val="16"/>
                <w:szCs w:val="16"/>
                <w:lang w:eastAsia="en-GB"/>
              </w:rPr>
              <w:t>B</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46</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31</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Pr>
                <w:color w:val="000000"/>
                <w:sz w:val="16"/>
                <w:szCs w:val="16"/>
                <w:lang w:eastAsia="en-GB"/>
              </w:rPr>
              <w:t>5</w:t>
            </w:r>
            <w:r w:rsidRPr="00C56AC8">
              <w:rPr>
                <w:color w:val="000000"/>
                <w:sz w:val="16"/>
                <w:szCs w:val="16"/>
                <w:lang w:eastAsia="en-GB"/>
              </w:rPr>
              <w:t>9</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19</w:t>
            </w:r>
          </w:p>
        </w:tc>
        <w:tc>
          <w:tcPr>
            <w:tcW w:w="960" w:type="dxa"/>
            <w:shd w:val="clear" w:color="auto" w:fill="F2DBDB" w:themeFill="accent2" w:themeFillTint="33"/>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9C0006"/>
                <w:sz w:val="16"/>
                <w:szCs w:val="16"/>
                <w:lang w:eastAsia="en-GB"/>
              </w:rPr>
            </w:pPr>
            <w:r w:rsidRPr="00C56AC8">
              <w:rPr>
                <w:color w:val="9C0006"/>
                <w:sz w:val="16"/>
                <w:szCs w:val="16"/>
                <w:lang w:eastAsia="en-GB"/>
              </w:rPr>
              <w:t>5</w:t>
            </w:r>
          </w:p>
        </w:tc>
        <w:tc>
          <w:tcPr>
            <w:tcW w:w="960" w:type="dxa"/>
            <w:shd w:val="clear" w:color="auto" w:fill="F2DBDB" w:themeFill="accent2" w:themeFillTint="33"/>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9C0006"/>
                <w:sz w:val="16"/>
                <w:szCs w:val="16"/>
                <w:lang w:eastAsia="en-GB"/>
              </w:rPr>
            </w:pPr>
            <w:r w:rsidRPr="00C56AC8">
              <w:rPr>
                <w:color w:val="9C0006"/>
                <w:sz w:val="16"/>
                <w:szCs w:val="16"/>
                <w:lang w:eastAsia="en-GB"/>
              </w:rPr>
              <w:t>7</w:t>
            </w:r>
          </w:p>
        </w:tc>
        <w:tc>
          <w:tcPr>
            <w:tcW w:w="960" w:type="dxa"/>
            <w:shd w:val="clear" w:color="auto" w:fill="F2DBDB" w:themeFill="accent2" w:themeFillTint="33"/>
          </w:tcPr>
          <w:p w:rsidR="00B83A66" w:rsidRPr="00091A00"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9C0006"/>
                <w:sz w:val="16"/>
                <w:szCs w:val="16"/>
                <w:lang w:eastAsia="en-GB"/>
              </w:rPr>
            </w:pPr>
            <w:r w:rsidRPr="00091A00">
              <w:rPr>
                <w:color w:val="9C0006"/>
                <w:sz w:val="16"/>
                <w:szCs w:val="16"/>
                <w:lang w:eastAsia="en-GB"/>
              </w:rPr>
              <w:t>5</w:t>
            </w:r>
          </w:p>
        </w:tc>
      </w:tr>
      <w:tr w:rsidR="00B83A66" w:rsidRPr="00C56AC8" w:rsidTr="00B90135">
        <w:trPr>
          <w:trHeight w:val="239"/>
        </w:trPr>
        <w:tc>
          <w:tcPr>
            <w:cnfStyle w:val="001000000000" w:firstRow="0" w:lastRow="0" w:firstColumn="1" w:lastColumn="0" w:oddVBand="0" w:evenVBand="0" w:oddHBand="0" w:evenHBand="0" w:firstRowFirstColumn="0" w:firstRowLastColumn="0" w:lastRowFirstColumn="0" w:lastRowLastColumn="0"/>
            <w:tcW w:w="1428" w:type="dxa"/>
            <w:noWrap/>
            <w:hideMark/>
          </w:tcPr>
          <w:p w:rsidR="00B83A66" w:rsidRPr="00C56AC8" w:rsidRDefault="00B83A66" w:rsidP="00B90135">
            <w:pPr>
              <w:spacing w:after="0"/>
              <w:jc w:val="left"/>
              <w:rPr>
                <w:color w:val="000000"/>
                <w:sz w:val="16"/>
                <w:szCs w:val="16"/>
                <w:lang w:eastAsia="en-GB"/>
              </w:rPr>
            </w:pPr>
            <w:r w:rsidRPr="00C56AC8">
              <w:rPr>
                <w:color w:val="000000"/>
                <w:sz w:val="16"/>
                <w:szCs w:val="16"/>
                <w:lang w:eastAsia="en-GB"/>
              </w:rPr>
              <w:t>C13T15</w:t>
            </w:r>
          </w:p>
        </w:tc>
        <w:tc>
          <w:tcPr>
            <w:tcW w:w="960" w:type="dxa"/>
            <w:shd w:val="clear" w:color="auto" w:fill="F2DBDB" w:themeFill="accent2" w:themeFillTint="33"/>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9C0006"/>
                <w:sz w:val="16"/>
                <w:szCs w:val="16"/>
                <w:lang w:eastAsia="en-GB"/>
              </w:rPr>
            </w:pPr>
            <w:r w:rsidRPr="00C56AC8">
              <w:rPr>
                <w:color w:val="9C0006"/>
                <w:sz w:val="16"/>
                <w:szCs w:val="16"/>
                <w:lang w:eastAsia="en-GB"/>
              </w:rPr>
              <w:t>6</w:t>
            </w:r>
          </w:p>
        </w:tc>
        <w:tc>
          <w:tcPr>
            <w:tcW w:w="960" w:type="dxa"/>
            <w:shd w:val="clear" w:color="auto" w:fill="F2DBDB" w:themeFill="accent2" w:themeFillTint="33"/>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9C0006"/>
                <w:sz w:val="16"/>
                <w:szCs w:val="16"/>
                <w:lang w:eastAsia="en-GB"/>
              </w:rPr>
            </w:pPr>
            <w:r w:rsidRPr="00C56AC8">
              <w:rPr>
                <w:color w:val="9C0006"/>
                <w:sz w:val="16"/>
                <w:szCs w:val="16"/>
                <w:lang w:eastAsia="en-GB"/>
              </w:rPr>
              <w:t>3</w:t>
            </w:r>
          </w:p>
        </w:tc>
        <w:tc>
          <w:tcPr>
            <w:tcW w:w="960" w:type="dxa"/>
            <w:tcBorders>
              <w:bottom w:val="single" w:sz="8" w:space="0" w:color="8064A2" w:themeColor="accent4"/>
            </w:tcBorders>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Pr>
                <w:color w:val="000000"/>
                <w:sz w:val="16"/>
                <w:szCs w:val="16"/>
                <w:lang w:eastAsia="en-GB"/>
              </w:rPr>
              <w:t>46</w:t>
            </w:r>
          </w:p>
        </w:tc>
        <w:tc>
          <w:tcPr>
            <w:tcW w:w="960" w:type="dxa"/>
            <w:shd w:val="clear" w:color="auto" w:fill="F2DBDB" w:themeFill="accent2" w:themeFillTint="33"/>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9C0006"/>
                <w:sz w:val="16"/>
                <w:szCs w:val="16"/>
                <w:lang w:eastAsia="en-GB"/>
              </w:rPr>
            </w:pPr>
            <w:r w:rsidRPr="00C56AC8">
              <w:rPr>
                <w:color w:val="9C0006"/>
                <w:sz w:val="16"/>
                <w:szCs w:val="16"/>
                <w:lang w:eastAsia="en-GB"/>
              </w:rPr>
              <w:t>5</w:t>
            </w:r>
          </w:p>
        </w:tc>
        <w:tc>
          <w:tcPr>
            <w:tcW w:w="960" w:type="dxa"/>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sidRPr="00C56AC8">
              <w:rPr>
                <w:color w:val="000000"/>
                <w:sz w:val="16"/>
                <w:szCs w:val="16"/>
                <w:lang w:eastAsia="en-GB"/>
              </w:rPr>
              <w:t>16</w:t>
            </w:r>
          </w:p>
        </w:tc>
        <w:tc>
          <w:tcPr>
            <w:tcW w:w="960" w:type="dxa"/>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sidRPr="00C56AC8">
              <w:rPr>
                <w:color w:val="000000"/>
                <w:sz w:val="16"/>
                <w:szCs w:val="16"/>
                <w:lang w:eastAsia="en-GB"/>
              </w:rPr>
              <w:t>38</w:t>
            </w:r>
          </w:p>
        </w:tc>
        <w:tc>
          <w:tcPr>
            <w:tcW w:w="960" w:type="dxa"/>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Pr>
                <w:color w:val="000000"/>
                <w:sz w:val="16"/>
                <w:szCs w:val="16"/>
                <w:lang w:eastAsia="en-GB"/>
              </w:rPr>
              <w:t>51</w:t>
            </w:r>
          </w:p>
        </w:tc>
      </w:tr>
      <w:tr w:rsidR="00B83A66" w:rsidRPr="00C56AC8" w:rsidTr="00B90135">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1428" w:type="dxa"/>
            <w:noWrap/>
            <w:hideMark/>
          </w:tcPr>
          <w:p w:rsidR="00B83A66" w:rsidRPr="00C56AC8" w:rsidRDefault="00B83A66" w:rsidP="00B90135">
            <w:pPr>
              <w:spacing w:after="0"/>
              <w:jc w:val="left"/>
              <w:rPr>
                <w:color w:val="000000"/>
                <w:sz w:val="16"/>
                <w:szCs w:val="16"/>
                <w:lang w:eastAsia="en-GB"/>
              </w:rPr>
            </w:pPr>
            <w:r w:rsidRPr="00C56AC8">
              <w:rPr>
                <w:color w:val="000000"/>
                <w:sz w:val="16"/>
                <w:szCs w:val="16"/>
                <w:lang w:eastAsia="en-GB"/>
              </w:rPr>
              <w:t>C19</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36</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20</w:t>
            </w:r>
          </w:p>
        </w:tc>
        <w:tc>
          <w:tcPr>
            <w:tcW w:w="960" w:type="dxa"/>
            <w:shd w:val="clear" w:color="auto" w:fill="auto"/>
            <w:noWrap/>
            <w:hideMark/>
          </w:tcPr>
          <w:p w:rsidR="00B83A66" w:rsidRPr="00EA3F10"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sz w:val="16"/>
                <w:szCs w:val="16"/>
                <w:lang w:eastAsia="en-GB"/>
              </w:rPr>
            </w:pPr>
            <w:r w:rsidRPr="00EA3F10">
              <w:rPr>
                <w:sz w:val="16"/>
                <w:szCs w:val="16"/>
                <w:lang w:eastAsia="en-GB"/>
              </w:rPr>
              <w:t>19</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21</w:t>
            </w:r>
          </w:p>
        </w:tc>
        <w:tc>
          <w:tcPr>
            <w:tcW w:w="960" w:type="dxa"/>
            <w:shd w:val="clear" w:color="auto" w:fill="F2DBDB" w:themeFill="accent2" w:themeFillTint="33"/>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9C0006"/>
                <w:sz w:val="16"/>
                <w:szCs w:val="16"/>
                <w:lang w:eastAsia="en-GB"/>
              </w:rPr>
            </w:pPr>
            <w:r w:rsidRPr="00C56AC8">
              <w:rPr>
                <w:color w:val="9C0006"/>
                <w:sz w:val="16"/>
                <w:szCs w:val="16"/>
                <w:lang w:eastAsia="en-GB"/>
              </w:rPr>
              <w:t>4</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24</w:t>
            </w:r>
          </w:p>
        </w:tc>
        <w:tc>
          <w:tcPr>
            <w:tcW w:w="960" w:type="dxa"/>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Pr>
                <w:color w:val="000000"/>
                <w:sz w:val="16"/>
                <w:szCs w:val="16"/>
                <w:lang w:eastAsia="en-GB"/>
              </w:rPr>
              <w:t>10</w:t>
            </w:r>
          </w:p>
        </w:tc>
      </w:tr>
      <w:tr w:rsidR="00B83A66" w:rsidRPr="00C56AC8" w:rsidTr="00B90135">
        <w:trPr>
          <w:trHeight w:val="203"/>
        </w:trPr>
        <w:tc>
          <w:tcPr>
            <w:cnfStyle w:val="001000000000" w:firstRow="0" w:lastRow="0" w:firstColumn="1" w:lastColumn="0" w:oddVBand="0" w:evenVBand="0" w:oddHBand="0" w:evenHBand="0" w:firstRowFirstColumn="0" w:firstRowLastColumn="0" w:lastRowFirstColumn="0" w:lastRowLastColumn="0"/>
            <w:tcW w:w="1428" w:type="dxa"/>
            <w:noWrap/>
            <w:hideMark/>
          </w:tcPr>
          <w:p w:rsidR="00B83A66" w:rsidRPr="00C56AC8" w:rsidRDefault="00B83A66" w:rsidP="00B90135">
            <w:pPr>
              <w:spacing w:after="0"/>
              <w:jc w:val="left"/>
              <w:rPr>
                <w:color w:val="000000"/>
                <w:sz w:val="16"/>
                <w:szCs w:val="16"/>
                <w:lang w:eastAsia="en-GB"/>
              </w:rPr>
            </w:pPr>
            <w:r w:rsidRPr="00C56AC8">
              <w:rPr>
                <w:color w:val="000000"/>
                <w:sz w:val="16"/>
                <w:szCs w:val="16"/>
                <w:lang w:eastAsia="en-GB"/>
              </w:rPr>
              <w:t>C20</w:t>
            </w:r>
          </w:p>
        </w:tc>
        <w:tc>
          <w:tcPr>
            <w:tcW w:w="960" w:type="dxa"/>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sidRPr="00C56AC8">
              <w:rPr>
                <w:color w:val="000000"/>
                <w:sz w:val="16"/>
                <w:szCs w:val="16"/>
                <w:lang w:eastAsia="en-GB"/>
              </w:rPr>
              <w:t>29</w:t>
            </w:r>
          </w:p>
        </w:tc>
        <w:tc>
          <w:tcPr>
            <w:tcW w:w="960" w:type="dxa"/>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sidRPr="00C56AC8">
              <w:rPr>
                <w:color w:val="000000"/>
                <w:sz w:val="16"/>
                <w:szCs w:val="16"/>
                <w:lang w:eastAsia="en-GB"/>
              </w:rPr>
              <w:t>23</w:t>
            </w:r>
          </w:p>
        </w:tc>
        <w:tc>
          <w:tcPr>
            <w:tcW w:w="960" w:type="dxa"/>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Pr>
                <w:color w:val="000000"/>
                <w:sz w:val="16"/>
                <w:szCs w:val="16"/>
                <w:lang w:eastAsia="en-GB"/>
              </w:rPr>
              <w:t>13</w:t>
            </w:r>
          </w:p>
        </w:tc>
        <w:tc>
          <w:tcPr>
            <w:tcW w:w="960" w:type="dxa"/>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sidRPr="00C56AC8">
              <w:rPr>
                <w:color w:val="000000"/>
                <w:sz w:val="16"/>
                <w:szCs w:val="16"/>
                <w:lang w:eastAsia="en-GB"/>
              </w:rPr>
              <w:t>17</w:t>
            </w:r>
          </w:p>
        </w:tc>
        <w:tc>
          <w:tcPr>
            <w:tcW w:w="960" w:type="dxa"/>
            <w:shd w:val="clear" w:color="auto" w:fill="F2DBDB" w:themeFill="accent2" w:themeFillTint="33"/>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9C0006"/>
                <w:sz w:val="16"/>
                <w:szCs w:val="16"/>
                <w:lang w:eastAsia="en-GB"/>
              </w:rPr>
            </w:pPr>
            <w:r w:rsidRPr="00C56AC8">
              <w:rPr>
                <w:color w:val="9C0006"/>
                <w:sz w:val="16"/>
                <w:szCs w:val="16"/>
                <w:lang w:eastAsia="en-GB"/>
              </w:rPr>
              <w:t>8</w:t>
            </w:r>
          </w:p>
        </w:tc>
        <w:tc>
          <w:tcPr>
            <w:tcW w:w="960" w:type="dxa"/>
            <w:shd w:val="clear" w:color="auto" w:fill="F2DBDB" w:themeFill="accent2" w:themeFillTint="33"/>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9C0006"/>
                <w:sz w:val="16"/>
                <w:szCs w:val="16"/>
                <w:lang w:eastAsia="en-GB"/>
              </w:rPr>
            </w:pPr>
            <w:r w:rsidRPr="00C56AC8">
              <w:rPr>
                <w:color w:val="9C0006"/>
                <w:sz w:val="16"/>
                <w:szCs w:val="16"/>
                <w:lang w:eastAsia="en-GB"/>
              </w:rPr>
              <w:t>6</w:t>
            </w:r>
          </w:p>
        </w:tc>
        <w:tc>
          <w:tcPr>
            <w:tcW w:w="960" w:type="dxa"/>
            <w:shd w:val="clear" w:color="auto" w:fill="auto"/>
          </w:tcPr>
          <w:p w:rsidR="00B83A66" w:rsidRPr="00091A00"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sz w:val="16"/>
                <w:szCs w:val="16"/>
                <w:lang w:eastAsia="en-GB"/>
              </w:rPr>
            </w:pPr>
            <w:r w:rsidRPr="00091A00">
              <w:rPr>
                <w:sz w:val="16"/>
                <w:szCs w:val="16"/>
                <w:lang w:eastAsia="en-GB"/>
              </w:rPr>
              <w:t>11</w:t>
            </w:r>
          </w:p>
        </w:tc>
      </w:tr>
      <w:tr w:rsidR="00B83A66" w:rsidRPr="00C56AC8" w:rsidTr="00B90135">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1428" w:type="dxa"/>
            <w:noWrap/>
            <w:hideMark/>
          </w:tcPr>
          <w:p w:rsidR="00B83A66" w:rsidRPr="00C56AC8" w:rsidRDefault="00B83A66" w:rsidP="00B90135">
            <w:pPr>
              <w:spacing w:after="0"/>
              <w:jc w:val="left"/>
              <w:rPr>
                <w:color w:val="000000"/>
                <w:sz w:val="16"/>
                <w:szCs w:val="16"/>
                <w:lang w:eastAsia="en-GB"/>
              </w:rPr>
            </w:pPr>
            <w:r w:rsidRPr="00C56AC8">
              <w:rPr>
                <w:color w:val="000000"/>
                <w:sz w:val="16"/>
                <w:szCs w:val="16"/>
                <w:lang w:eastAsia="en-GB"/>
              </w:rPr>
              <w:t>C25</w:t>
            </w:r>
          </w:p>
        </w:tc>
        <w:tc>
          <w:tcPr>
            <w:tcW w:w="960" w:type="dxa"/>
            <w:shd w:val="clear" w:color="auto" w:fill="F2DBDB" w:themeFill="accent2" w:themeFillTint="33"/>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9C0006"/>
                <w:sz w:val="16"/>
                <w:szCs w:val="16"/>
                <w:lang w:eastAsia="en-GB"/>
              </w:rPr>
            </w:pPr>
            <w:r w:rsidRPr="00C56AC8">
              <w:rPr>
                <w:color w:val="9C0006"/>
                <w:sz w:val="16"/>
                <w:szCs w:val="16"/>
                <w:lang w:eastAsia="en-GB"/>
              </w:rPr>
              <w:t>3</w:t>
            </w:r>
          </w:p>
        </w:tc>
        <w:tc>
          <w:tcPr>
            <w:tcW w:w="960" w:type="dxa"/>
            <w:shd w:val="clear" w:color="auto" w:fill="F2DBDB" w:themeFill="accent2" w:themeFillTint="33"/>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9C0006"/>
                <w:sz w:val="16"/>
                <w:szCs w:val="16"/>
                <w:lang w:eastAsia="en-GB"/>
              </w:rPr>
            </w:pPr>
            <w:r w:rsidRPr="00C56AC8">
              <w:rPr>
                <w:color w:val="9C0006"/>
                <w:sz w:val="16"/>
                <w:szCs w:val="16"/>
                <w:lang w:eastAsia="en-GB"/>
              </w:rPr>
              <w:t>9</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Pr>
                <w:color w:val="000000"/>
                <w:sz w:val="16"/>
                <w:szCs w:val="16"/>
                <w:lang w:eastAsia="en-GB"/>
              </w:rPr>
              <w:t>29</w:t>
            </w:r>
          </w:p>
        </w:tc>
        <w:tc>
          <w:tcPr>
            <w:tcW w:w="960" w:type="dxa"/>
            <w:shd w:val="clear" w:color="auto" w:fill="F2DBDB" w:themeFill="accent2" w:themeFillTint="33"/>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9C0006"/>
                <w:sz w:val="16"/>
                <w:szCs w:val="16"/>
                <w:lang w:eastAsia="en-GB"/>
              </w:rPr>
            </w:pPr>
            <w:r w:rsidRPr="00C56AC8">
              <w:rPr>
                <w:color w:val="9C0006"/>
                <w:sz w:val="16"/>
                <w:szCs w:val="16"/>
                <w:lang w:eastAsia="en-GB"/>
              </w:rPr>
              <w:t>8</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17</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30</w:t>
            </w:r>
          </w:p>
        </w:tc>
        <w:tc>
          <w:tcPr>
            <w:tcW w:w="960" w:type="dxa"/>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Pr>
                <w:color w:val="000000"/>
                <w:sz w:val="16"/>
                <w:szCs w:val="16"/>
                <w:lang w:eastAsia="en-GB"/>
              </w:rPr>
              <w:t>15</w:t>
            </w:r>
          </w:p>
        </w:tc>
      </w:tr>
      <w:tr w:rsidR="00B83A66" w:rsidRPr="00C56AC8" w:rsidTr="00B90135">
        <w:trPr>
          <w:trHeight w:val="181"/>
        </w:trPr>
        <w:tc>
          <w:tcPr>
            <w:cnfStyle w:val="001000000000" w:firstRow="0" w:lastRow="0" w:firstColumn="1" w:lastColumn="0" w:oddVBand="0" w:evenVBand="0" w:oddHBand="0" w:evenHBand="0" w:firstRowFirstColumn="0" w:firstRowLastColumn="0" w:lastRowFirstColumn="0" w:lastRowLastColumn="0"/>
            <w:tcW w:w="1428" w:type="dxa"/>
            <w:noWrap/>
            <w:hideMark/>
          </w:tcPr>
          <w:p w:rsidR="00B83A66" w:rsidRPr="00C56AC8" w:rsidRDefault="00B83A66" w:rsidP="00B90135">
            <w:pPr>
              <w:spacing w:after="0"/>
              <w:jc w:val="left"/>
              <w:rPr>
                <w:color w:val="000000"/>
                <w:sz w:val="16"/>
                <w:szCs w:val="16"/>
                <w:lang w:eastAsia="en-GB"/>
              </w:rPr>
            </w:pPr>
            <w:r w:rsidRPr="00C56AC8">
              <w:rPr>
                <w:color w:val="000000"/>
                <w:sz w:val="16"/>
                <w:szCs w:val="16"/>
                <w:lang w:eastAsia="en-GB"/>
              </w:rPr>
              <w:t>C26</w:t>
            </w:r>
          </w:p>
        </w:tc>
        <w:tc>
          <w:tcPr>
            <w:tcW w:w="960" w:type="dxa"/>
            <w:shd w:val="clear" w:color="auto" w:fill="F2DBDB" w:themeFill="accent2" w:themeFillTint="33"/>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9C0006"/>
                <w:sz w:val="16"/>
                <w:szCs w:val="16"/>
                <w:lang w:eastAsia="en-GB"/>
              </w:rPr>
            </w:pPr>
            <w:r w:rsidRPr="00C56AC8">
              <w:rPr>
                <w:color w:val="9C0006"/>
                <w:sz w:val="16"/>
                <w:szCs w:val="16"/>
                <w:lang w:eastAsia="en-GB"/>
              </w:rPr>
              <w:t>8</w:t>
            </w:r>
          </w:p>
        </w:tc>
        <w:tc>
          <w:tcPr>
            <w:tcW w:w="960" w:type="dxa"/>
            <w:shd w:val="clear" w:color="auto" w:fill="F2DBDB" w:themeFill="accent2" w:themeFillTint="33"/>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9C0006"/>
                <w:sz w:val="16"/>
                <w:szCs w:val="16"/>
                <w:lang w:eastAsia="en-GB"/>
              </w:rPr>
            </w:pPr>
            <w:r w:rsidRPr="00C56AC8">
              <w:rPr>
                <w:color w:val="9C0006"/>
                <w:sz w:val="16"/>
                <w:szCs w:val="16"/>
                <w:lang w:eastAsia="en-GB"/>
              </w:rPr>
              <w:t>5</w:t>
            </w:r>
          </w:p>
        </w:tc>
        <w:tc>
          <w:tcPr>
            <w:tcW w:w="960" w:type="dxa"/>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Pr>
                <w:color w:val="000000"/>
                <w:sz w:val="16"/>
                <w:szCs w:val="16"/>
                <w:lang w:eastAsia="en-GB"/>
              </w:rPr>
              <w:t>26</w:t>
            </w:r>
          </w:p>
        </w:tc>
        <w:tc>
          <w:tcPr>
            <w:tcW w:w="960" w:type="dxa"/>
            <w:shd w:val="clear" w:color="auto" w:fill="F2DBDB" w:themeFill="accent2" w:themeFillTint="33"/>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9C0006"/>
                <w:sz w:val="16"/>
                <w:szCs w:val="16"/>
                <w:lang w:eastAsia="en-GB"/>
              </w:rPr>
            </w:pPr>
            <w:r w:rsidRPr="00C56AC8">
              <w:rPr>
                <w:color w:val="9C0006"/>
                <w:sz w:val="16"/>
                <w:szCs w:val="16"/>
                <w:lang w:eastAsia="en-GB"/>
              </w:rPr>
              <w:t>4</w:t>
            </w:r>
          </w:p>
        </w:tc>
        <w:tc>
          <w:tcPr>
            <w:tcW w:w="960" w:type="dxa"/>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sidRPr="00C56AC8">
              <w:rPr>
                <w:color w:val="000000"/>
                <w:sz w:val="16"/>
                <w:szCs w:val="16"/>
                <w:lang w:eastAsia="en-GB"/>
              </w:rPr>
              <w:t>34</w:t>
            </w:r>
          </w:p>
        </w:tc>
        <w:tc>
          <w:tcPr>
            <w:tcW w:w="960" w:type="dxa"/>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sidRPr="00C56AC8">
              <w:rPr>
                <w:color w:val="000000"/>
                <w:sz w:val="16"/>
                <w:szCs w:val="16"/>
                <w:lang w:eastAsia="en-GB"/>
              </w:rPr>
              <w:t>31</w:t>
            </w:r>
          </w:p>
        </w:tc>
        <w:tc>
          <w:tcPr>
            <w:tcW w:w="960" w:type="dxa"/>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Pr>
                <w:color w:val="000000"/>
                <w:sz w:val="16"/>
                <w:szCs w:val="16"/>
                <w:lang w:eastAsia="en-GB"/>
              </w:rPr>
              <w:t>9</w:t>
            </w:r>
          </w:p>
        </w:tc>
      </w:tr>
      <w:tr w:rsidR="00B83A66" w:rsidRPr="00C56AC8" w:rsidTr="00B9013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28" w:type="dxa"/>
            <w:noWrap/>
            <w:hideMark/>
          </w:tcPr>
          <w:p w:rsidR="00B83A66" w:rsidRPr="00C56AC8" w:rsidRDefault="00B83A66" w:rsidP="00B90135">
            <w:pPr>
              <w:spacing w:after="0"/>
              <w:jc w:val="left"/>
              <w:rPr>
                <w:color w:val="000000"/>
                <w:sz w:val="16"/>
                <w:szCs w:val="16"/>
                <w:lang w:eastAsia="en-GB"/>
              </w:rPr>
            </w:pPr>
            <w:r w:rsidRPr="00C56AC8">
              <w:rPr>
                <w:color w:val="000000"/>
                <w:sz w:val="16"/>
                <w:szCs w:val="16"/>
                <w:lang w:eastAsia="en-GB"/>
              </w:rPr>
              <w:t>C27</w:t>
            </w:r>
          </w:p>
        </w:tc>
        <w:tc>
          <w:tcPr>
            <w:tcW w:w="960" w:type="dxa"/>
            <w:shd w:val="clear" w:color="auto" w:fill="F2DBDB" w:themeFill="accent2" w:themeFillTint="33"/>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9C0006"/>
                <w:sz w:val="16"/>
                <w:szCs w:val="16"/>
                <w:lang w:eastAsia="en-GB"/>
              </w:rPr>
            </w:pPr>
            <w:r w:rsidRPr="00C56AC8">
              <w:rPr>
                <w:color w:val="9C0006"/>
                <w:sz w:val="16"/>
                <w:szCs w:val="16"/>
                <w:lang w:eastAsia="en-GB"/>
              </w:rPr>
              <w:t>4</w:t>
            </w:r>
          </w:p>
        </w:tc>
        <w:tc>
          <w:tcPr>
            <w:tcW w:w="960" w:type="dxa"/>
            <w:shd w:val="clear" w:color="auto" w:fill="F2DBDB" w:themeFill="accent2" w:themeFillTint="33"/>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9C0006"/>
                <w:sz w:val="16"/>
                <w:szCs w:val="16"/>
                <w:lang w:eastAsia="en-GB"/>
              </w:rPr>
            </w:pPr>
            <w:r w:rsidRPr="00C56AC8">
              <w:rPr>
                <w:color w:val="9C0006"/>
                <w:sz w:val="16"/>
                <w:szCs w:val="16"/>
                <w:lang w:eastAsia="en-GB"/>
              </w:rPr>
              <w:t>7</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Pr>
                <w:color w:val="000000"/>
                <w:sz w:val="16"/>
                <w:szCs w:val="16"/>
                <w:lang w:eastAsia="en-GB"/>
              </w:rPr>
              <w:t>28</w:t>
            </w:r>
          </w:p>
        </w:tc>
        <w:tc>
          <w:tcPr>
            <w:tcW w:w="960" w:type="dxa"/>
            <w:shd w:val="clear" w:color="auto" w:fill="F2DBDB" w:themeFill="accent2" w:themeFillTint="33"/>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9C0006"/>
                <w:sz w:val="16"/>
                <w:szCs w:val="16"/>
                <w:lang w:eastAsia="en-GB"/>
              </w:rPr>
            </w:pPr>
            <w:r w:rsidRPr="00C56AC8">
              <w:rPr>
                <w:color w:val="9C0006"/>
                <w:sz w:val="16"/>
                <w:szCs w:val="16"/>
                <w:lang w:eastAsia="en-GB"/>
              </w:rPr>
              <w:t>3</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35</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28</w:t>
            </w:r>
          </w:p>
        </w:tc>
        <w:tc>
          <w:tcPr>
            <w:tcW w:w="960" w:type="dxa"/>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Pr>
                <w:color w:val="000000"/>
                <w:sz w:val="16"/>
                <w:szCs w:val="16"/>
                <w:lang w:eastAsia="en-GB"/>
              </w:rPr>
              <w:t>42</w:t>
            </w:r>
          </w:p>
        </w:tc>
      </w:tr>
      <w:tr w:rsidR="00B83A66" w:rsidRPr="00C56AC8" w:rsidTr="00B90135">
        <w:trPr>
          <w:trHeight w:val="187"/>
        </w:trPr>
        <w:tc>
          <w:tcPr>
            <w:cnfStyle w:val="001000000000" w:firstRow="0" w:lastRow="0" w:firstColumn="1" w:lastColumn="0" w:oddVBand="0" w:evenVBand="0" w:oddHBand="0" w:evenHBand="0" w:firstRowFirstColumn="0" w:firstRowLastColumn="0" w:lastRowFirstColumn="0" w:lastRowLastColumn="0"/>
            <w:tcW w:w="1428" w:type="dxa"/>
            <w:noWrap/>
            <w:hideMark/>
          </w:tcPr>
          <w:p w:rsidR="00B83A66" w:rsidRPr="00C56AC8" w:rsidRDefault="00B83A66" w:rsidP="00B90135">
            <w:pPr>
              <w:spacing w:after="0"/>
              <w:jc w:val="left"/>
              <w:rPr>
                <w:color w:val="000000"/>
                <w:sz w:val="16"/>
                <w:szCs w:val="16"/>
                <w:lang w:eastAsia="en-GB"/>
              </w:rPr>
            </w:pPr>
            <w:r w:rsidRPr="00C56AC8">
              <w:rPr>
                <w:color w:val="000000"/>
                <w:sz w:val="16"/>
                <w:szCs w:val="16"/>
                <w:lang w:eastAsia="en-GB"/>
              </w:rPr>
              <w:t>C28</w:t>
            </w:r>
          </w:p>
        </w:tc>
        <w:tc>
          <w:tcPr>
            <w:tcW w:w="960" w:type="dxa"/>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sidRPr="00C56AC8">
              <w:rPr>
                <w:color w:val="000000"/>
                <w:sz w:val="16"/>
                <w:szCs w:val="16"/>
                <w:lang w:eastAsia="en-GB"/>
              </w:rPr>
              <w:t>16</w:t>
            </w:r>
          </w:p>
        </w:tc>
        <w:tc>
          <w:tcPr>
            <w:tcW w:w="960" w:type="dxa"/>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sidRPr="00C56AC8">
              <w:rPr>
                <w:color w:val="000000"/>
                <w:sz w:val="16"/>
                <w:szCs w:val="16"/>
                <w:lang w:eastAsia="en-GB"/>
              </w:rPr>
              <w:t>11</w:t>
            </w:r>
          </w:p>
        </w:tc>
        <w:tc>
          <w:tcPr>
            <w:tcW w:w="960" w:type="dxa"/>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Pr>
                <w:color w:val="000000"/>
                <w:sz w:val="16"/>
                <w:szCs w:val="16"/>
                <w:lang w:eastAsia="en-GB"/>
              </w:rPr>
              <w:t>38</w:t>
            </w:r>
          </w:p>
        </w:tc>
        <w:tc>
          <w:tcPr>
            <w:tcW w:w="960" w:type="dxa"/>
            <w:shd w:val="clear" w:color="auto" w:fill="F2DBDB" w:themeFill="accent2" w:themeFillTint="33"/>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9C0006"/>
                <w:sz w:val="16"/>
                <w:szCs w:val="16"/>
                <w:lang w:eastAsia="en-GB"/>
              </w:rPr>
            </w:pPr>
            <w:r w:rsidRPr="00C56AC8">
              <w:rPr>
                <w:color w:val="9C0006"/>
                <w:sz w:val="16"/>
                <w:szCs w:val="16"/>
                <w:lang w:eastAsia="en-GB"/>
              </w:rPr>
              <w:t>6</w:t>
            </w:r>
          </w:p>
        </w:tc>
        <w:tc>
          <w:tcPr>
            <w:tcW w:w="960" w:type="dxa"/>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sidRPr="00C56AC8">
              <w:rPr>
                <w:color w:val="000000"/>
                <w:sz w:val="16"/>
                <w:szCs w:val="16"/>
                <w:lang w:eastAsia="en-GB"/>
              </w:rPr>
              <w:t>33</w:t>
            </w:r>
          </w:p>
        </w:tc>
        <w:tc>
          <w:tcPr>
            <w:tcW w:w="960" w:type="dxa"/>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sidRPr="00C56AC8">
              <w:rPr>
                <w:color w:val="000000"/>
                <w:sz w:val="16"/>
                <w:szCs w:val="16"/>
                <w:lang w:eastAsia="en-GB"/>
              </w:rPr>
              <w:t>18</w:t>
            </w:r>
          </w:p>
        </w:tc>
        <w:tc>
          <w:tcPr>
            <w:tcW w:w="960" w:type="dxa"/>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Pr>
                <w:color w:val="000000"/>
                <w:sz w:val="16"/>
                <w:szCs w:val="16"/>
                <w:lang w:eastAsia="en-GB"/>
              </w:rPr>
              <w:t>40</w:t>
            </w:r>
          </w:p>
        </w:tc>
      </w:tr>
      <w:tr w:rsidR="00B83A66" w:rsidRPr="00C56AC8" w:rsidTr="00B90135">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428" w:type="dxa"/>
            <w:noWrap/>
            <w:hideMark/>
          </w:tcPr>
          <w:p w:rsidR="00B83A66" w:rsidRPr="00C56AC8" w:rsidRDefault="00B83A66" w:rsidP="00B90135">
            <w:pPr>
              <w:spacing w:after="0"/>
              <w:jc w:val="left"/>
              <w:rPr>
                <w:color w:val="000000"/>
                <w:sz w:val="16"/>
                <w:szCs w:val="16"/>
                <w:lang w:eastAsia="en-GB"/>
              </w:rPr>
            </w:pPr>
            <w:r w:rsidRPr="00C56AC8">
              <w:rPr>
                <w:color w:val="000000"/>
                <w:sz w:val="16"/>
                <w:szCs w:val="16"/>
                <w:lang w:eastAsia="en-GB"/>
              </w:rPr>
              <w:t>C30</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19</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40</w:t>
            </w:r>
          </w:p>
        </w:tc>
        <w:tc>
          <w:tcPr>
            <w:tcW w:w="960" w:type="dxa"/>
            <w:shd w:val="clear" w:color="auto" w:fill="F2DBDB" w:themeFill="accent2" w:themeFillTint="33"/>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9C0006"/>
                <w:sz w:val="16"/>
                <w:szCs w:val="16"/>
                <w:lang w:eastAsia="en-GB"/>
              </w:rPr>
            </w:pPr>
            <w:r>
              <w:rPr>
                <w:color w:val="9C0006"/>
                <w:sz w:val="16"/>
                <w:szCs w:val="16"/>
                <w:lang w:eastAsia="en-GB"/>
              </w:rPr>
              <w:t>3</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18</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40</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42</w:t>
            </w:r>
          </w:p>
        </w:tc>
        <w:tc>
          <w:tcPr>
            <w:tcW w:w="960" w:type="dxa"/>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Pr>
                <w:color w:val="000000"/>
                <w:sz w:val="16"/>
                <w:szCs w:val="16"/>
                <w:lang w:eastAsia="en-GB"/>
              </w:rPr>
              <w:t>38</w:t>
            </w:r>
          </w:p>
        </w:tc>
      </w:tr>
      <w:tr w:rsidR="00B83A66" w:rsidRPr="00C56AC8" w:rsidTr="00B90135">
        <w:trPr>
          <w:trHeight w:val="123"/>
        </w:trPr>
        <w:tc>
          <w:tcPr>
            <w:cnfStyle w:val="001000000000" w:firstRow="0" w:lastRow="0" w:firstColumn="1" w:lastColumn="0" w:oddVBand="0" w:evenVBand="0" w:oddHBand="0" w:evenHBand="0" w:firstRowFirstColumn="0" w:firstRowLastColumn="0" w:lastRowFirstColumn="0" w:lastRowLastColumn="0"/>
            <w:tcW w:w="1428" w:type="dxa"/>
            <w:noWrap/>
            <w:hideMark/>
          </w:tcPr>
          <w:p w:rsidR="00B83A66" w:rsidRPr="00C56AC8" w:rsidRDefault="00B83A66" w:rsidP="00B90135">
            <w:pPr>
              <w:spacing w:after="0"/>
              <w:jc w:val="left"/>
              <w:rPr>
                <w:color w:val="000000"/>
                <w:sz w:val="16"/>
                <w:szCs w:val="16"/>
                <w:lang w:eastAsia="en-GB"/>
              </w:rPr>
            </w:pPr>
            <w:r w:rsidRPr="00C56AC8">
              <w:rPr>
                <w:color w:val="000000"/>
                <w:sz w:val="16"/>
                <w:szCs w:val="16"/>
                <w:lang w:eastAsia="en-GB"/>
              </w:rPr>
              <w:t>D35</w:t>
            </w:r>
          </w:p>
        </w:tc>
        <w:tc>
          <w:tcPr>
            <w:tcW w:w="960" w:type="dxa"/>
            <w:shd w:val="clear" w:color="auto" w:fill="F2DBDB" w:themeFill="accent2" w:themeFillTint="33"/>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9C0006"/>
                <w:sz w:val="16"/>
                <w:szCs w:val="16"/>
                <w:lang w:eastAsia="en-GB"/>
              </w:rPr>
            </w:pPr>
            <w:r w:rsidRPr="00C56AC8">
              <w:rPr>
                <w:color w:val="9C0006"/>
                <w:sz w:val="16"/>
                <w:szCs w:val="16"/>
                <w:lang w:eastAsia="en-GB"/>
              </w:rPr>
              <w:t>2</w:t>
            </w:r>
          </w:p>
        </w:tc>
        <w:tc>
          <w:tcPr>
            <w:tcW w:w="960" w:type="dxa"/>
            <w:shd w:val="clear" w:color="auto" w:fill="F2DBDB" w:themeFill="accent2" w:themeFillTint="33"/>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9C0006"/>
                <w:sz w:val="16"/>
                <w:szCs w:val="16"/>
                <w:lang w:eastAsia="en-GB"/>
              </w:rPr>
            </w:pPr>
            <w:r w:rsidRPr="00C56AC8">
              <w:rPr>
                <w:color w:val="9C0006"/>
                <w:sz w:val="16"/>
                <w:szCs w:val="16"/>
                <w:lang w:eastAsia="en-GB"/>
              </w:rPr>
              <w:t>1</w:t>
            </w:r>
          </w:p>
        </w:tc>
        <w:tc>
          <w:tcPr>
            <w:tcW w:w="960" w:type="dxa"/>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Pr>
                <w:color w:val="000000"/>
                <w:sz w:val="16"/>
                <w:szCs w:val="16"/>
                <w:lang w:eastAsia="en-GB"/>
              </w:rPr>
              <w:t>21</w:t>
            </w:r>
          </w:p>
        </w:tc>
        <w:tc>
          <w:tcPr>
            <w:tcW w:w="960" w:type="dxa"/>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sidRPr="00C56AC8">
              <w:rPr>
                <w:color w:val="000000"/>
                <w:sz w:val="16"/>
                <w:szCs w:val="16"/>
                <w:lang w:eastAsia="en-GB"/>
              </w:rPr>
              <w:t>33</w:t>
            </w:r>
          </w:p>
        </w:tc>
        <w:tc>
          <w:tcPr>
            <w:tcW w:w="960" w:type="dxa"/>
            <w:shd w:val="clear" w:color="auto" w:fill="F2DBDB" w:themeFill="accent2" w:themeFillTint="33"/>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9C0006"/>
                <w:sz w:val="16"/>
                <w:szCs w:val="16"/>
                <w:lang w:eastAsia="en-GB"/>
              </w:rPr>
            </w:pPr>
            <w:r w:rsidRPr="00C56AC8">
              <w:rPr>
                <w:color w:val="9C0006"/>
                <w:sz w:val="16"/>
                <w:szCs w:val="16"/>
                <w:lang w:eastAsia="en-GB"/>
              </w:rPr>
              <w:t>2</w:t>
            </w:r>
          </w:p>
        </w:tc>
        <w:tc>
          <w:tcPr>
            <w:tcW w:w="960" w:type="dxa"/>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sidRPr="00C56AC8">
              <w:rPr>
                <w:color w:val="000000"/>
                <w:sz w:val="16"/>
                <w:szCs w:val="16"/>
                <w:lang w:eastAsia="en-GB"/>
              </w:rPr>
              <w:t>21</w:t>
            </w:r>
          </w:p>
        </w:tc>
        <w:tc>
          <w:tcPr>
            <w:tcW w:w="960" w:type="dxa"/>
            <w:shd w:val="clear" w:color="auto" w:fill="F2DBDB" w:themeFill="accent2" w:themeFillTint="33"/>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Pr>
                <w:color w:val="000000"/>
                <w:sz w:val="16"/>
                <w:szCs w:val="16"/>
                <w:lang w:eastAsia="en-GB"/>
              </w:rPr>
              <w:t>3</w:t>
            </w:r>
          </w:p>
        </w:tc>
      </w:tr>
      <w:tr w:rsidR="00B83A66" w:rsidRPr="00C56AC8" w:rsidTr="00B90135">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428" w:type="dxa"/>
            <w:noWrap/>
            <w:hideMark/>
          </w:tcPr>
          <w:p w:rsidR="00B83A66" w:rsidRPr="00C56AC8" w:rsidRDefault="00B83A66" w:rsidP="00B90135">
            <w:pPr>
              <w:spacing w:after="0"/>
              <w:jc w:val="left"/>
              <w:rPr>
                <w:color w:val="000000"/>
                <w:sz w:val="16"/>
                <w:szCs w:val="16"/>
                <w:lang w:eastAsia="en-GB"/>
              </w:rPr>
            </w:pPr>
            <w:r w:rsidRPr="00C56AC8">
              <w:rPr>
                <w:color w:val="000000"/>
                <w:sz w:val="16"/>
                <w:szCs w:val="16"/>
                <w:lang w:eastAsia="en-GB"/>
              </w:rPr>
              <w:t>E37T39</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26</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28</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Pr>
                <w:color w:val="000000"/>
                <w:sz w:val="16"/>
                <w:szCs w:val="16"/>
                <w:lang w:eastAsia="en-GB"/>
              </w:rPr>
              <w:t>14</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41</w:t>
            </w:r>
          </w:p>
        </w:tc>
        <w:tc>
          <w:tcPr>
            <w:tcW w:w="960" w:type="dxa"/>
            <w:shd w:val="clear" w:color="auto" w:fill="F2DBDB" w:themeFill="accent2" w:themeFillTint="33"/>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9C0006"/>
                <w:sz w:val="16"/>
                <w:szCs w:val="16"/>
                <w:lang w:eastAsia="en-GB"/>
              </w:rPr>
            </w:pPr>
            <w:r w:rsidRPr="00C56AC8">
              <w:rPr>
                <w:color w:val="9C0006"/>
                <w:sz w:val="16"/>
                <w:szCs w:val="16"/>
                <w:lang w:eastAsia="en-GB"/>
              </w:rPr>
              <w:t>6</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35</w:t>
            </w:r>
          </w:p>
        </w:tc>
        <w:tc>
          <w:tcPr>
            <w:tcW w:w="960" w:type="dxa"/>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Pr>
                <w:color w:val="000000"/>
                <w:sz w:val="16"/>
                <w:szCs w:val="16"/>
                <w:lang w:eastAsia="en-GB"/>
              </w:rPr>
              <w:t>34</w:t>
            </w:r>
          </w:p>
        </w:tc>
      </w:tr>
      <w:tr w:rsidR="00B83A66" w:rsidRPr="00C56AC8" w:rsidTr="00B90135">
        <w:trPr>
          <w:trHeight w:val="115"/>
        </w:trPr>
        <w:tc>
          <w:tcPr>
            <w:cnfStyle w:val="001000000000" w:firstRow="0" w:lastRow="0" w:firstColumn="1" w:lastColumn="0" w:oddVBand="0" w:evenVBand="0" w:oddHBand="0" w:evenHBand="0" w:firstRowFirstColumn="0" w:firstRowLastColumn="0" w:lastRowFirstColumn="0" w:lastRowLastColumn="0"/>
            <w:tcW w:w="1428" w:type="dxa"/>
            <w:noWrap/>
            <w:hideMark/>
          </w:tcPr>
          <w:p w:rsidR="00B83A66" w:rsidRPr="00C56AC8" w:rsidRDefault="00B83A66" w:rsidP="00B90135">
            <w:pPr>
              <w:spacing w:after="0"/>
              <w:jc w:val="left"/>
              <w:rPr>
                <w:color w:val="000000"/>
                <w:sz w:val="16"/>
                <w:szCs w:val="16"/>
                <w:lang w:eastAsia="en-GB"/>
              </w:rPr>
            </w:pPr>
            <w:r w:rsidRPr="00C56AC8">
              <w:rPr>
                <w:color w:val="000000"/>
                <w:sz w:val="16"/>
                <w:szCs w:val="16"/>
                <w:lang w:eastAsia="en-GB"/>
              </w:rPr>
              <w:t>F</w:t>
            </w:r>
          </w:p>
        </w:tc>
        <w:tc>
          <w:tcPr>
            <w:tcW w:w="960" w:type="dxa"/>
            <w:shd w:val="clear" w:color="auto" w:fill="F2DBDB" w:themeFill="accent2" w:themeFillTint="33"/>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9C0006"/>
                <w:sz w:val="16"/>
                <w:szCs w:val="16"/>
                <w:lang w:eastAsia="en-GB"/>
              </w:rPr>
            </w:pPr>
            <w:r w:rsidRPr="00C56AC8">
              <w:rPr>
                <w:color w:val="9C0006"/>
                <w:sz w:val="16"/>
                <w:szCs w:val="16"/>
                <w:lang w:eastAsia="en-GB"/>
              </w:rPr>
              <w:t>5</w:t>
            </w:r>
          </w:p>
        </w:tc>
        <w:tc>
          <w:tcPr>
            <w:tcW w:w="960" w:type="dxa"/>
            <w:shd w:val="clear" w:color="auto" w:fill="F2DBDB" w:themeFill="accent2" w:themeFillTint="33"/>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9C0006"/>
                <w:sz w:val="16"/>
                <w:szCs w:val="16"/>
                <w:lang w:eastAsia="en-GB"/>
              </w:rPr>
            </w:pPr>
            <w:r w:rsidRPr="00C56AC8">
              <w:rPr>
                <w:color w:val="9C0006"/>
                <w:sz w:val="16"/>
                <w:szCs w:val="16"/>
                <w:lang w:eastAsia="en-GB"/>
              </w:rPr>
              <w:t>4</w:t>
            </w:r>
          </w:p>
        </w:tc>
        <w:tc>
          <w:tcPr>
            <w:tcW w:w="960" w:type="dxa"/>
            <w:shd w:val="clear" w:color="auto" w:fill="F2DBDB" w:themeFill="accent2" w:themeFillTint="33"/>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9C0006"/>
                <w:sz w:val="16"/>
                <w:szCs w:val="16"/>
                <w:lang w:eastAsia="en-GB"/>
              </w:rPr>
            </w:pPr>
            <w:r>
              <w:rPr>
                <w:color w:val="9C0006"/>
                <w:sz w:val="16"/>
                <w:szCs w:val="16"/>
                <w:lang w:eastAsia="en-GB"/>
              </w:rPr>
              <w:t>4</w:t>
            </w:r>
          </w:p>
        </w:tc>
        <w:tc>
          <w:tcPr>
            <w:tcW w:w="960" w:type="dxa"/>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sidRPr="00C56AC8">
              <w:rPr>
                <w:color w:val="000000"/>
                <w:sz w:val="16"/>
                <w:szCs w:val="16"/>
                <w:lang w:eastAsia="en-GB"/>
              </w:rPr>
              <w:t>28</w:t>
            </w:r>
          </w:p>
        </w:tc>
        <w:tc>
          <w:tcPr>
            <w:tcW w:w="960" w:type="dxa"/>
            <w:shd w:val="clear" w:color="auto" w:fill="F2DBDB" w:themeFill="accent2" w:themeFillTint="33"/>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9C0006"/>
                <w:sz w:val="16"/>
                <w:szCs w:val="16"/>
                <w:lang w:eastAsia="en-GB"/>
              </w:rPr>
            </w:pPr>
            <w:r w:rsidRPr="00C56AC8">
              <w:rPr>
                <w:color w:val="9C0006"/>
                <w:sz w:val="16"/>
                <w:szCs w:val="16"/>
                <w:lang w:eastAsia="en-GB"/>
              </w:rPr>
              <w:t>1</w:t>
            </w:r>
          </w:p>
        </w:tc>
        <w:tc>
          <w:tcPr>
            <w:tcW w:w="960" w:type="dxa"/>
            <w:shd w:val="clear" w:color="auto" w:fill="F2DBDB" w:themeFill="accent2" w:themeFillTint="33"/>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9C0006"/>
                <w:sz w:val="16"/>
                <w:szCs w:val="16"/>
                <w:lang w:eastAsia="en-GB"/>
              </w:rPr>
            </w:pPr>
            <w:r w:rsidRPr="00C56AC8">
              <w:rPr>
                <w:color w:val="9C0006"/>
                <w:sz w:val="16"/>
                <w:szCs w:val="16"/>
                <w:lang w:eastAsia="en-GB"/>
              </w:rPr>
              <w:t>3</w:t>
            </w:r>
          </w:p>
        </w:tc>
        <w:tc>
          <w:tcPr>
            <w:tcW w:w="960" w:type="dxa"/>
            <w:shd w:val="clear" w:color="auto" w:fill="F2DBDB" w:themeFill="accent2" w:themeFillTint="33"/>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9C0006"/>
                <w:sz w:val="16"/>
                <w:szCs w:val="16"/>
                <w:lang w:eastAsia="en-GB"/>
              </w:rPr>
            </w:pPr>
            <w:r>
              <w:rPr>
                <w:color w:val="9C0006"/>
                <w:sz w:val="16"/>
                <w:szCs w:val="16"/>
                <w:lang w:eastAsia="en-GB"/>
              </w:rPr>
              <w:t>1</w:t>
            </w:r>
          </w:p>
        </w:tc>
      </w:tr>
      <w:tr w:rsidR="00B83A66" w:rsidRPr="00C56AC8" w:rsidTr="00B90135">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1428" w:type="dxa"/>
            <w:noWrap/>
            <w:hideMark/>
          </w:tcPr>
          <w:p w:rsidR="00B83A66" w:rsidRPr="00C56AC8" w:rsidRDefault="00B83A66" w:rsidP="00B90135">
            <w:pPr>
              <w:spacing w:after="0"/>
              <w:jc w:val="left"/>
              <w:rPr>
                <w:color w:val="000000"/>
                <w:sz w:val="16"/>
                <w:szCs w:val="16"/>
                <w:lang w:eastAsia="en-GB"/>
              </w:rPr>
            </w:pPr>
            <w:r w:rsidRPr="00C56AC8">
              <w:rPr>
                <w:color w:val="000000"/>
                <w:sz w:val="16"/>
                <w:szCs w:val="16"/>
                <w:lang w:eastAsia="en-GB"/>
              </w:rPr>
              <w:t>K64</w:t>
            </w:r>
          </w:p>
        </w:tc>
        <w:tc>
          <w:tcPr>
            <w:tcW w:w="960" w:type="dxa"/>
            <w:shd w:val="clear" w:color="auto" w:fill="F2DBDB" w:themeFill="accent2" w:themeFillTint="33"/>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9C0006"/>
                <w:sz w:val="16"/>
                <w:szCs w:val="16"/>
                <w:lang w:eastAsia="en-GB"/>
              </w:rPr>
            </w:pPr>
            <w:r w:rsidRPr="00C56AC8">
              <w:rPr>
                <w:color w:val="9C0006"/>
                <w:sz w:val="16"/>
                <w:szCs w:val="16"/>
                <w:lang w:eastAsia="en-GB"/>
              </w:rPr>
              <w:t>1</w:t>
            </w:r>
          </w:p>
        </w:tc>
        <w:tc>
          <w:tcPr>
            <w:tcW w:w="960" w:type="dxa"/>
            <w:shd w:val="clear" w:color="auto" w:fill="F2DBDB" w:themeFill="accent2" w:themeFillTint="33"/>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9C0006"/>
                <w:sz w:val="16"/>
                <w:szCs w:val="16"/>
                <w:lang w:eastAsia="en-GB"/>
              </w:rPr>
            </w:pPr>
            <w:r w:rsidRPr="00C56AC8">
              <w:rPr>
                <w:color w:val="9C0006"/>
                <w:sz w:val="16"/>
                <w:szCs w:val="16"/>
                <w:lang w:eastAsia="en-GB"/>
              </w:rPr>
              <w:t>2</w:t>
            </w:r>
          </w:p>
        </w:tc>
        <w:tc>
          <w:tcPr>
            <w:tcW w:w="960" w:type="dxa"/>
            <w:shd w:val="clear" w:color="auto" w:fill="F2DBDB" w:themeFill="accent2" w:themeFillTint="33"/>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9C0006"/>
                <w:sz w:val="16"/>
                <w:szCs w:val="16"/>
                <w:lang w:eastAsia="en-GB"/>
              </w:rPr>
            </w:pPr>
            <w:r>
              <w:rPr>
                <w:color w:val="9C0006"/>
                <w:sz w:val="16"/>
                <w:szCs w:val="16"/>
                <w:lang w:eastAsia="en-GB"/>
              </w:rPr>
              <w:t>8</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32</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10</w:t>
            </w:r>
          </w:p>
        </w:tc>
        <w:tc>
          <w:tcPr>
            <w:tcW w:w="960" w:type="dxa"/>
            <w:shd w:val="clear" w:color="auto" w:fill="F2DBDB" w:themeFill="accent2" w:themeFillTint="33"/>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9C0006"/>
                <w:sz w:val="16"/>
                <w:szCs w:val="16"/>
                <w:lang w:eastAsia="en-GB"/>
              </w:rPr>
            </w:pPr>
            <w:r w:rsidRPr="00C56AC8">
              <w:rPr>
                <w:color w:val="9C0006"/>
                <w:sz w:val="16"/>
                <w:szCs w:val="16"/>
                <w:lang w:eastAsia="en-GB"/>
              </w:rPr>
              <w:t>1</w:t>
            </w:r>
          </w:p>
        </w:tc>
        <w:tc>
          <w:tcPr>
            <w:tcW w:w="960" w:type="dxa"/>
            <w:shd w:val="clear" w:color="auto" w:fill="F2DBDB" w:themeFill="accent2" w:themeFillTint="33"/>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9C0006"/>
                <w:sz w:val="16"/>
                <w:szCs w:val="16"/>
                <w:lang w:eastAsia="en-GB"/>
              </w:rPr>
            </w:pPr>
            <w:r>
              <w:rPr>
                <w:color w:val="9C0006"/>
                <w:sz w:val="16"/>
                <w:szCs w:val="16"/>
                <w:lang w:eastAsia="en-GB"/>
              </w:rPr>
              <w:t>2</w:t>
            </w:r>
          </w:p>
        </w:tc>
      </w:tr>
      <w:tr w:rsidR="00B83A66" w:rsidRPr="00C56AC8" w:rsidTr="00B90135">
        <w:trPr>
          <w:trHeight w:val="121"/>
        </w:trPr>
        <w:tc>
          <w:tcPr>
            <w:cnfStyle w:val="001000000000" w:firstRow="0" w:lastRow="0" w:firstColumn="1" w:lastColumn="0" w:oddVBand="0" w:evenVBand="0" w:oddHBand="0" w:evenHBand="0" w:firstRowFirstColumn="0" w:firstRowLastColumn="0" w:lastRowFirstColumn="0" w:lastRowLastColumn="0"/>
            <w:tcW w:w="1428" w:type="dxa"/>
            <w:noWrap/>
            <w:hideMark/>
          </w:tcPr>
          <w:p w:rsidR="00B83A66" w:rsidRPr="00C56AC8" w:rsidRDefault="00B83A66" w:rsidP="00B90135">
            <w:pPr>
              <w:spacing w:after="0"/>
              <w:jc w:val="left"/>
              <w:rPr>
                <w:color w:val="000000"/>
                <w:sz w:val="16"/>
                <w:szCs w:val="16"/>
                <w:lang w:eastAsia="en-GB"/>
              </w:rPr>
            </w:pPr>
            <w:r w:rsidRPr="00C56AC8">
              <w:rPr>
                <w:color w:val="000000"/>
                <w:sz w:val="16"/>
                <w:szCs w:val="16"/>
                <w:lang w:eastAsia="en-GB"/>
              </w:rPr>
              <w:t>K65</w:t>
            </w:r>
          </w:p>
        </w:tc>
        <w:tc>
          <w:tcPr>
            <w:tcW w:w="960" w:type="dxa"/>
            <w:shd w:val="clear" w:color="auto" w:fill="F2DBDB" w:themeFill="accent2" w:themeFillTint="33"/>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9C0006"/>
                <w:sz w:val="16"/>
                <w:szCs w:val="16"/>
                <w:lang w:eastAsia="en-GB"/>
              </w:rPr>
            </w:pPr>
            <w:r w:rsidRPr="00C56AC8">
              <w:rPr>
                <w:color w:val="9C0006"/>
                <w:sz w:val="16"/>
                <w:szCs w:val="16"/>
                <w:lang w:eastAsia="en-GB"/>
              </w:rPr>
              <w:t>7</w:t>
            </w:r>
          </w:p>
        </w:tc>
        <w:tc>
          <w:tcPr>
            <w:tcW w:w="960" w:type="dxa"/>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sidRPr="00C56AC8">
              <w:rPr>
                <w:color w:val="000000"/>
                <w:sz w:val="16"/>
                <w:szCs w:val="16"/>
                <w:lang w:eastAsia="en-GB"/>
              </w:rPr>
              <w:t>14</w:t>
            </w:r>
          </w:p>
        </w:tc>
        <w:tc>
          <w:tcPr>
            <w:tcW w:w="960" w:type="dxa"/>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Pr>
                <w:color w:val="000000"/>
                <w:sz w:val="16"/>
                <w:szCs w:val="16"/>
                <w:lang w:eastAsia="en-GB"/>
              </w:rPr>
              <w:t>12</w:t>
            </w:r>
          </w:p>
        </w:tc>
        <w:tc>
          <w:tcPr>
            <w:tcW w:w="960" w:type="dxa"/>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sidRPr="00C56AC8">
              <w:rPr>
                <w:color w:val="000000"/>
                <w:sz w:val="16"/>
                <w:szCs w:val="16"/>
                <w:lang w:eastAsia="en-GB"/>
              </w:rPr>
              <w:t>58</w:t>
            </w:r>
          </w:p>
        </w:tc>
        <w:tc>
          <w:tcPr>
            <w:tcW w:w="960" w:type="dxa"/>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sidRPr="00C56AC8">
              <w:rPr>
                <w:color w:val="000000"/>
                <w:sz w:val="16"/>
                <w:szCs w:val="16"/>
                <w:lang w:eastAsia="en-GB"/>
              </w:rPr>
              <w:t>44</w:t>
            </w:r>
          </w:p>
        </w:tc>
        <w:tc>
          <w:tcPr>
            <w:tcW w:w="960" w:type="dxa"/>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sidRPr="00C56AC8">
              <w:rPr>
                <w:color w:val="000000"/>
                <w:sz w:val="16"/>
                <w:szCs w:val="16"/>
                <w:lang w:eastAsia="en-GB"/>
              </w:rPr>
              <w:t>29</w:t>
            </w:r>
          </w:p>
        </w:tc>
        <w:tc>
          <w:tcPr>
            <w:tcW w:w="960" w:type="dxa"/>
            <w:tcBorders>
              <w:bottom w:val="single" w:sz="8" w:space="0" w:color="8064A2" w:themeColor="accent4"/>
            </w:tcBorders>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Pr>
                <w:color w:val="000000"/>
                <w:sz w:val="16"/>
                <w:szCs w:val="16"/>
                <w:lang w:eastAsia="en-GB"/>
              </w:rPr>
              <w:t>26</w:t>
            </w:r>
          </w:p>
        </w:tc>
      </w:tr>
      <w:tr w:rsidR="00B83A66" w:rsidRPr="00C56AC8" w:rsidTr="00B90135">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28" w:type="dxa"/>
            <w:noWrap/>
            <w:hideMark/>
          </w:tcPr>
          <w:p w:rsidR="00B83A66" w:rsidRPr="00C56AC8" w:rsidRDefault="00B83A66" w:rsidP="00B90135">
            <w:pPr>
              <w:spacing w:after="0"/>
              <w:jc w:val="left"/>
              <w:rPr>
                <w:color w:val="000000"/>
                <w:sz w:val="16"/>
                <w:szCs w:val="16"/>
                <w:lang w:eastAsia="en-GB"/>
              </w:rPr>
            </w:pPr>
            <w:r w:rsidRPr="00C56AC8">
              <w:rPr>
                <w:color w:val="000000"/>
                <w:sz w:val="16"/>
                <w:szCs w:val="16"/>
                <w:lang w:eastAsia="en-GB"/>
              </w:rPr>
              <w:t>K66</w:t>
            </w:r>
          </w:p>
        </w:tc>
        <w:tc>
          <w:tcPr>
            <w:tcW w:w="960" w:type="dxa"/>
            <w:shd w:val="clear" w:color="auto" w:fill="F2DBDB" w:themeFill="accent2" w:themeFillTint="33"/>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9C0006"/>
                <w:sz w:val="16"/>
                <w:szCs w:val="16"/>
                <w:lang w:eastAsia="en-GB"/>
              </w:rPr>
            </w:pPr>
            <w:r w:rsidRPr="00C56AC8">
              <w:rPr>
                <w:color w:val="9C0006"/>
                <w:sz w:val="16"/>
                <w:szCs w:val="16"/>
                <w:lang w:eastAsia="en-GB"/>
              </w:rPr>
              <w:t>9</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15</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Pr>
                <w:color w:val="000000"/>
                <w:sz w:val="16"/>
                <w:szCs w:val="16"/>
                <w:lang w:eastAsia="en-GB"/>
              </w:rPr>
              <w:t>44</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55</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11</w:t>
            </w:r>
          </w:p>
        </w:tc>
        <w:tc>
          <w:tcPr>
            <w:tcW w:w="960" w:type="dxa"/>
            <w:shd w:val="clear" w:color="auto" w:fill="F2DBDB" w:themeFill="accent2" w:themeFillTint="33"/>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9C0006"/>
                <w:sz w:val="16"/>
                <w:szCs w:val="16"/>
                <w:lang w:eastAsia="en-GB"/>
              </w:rPr>
            </w:pPr>
            <w:r w:rsidRPr="00C56AC8">
              <w:rPr>
                <w:color w:val="9C0006"/>
                <w:sz w:val="16"/>
                <w:szCs w:val="16"/>
                <w:lang w:eastAsia="en-GB"/>
              </w:rPr>
              <w:t>4</w:t>
            </w:r>
          </w:p>
        </w:tc>
        <w:tc>
          <w:tcPr>
            <w:tcW w:w="960" w:type="dxa"/>
            <w:shd w:val="clear" w:color="auto" w:fill="auto"/>
          </w:tcPr>
          <w:p w:rsidR="00B83A66" w:rsidRPr="00091A00"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sz w:val="16"/>
                <w:szCs w:val="16"/>
                <w:lang w:eastAsia="en-GB"/>
              </w:rPr>
            </w:pPr>
            <w:r w:rsidRPr="00091A00">
              <w:rPr>
                <w:sz w:val="16"/>
                <w:szCs w:val="16"/>
                <w:lang w:eastAsia="en-GB"/>
              </w:rPr>
              <w:t>46</w:t>
            </w:r>
          </w:p>
        </w:tc>
      </w:tr>
      <w:tr w:rsidR="00B83A66" w:rsidRPr="00C56AC8" w:rsidTr="00B90135">
        <w:trPr>
          <w:trHeight w:val="113"/>
        </w:trPr>
        <w:tc>
          <w:tcPr>
            <w:cnfStyle w:val="001000000000" w:firstRow="0" w:lastRow="0" w:firstColumn="1" w:lastColumn="0" w:oddVBand="0" w:evenVBand="0" w:oddHBand="0" w:evenHBand="0" w:firstRowFirstColumn="0" w:firstRowLastColumn="0" w:lastRowFirstColumn="0" w:lastRowLastColumn="0"/>
            <w:tcW w:w="1428" w:type="dxa"/>
            <w:noWrap/>
            <w:hideMark/>
          </w:tcPr>
          <w:p w:rsidR="00B83A66" w:rsidRPr="00C56AC8" w:rsidRDefault="00B83A66" w:rsidP="00B90135">
            <w:pPr>
              <w:spacing w:after="0"/>
              <w:jc w:val="left"/>
              <w:rPr>
                <w:color w:val="000000"/>
                <w:sz w:val="16"/>
                <w:szCs w:val="16"/>
                <w:lang w:eastAsia="en-GB"/>
              </w:rPr>
            </w:pPr>
            <w:r w:rsidRPr="00C56AC8">
              <w:rPr>
                <w:color w:val="000000"/>
                <w:sz w:val="16"/>
                <w:szCs w:val="16"/>
                <w:lang w:eastAsia="en-GB"/>
              </w:rPr>
              <w:t>L68B</w:t>
            </w:r>
          </w:p>
        </w:tc>
        <w:tc>
          <w:tcPr>
            <w:tcW w:w="960" w:type="dxa"/>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sidRPr="00C56AC8">
              <w:rPr>
                <w:color w:val="000000"/>
                <w:sz w:val="16"/>
                <w:szCs w:val="16"/>
                <w:lang w:eastAsia="en-GB"/>
              </w:rPr>
              <w:t>12</w:t>
            </w:r>
          </w:p>
        </w:tc>
        <w:tc>
          <w:tcPr>
            <w:tcW w:w="960" w:type="dxa"/>
            <w:shd w:val="clear" w:color="auto" w:fill="F2DBDB" w:themeFill="accent2" w:themeFillTint="33"/>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9C0006"/>
                <w:sz w:val="16"/>
                <w:szCs w:val="16"/>
                <w:lang w:eastAsia="en-GB"/>
              </w:rPr>
            </w:pPr>
            <w:r w:rsidRPr="00C56AC8">
              <w:rPr>
                <w:color w:val="9C0006"/>
                <w:sz w:val="16"/>
                <w:szCs w:val="16"/>
                <w:lang w:eastAsia="en-GB"/>
              </w:rPr>
              <w:t>6</w:t>
            </w:r>
          </w:p>
        </w:tc>
        <w:tc>
          <w:tcPr>
            <w:tcW w:w="960" w:type="dxa"/>
            <w:shd w:val="clear" w:color="auto" w:fill="F2DBDB" w:themeFill="accent2" w:themeFillTint="33"/>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9C0006"/>
                <w:sz w:val="16"/>
                <w:szCs w:val="16"/>
                <w:lang w:eastAsia="en-GB"/>
              </w:rPr>
            </w:pPr>
            <w:r>
              <w:rPr>
                <w:color w:val="9C0006"/>
                <w:sz w:val="16"/>
                <w:szCs w:val="16"/>
                <w:lang w:eastAsia="en-GB"/>
              </w:rPr>
              <w:t>1</w:t>
            </w:r>
          </w:p>
        </w:tc>
        <w:tc>
          <w:tcPr>
            <w:tcW w:w="960" w:type="dxa"/>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sidRPr="00C56AC8">
              <w:rPr>
                <w:color w:val="000000"/>
                <w:sz w:val="16"/>
                <w:szCs w:val="16"/>
                <w:lang w:eastAsia="en-GB"/>
              </w:rPr>
              <w:t>20</w:t>
            </w:r>
          </w:p>
        </w:tc>
        <w:tc>
          <w:tcPr>
            <w:tcW w:w="960" w:type="dxa"/>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sidRPr="00C56AC8">
              <w:rPr>
                <w:color w:val="000000"/>
                <w:sz w:val="16"/>
                <w:szCs w:val="16"/>
                <w:lang w:eastAsia="en-GB"/>
              </w:rPr>
              <w:t>26</w:t>
            </w:r>
          </w:p>
        </w:tc>
        <w:tc>
          <w:tcPr>
            <w:tcW w:w="960" w:type="dxa"/>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sidRPr="00C56AC8">
              <w:rPr>
                <w:color w:val="000000"/>
                <w:sz w:val="16"/>
                <w:szCs w:val="16"/>
                <w:lang w:eastAsia="en-GB"/>
              </w:rPr>
              <w:t>12</w:t>
            </w:r>
          </w:p>
        </w:tc>
        <w:tc>
          <w:tcPr>
            <w:tcW w:w="960" w:type="dxa"/>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Pr>
                <w:color w:val="000000"/>
                <w:sz w:val="16"/>
                <w:szCs w:val="16"/>
                <w:lang w:eastAsia="en-GB"/>
              </w:rPr>
              <w:t>22</w:t>
            </w:r>
          </w:p>
        </w:tc>
      </w:tr>
      <w:tr w:rsidR="00B83A66" w:rsidRPr="00C56AC8" w:rsidTr="00B90135">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428" w:type="dxa"/>
            <w:noWrap/>
            <w:hideMark/>
          </w:tcPr>
          <w:p w:rsidR="00B83A66" w:rsidRPr="00C56AC8" w:rsidRDefault="00B83A66" w:rsidP="00B90135">
            <w:pPr>
              <w:spacing w:after="0"/>
              <w:jc w:val="left"/>
              <w:rPr>
                <w:color w:val="000000"/>
                <w:sz w:val="16"/>
                <w:szCs w:val="16"/>
                <w:lang w:eastAsia="en-GB"/>
              </w:rPr>
            </w:pPr>
            <w:r w:rsidRPr="00C56AC8">
              <w:rPr>
                <w:color w:val="000000"/>
                <w:sz w:val="16"/>
                <w:szCs w:val="16"/>
                <w:lang w:eastAsia="en-GB"/>
              </w:rPr>
              <w:t>M69_70</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21</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27</w:t>
            </w:r>
          </w:p>
        </w:tc>
        <w:tc>
          <w:tcPr>
            <w:tcW w:w="960" w:type="dxa"/>
            <w:shd w:val="clear" w:color="auto" w:fill="F2DBDB" w:themeFill="accent2" w:themeFillTint="33"/>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9C0006"/>
                <w:sz w:val="16"/>
                <w:szCs w:val="16"/>
                <w:lang w:eastAsia="en-GB"/>
              </w:rPr>
            </w:pPr>
            <w:r>
              <w:rPr>
                <w:color w:val="9C0006"/>
                <w:sz w:val="16"/>
                <w:szCs w:val="16"/>
                <w:lang w:eastAsia="en-GB"/>
              </w:rPr>
              <w:t>5</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24</w:t>
            </w:r>
          </w:p>
        </w:tc>
        <w:tc>
          <w:tcPr>
            <w:tcW w:w="960" w:type="dxa"/>
            <w:shd w:val="clear" w:color="auto" w:fill="F2DBDB" w:themeFill="accent2" w:themeFillTint="33"/>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9C0006"/>
                <w:sz w:val="16"/>
                <w:szCs w:val="16"/>
                <w:lang w:eastAsia="en-GB"/>
              </w:rPr>
            </w:pPr>
            <w:r w:rsidRPr="00C56AC8">
              <w:rPr>
                <w:color w:val="9C0006"/>
                <w:sz w:val="16"/>
                <w:szCs w:val="16"/>
                <w:lang w:eastAsia="en-GB"/>
              </w:rPr>
              <w:t>3</w:t>
            </w:r>
          </w:p>
        </w:tc>
        <w:tc>
          <w:tcPr>
            <w:tcW w:w="960" w:type="dxa"/>
            <w:shd w:val="clear" w:color="auto" w:fill="F2DBDB" w:themeFill="accent2" w:themeFillTint="33"/>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9C0006"/>
                <w:sz w:val="16"/>
                <w:szCs w:val="16"/>
                <w:lang w:eastAsia="en-GB"/>
              </w:rPr>
            </w:pPr>
            <w:r w:rsidRPr="00C56AC8">
              <w:rPr>
                <w:color w:val="9C0006"/>
                <w:sz w:val="16"/>
                <w:szCs w:val="16"/>
                <w:lang w:eastAsia="en-GB"/>
              </w:rPr>
              <w:t>2</w:t>
            </w:r>
          </w:p>
        </w:tc>
        <w:tc>
          <w:tcPr>
            <w:tcW w:w="960" w:type="dxa"/>
            <w:shd w:val="clear" w:color="auto" w:fill="F2DBDB" w:themeFill="accent2" w:themeFillTint="33"/>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9C0006"/>
                <w:sz w:val="16"/>
                <w:szCs w:val="16"/>
                <w:lang w:eastAsia="en-GB"/>
              </w:rPr>
            </w:pPr>
            <w:r>
              <w:rPr>
                <w:color w:val="9C0006"/>
                <w:sz w:val="16"/>
                <w:szCs w:val="16"/>
                <w:lang w:eastAsia="en-GB"/>
              </w:rPr>
              <w:t>4</w:t>
            </w:r>
          </w:p>
        </w:tc>
      </w:tr>
      <w:tr w:rsidR="00B83A66" w:rsidRPr="00C56AC8" w:rsidTr="00B90135">
        <w:trPr>
          <w:trHeight w:val="122"/>
        </w:trPr>
        <w:tc>
          <w:tcPr>
            <w:cnfStyle w:val="001000000000" w:firstRow="0" w:lastRow="0" w:firstColumn="1" w:lastColumn="0" w:oddVBand="0" w:evenVBand="0" w:oddHBand="0" w:evenHBand="0" w:firstRowFirstColumn="0" w:firstRowLastColumn="0" w:lastRowFirstColumn="0" w:lastRowLastColumn="0"/>
            <w:tcW w:w="1428" w:type="dxa"/>
            <w:noWrap/>
            <w:hideMark/>
          </w:tcPr>
          <w:p w:rsidR="00B83A66" w:rsidRPr="00C56AC8" w:rsidRDefault="00B83A66" w:rsidP="00B90135">
            <w:pPr>
              <w:spacing w:after="0"/>
              <w:jc w:val="left"/>
              <w:rPr>
                <w:color w:val="000000"/>
                <w:sz w:val="16"/>
                <w:szCs w:val="16"/>
                <w:lang w:eastAsia="en-GB"/>
              </w:rPr>
            </w:pPr>
            <w:r w:rsidRPr="00C56AC8">
              <w:rPr>
                <w:color w:val="000000"/>
                <w:sz w:val="16"/>
                <w:szCs w:val="16"/>
                <w:lang w:eastAsia="en-GB"/>
              </w:rPr>
              <w:t>M72</w:t>
            </w:r>
          </w:p>
        </w:tc>
        <w:tc>
          <w:tcPr>
            <w:tcW w:w="960" w:type="dxa"/>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sidRPr="00C56AC8">
              <w:rPr>
                <w:color w:val="000000"/>
                <w:sz w:val="16"/>
                <w:szCs w:val="16"/>
                <w:lang w:eastAsia="en-GB"/>
              </w:rPr>
              <w:t>60</w:t>
            </w:r>
          </w:p>
        </w:tc>
        <w:tc>
          <w:tcPr>
            <w:tcW w:w="960" w:type="dxa"/>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sidRPr="00C56AC8">
              <w:rPr>
                <w:color w:val="000000"/>
                <w:sz w:val="16"/>
                <w:szCs w:val="16"/>
                <w:lang w:eastAsia="en-GB"/>
              </w:rPr>
              <w:t>21</w:t>
            </w:r>
          </w:p>
        </w:tc>
        <w:tc>
          <w:tcPr>
            <w:tcW w:w="960" w:type="dxa"/>
            <w:shd w:val="clear" w:color="auto" w:fill="F2DBDB" w:themeFill="accent2" w:themeFillTint="33"/>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9C0006"/>
                <w:sz w:val="16"/>
                <w:szCs w:val="16"/>
                <w:lang w:eastAsia="en-GB"/>
              </w:rPr>
            </w:pPr>
            <w:r w:rsidRPr="00C56AC8">
              <w:rPr>
                <w:color w:val="9C0006"/>
                <w:sz w:val="16"/>
                <w:szCs w:val="16"/>
                <w:lang w:eastAsia="en-GB"/>
              </w:rPr>
              <w:t>1</w:t>
            </w:r>
          </w:p>
        </w:tc>
        <w:tc>
          <w:tcPr>
            <w:tcW w:w="960" w:type="dxa"/>
            <w:shd w:val="clear" w:color="auto" w:fill="F2DBDB" w:themeFill="accent2" w:themeFillTint="33"/>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9C0006"/>
                <w:sz w:val="16"/>
                <w:szCs w:val="16"/>
                <w:lang w:eastAsia="en-GB"/>
              </w:rPr>
            </w:pPr>
            <w:r w:rsidRPr="00C56AC8">
              <w:rPr>
                <w:color w:val="9C0006"/>
                <w:sz w:val="16"/>
                <w:szCs w:val="16"/>
                <w:lang w:eastAsia="en-GB"/>
              </w:rPr>
              <w:t>1</w:t>
            </w:r>
          </w:p>
        </w:tc>
        <w:tc>
          <w:tcPr>
            <w:tcW w:w="960" w:type="dxa"/>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sidRPr="00C56AC8">
              <w:rPr>
                <w:color w:val="000000"/>
                <w:sz w:val="16"/>
                <w:szCs w:val="16"/>
                <w:lang w:eastAsia="en-GB"/>
              </w:rPr>
              <w:t>19</w:t>
            </w:r>
          </w:p>
        </w:tc>
        <w:tc>
          <w:tcPr>
            <w:tcW w:w="960" w:type="dxa"/>
            <w:shd w:val="clear" w:color="auto" w:fill="F2DBDB" w:themeFill="accent2" w:themeFillTint="33"/>
            <w:noWrap/>
            <w:hideMark/>
          </w:tcPr>
          <w:p w:rsidR="00B83A66" w:rsidRPr="00C56AC8"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9C0006"/>
                <w:sz w:val="16"/>
                <w:szCs w:val="16"/>
                <w:lang w:eastAsia="en-GB"/>
              </w:rPr>
            </w:pPr>
            <w:r w:rsidRPr="00C56AC8">
              <w:rPr>
                <w:color w:val="9C0006"/>
                <w:sz w:val="16"/>
                <w:szCs w:val="16"/>
                <w:lang w:eastAsia="en-GB"/>
              </w:rPr>
              <w:t>5</w:t>
            </w:r>
          </w:p>
        </w:tc>
        <w:tc>
          <w:tcPr>
            <w:tcW w:w="960" w:type="dxa"/>
            <w:shd w:val="clear" w:color="auto" w:fill="auto"/>
          </w:tcPr>
          <w:p w:rsidR="00B83A66" w:rsidRPr="00091A00" w:rsidRDefault="00B83A66" w:rsidP="00B90135">
            <w:pPr>
              <w:spacing w:after="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GB"/>
              </w:rPr>
            </w:pPr>
            <w:r w:rsidRPr="00091A00">
              <w:rPr>
                <w:color w:val="000000"/>
                <w:sz w:val="16"/>
                <w:szCs w:val="16"/>
                <w:lang w:eastAsia="en-GB"/>
              </w:rPr>
              <w:t>44</w:t>
            </w:r>
          </w:p>
        </w:tc>
      </w:tr>
      <w:tr w:rsidR="00B83A66" w:rsidRPr="00C56AC8" w:rsidTr="00B90135">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428" w:type="dxa"/>
            <w:noWrap/>
            <w:hideMark/>
          </w:tcPr>
          <w:p w:rsidR="00B83A66" w:rsidRPr="00C56AC8" w:rsidRDefault="00B83A66" w:rsidP="00B90135">
            <w:pPr>
              <w:spacing w:after="0"/>
              <w:jc w:val="left"/>
              <w:rPr>
                <w:color w:val="000000"/>
                <w:sz w:val="16"/>
                <w:szCs w:val="16"/>
                <w:lang w:eastAsia="en-GB"/>
              </w:rPr>
            </w:pPr>
            <w:r w:rsidRPr="00C56AC8">
              <w:rPr>
                <w:color w:val="000000"/>
                <w:sz w:val="16"/>
                <w:szCs w:val="16"/>
                <w:lang w:eastAsia="en-GB"/>
              </w:rPr>
              <w:t>N77</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38</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49</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13</w:t>
            </w:r>
          </w:p>
        </w:tc>
        <w:tc>
          <w:tcPr>
            <w:tcW w:w="960" w:type="dxa"/>
            <w:shd w:val="clear" w:color="auto" w:fill="F2DBDB" w:themeFill="accent2" w:themeFillTint="33"/>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9C0006"/>
                <w:sz w:val="16"/>
                <w:szCs w:val="16"/>
                <w:lang w:eastAsia="en-GB"/>
              </w:rPr>
            </w:pPr>
            <w:r w:rsidRPr="00C56AC8">
              <w:rPr>
                <w:color w:val="9C0006"/>
                <w:sz w:val="16"/>
                <w:szCs w:val="16"/>
                <w:lang w:eastAsia="en-GB"/>
              </w:rPr>
              <w:t>2</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21</w:t>
            </w:r>
          </w:p>
        </w:tc>
        <w:tc>
          <w:tcPr>
            <w:tcW w:w="960" w:type="dxa"/>
            <w:noWrap/>
            <w:hideMark/>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sidRPr="00C56AC8">
              <w:rPr>
                <w:color w:val="000000"/>
                <w:sz w:val="16"/>
                <w:szCs w:val="16"/>
                <w:lang w:eastAsia="en-GB"/>
              </w:rPr>
              <w:t>19</w:t>
            </w:r>
          </w:p>
        </w:tc>
        <w:tc>
          <w:tcPr>
            <w:tcW w:w="960" w:type="dxa"/>
          </w:tcPr>
          <w:p w:rsidR="00B83A66" w:rsidRPr="00C56AC8" w:rsidRDefault="00B83A66" w:rsidP="00B90135">
            <w:pPr>
              <w:spacing w:after="0"/>
              <w:jc w:val="right"/>
              <w:cnfStyle w:val="000000100000" w:firstRow="0" w:lastRow="0" w:firstColumn="0" w:lastColumn="0" w:oddVBand="0" w:evenVBand="0" w:oddHBand="1" w:evenHBand="0" w:firstRowFirstColumn="0" w:firstRowLastColumn="0" w:lastRowFirstColumn="0" w:lastRowLastColumn="0"/>
              <w:rPr>
                <w:color w:val="000000"/>
                <w:sz w:val="16"/>
                <w:szCs w:val="16"/>
                <w:lang w:eastAsia="en-GB"/>
              </w:rPr>
            </w:pPr>
            <w:r>
              <w:rPr>
                <w:color w:val="000000"/>
                <w:sz w:val="16"/>
                <w:szCs w:val="16"/>
                <w:lang w:eastAsia="en-GB"/>
              </w:rPr>
              <w:t>23</w:t>
            </w:r>
          </w:p>
        </w:tc>
      </w:tr>
      <w:bookmarkEnd w:id="1"/>
    </w:tbl>
    <w:p w:rsidR="00C00345" w:rsidRDefault="00C00345" w:rsidP="00E11CE1"/>
    <w:p w:rsidR="00753EAC" w:rsidRDefault="00753EAC" w:rsidP="00753EAC">
      <w:pPr>
        <w:pStyle w:val="Heading1"/>
      </w:pPr>
      <w:r>
        <w:t xml:space="preserve">Impact on final consumption and investment </w:t>
      </w:r>
    </w:p>
    <w:p w:rsidR="00753EAC" w:rsidRDefault="00753EAC" w:rsidP="00753EAC">
      <w:r>
        <w:t>The r</w:t>
      </w:r>
      <w:r w:rsidRPr="000A7E3A">
        <w:t xml:space="preserve">evisions to household </w:t>
      </w:r>
      <w:r>
        <w:t>f</w:t>
      </w:r>
      <w:r w:rsidRPr="000A7E3A">
        <w:t>inal con</w:t>
      </w:r>
      <w:r w:rsidRPr="000A7E3A">
        <w:softHyphen/>
        <w:t xml:space="preserve">sumption expenditure are </w:t>
      </w:r>
      <w:r>
        <w:t xml:space="preserve">small: </w:t>
      </w:r>
      <w:r w:rsidR="00FB0436">
        <w:t xml:space="preserve">in terms of ratios of final consumption over GDP, the difference is </w:t>
      </w:r>
      <w:r>
        <w:t xml:space="preserve">less than 2% in absolute </w:t>
      </w:r>
      <w:r w:rsidR="00FB0436">
        <w:t>terms across the seven countries</w:t>
      </w:r>
      <w:r>
        <w:t xml:space="preserve">. Those very small revisions were quite regularly distributed among the 64 products of the Use Table: no major product outlier was detected. </w:t>
      </w:r>
    </w:p>
    <w:p w:rsidR="00753EAC" w:rsidRDefault="00753EAC" w:rsidP="00753EAC">
      <w:r>
        <w:t>Considering the final consumption from the NPISHs and the General government, the ratio of consumption over GDP is circa 1% lower on average with the ESA 2010 methodology. Manufactured goods represent the product for which the absolute difference is measured as the biggest across all countries.</w:t>
      </w:r>
    </w:p>
    <w:p w:rsidR="00753EAC" w:rsidRPr="002F6570" w:rsidRDefault="00753EAC" w:rsidP="002F6570">
      <w:pPr>
        <w:rPr>
          <w:u w:val="single"/>
        </w:rPr>
      </w:pPr>
      <w:r w:rsidRPr="002F6570">
        <w:rPr>
          <w:u w:val="single"/>
        </w:rPr>
        <w:t xml:space="preserve">Table </w:t>
      </w:r>
      <w:r w:rsidR="002F6570" w:rsidRPr="002F6570">
        <w:rPr>
          <w:u w:val="single"/>
        </w:rPr>
        <w:t>5</w:t>
      </w:r>
      <w:r w:rsidRPr="002F6570">
        <w:rPr>
          <w:u w:val="single"/>
        </w:rPr>
        <w:t>: Absolute difference of ratios between ESA 95 and ESA 2010</w:t>
      </w:r>
    </w:p>
    <w:tbl>
      <w:tblPr>
        <w:tblStyle w:val="LightList-Accent4"/>
        <w:tblW w:w="10166" w:type="dxa"/>
        <w:tblLook w:val="04A0" w:firstRow="1" w:lastRow="0" w:firstColumn="1" w:lastColumn="0" w:noHBand="0" w:noVBand="1"/>
      </w:tblPr>
      <w:tblGrid>
        <w:gridCol w:w="2284"/>
        <w:gridCol w:w="1126"/>
        <w:gridCol w:w="1126"/>
        <w:gridCol w:w="1126"/>
        <w:gridCol w:w="1126"/>
        <w:gridCol w:w="1126"/>
        <w:gridCol w:w="1126"/>
        <w:gridCol w:w="1126"/>
      </w:tblGrid>
      <w:tr w:rsidR="00FB0436" w:rsidRPr="00584FF6" w:rsidTr="009233C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84" w:type="dxa"/>
          </w:tcPr>
          <w:p w:rsidR="00753EAC" w:rsidRPr="00584FF6" w:rsidRDefault="00753EAC" w:rsidP="00B90135">
            <w:pPr>
              <w:spacing w:after="0"/>
              <w:jc w:val="right"/>
              <w:rPr>
                <w:sz w:val="20"/>
                <w:lang w:eastAsia="en-GB"/>
              </w:rPr>
            </w:pPr>
          </w:p>
        </w:tc>
        <w:tc>
          <w:tcPr>
            <w:tcW w:w="1126" w:type="dxa"/>
            <w:noWrap/>
          </w:tcPr>
          <w:p w:rsidR="00753EAC" w:rsidRPr="00584FF6" w:rsidRDefault="00FB0436" w:rsidP="00B90135">
            <w:pPr>
              <w:cnfStyle w:val="100000000000" w:firstRow="1" w:lastRow="0" w:firstColumn="0" w:lastColumn="0" w:oddVBand="0" w:evenVBand="0" w:oddHBand="0" w:evenHBand="0" w:firstRowFirstColumn="0" w:firstRowLastColumn="0" w:lastRowFirstColumn="0" w:lastRowLastColumn="0"/>
              <w:rPr>
                <w:sz w:val="20"/>
              </w:rPr>
            </w:pPr>
            <w:r>
              <w:rPr>
                <w:sz w:val="20"/>
              </w:rPr>
              <w:t>Country 1</w:t>
            </w:r>
          </w:p>
        </w:tc>
        <w:tc>
          <w:tcPr>
            <w:tcW w:w="1126" w:type="dxa"/>
            <w:noWrap/>
          </w:tcPr>
          <w:p w:rsidR="00753EAC" w:rsidRPr="00584FF6" w:rsidRDefault="00FB0436" w:rsidP="00B90135">
            <w:pPr>
              <w:cnfStyle w:val="100000000000" w:firstRow="1" w:lastRow="0" w:firstColumn="0" w:lastColumn="0" w:oddVBand="0" w:evenVBand="0" w:oddHBand="0" w:evenHBand="0" w:firstRowFirstColumn="0" w:firstRowLastColumn="0" w:lastRowFirstColumn="0" w:lastRowLastColumn="0"/>
              <w:rPr>
                <w:sz w:val="20"/>
              </w:rPr>
            </w:pPr>
            <w:r>
              <w:rPr>
                <w:sz w:val="20"/>
              </w:rPr>
              <w:t>Country 2</w:t>
            </w:r>
          </w:p>
        </w:tc>
        <w:tc>
          <w:tcPr>
            <w:tcW w:w="1126" w:type="dxa"/>
            <w:noWrap/>
          </w:tcPr>
          <w:p w:rsidR="00753EAC" w:rsidRPr="00584FF6" w:rsidRDefault="00FB0436" w:rsidP="00B90135">
            <w:pPr>
              <w:cnfStyle w:val="100000000000" w:firstRow="1" w:lastRow="0" w:firstColumn="0" w:lastColumn="0" w:oddVBand="0" w:evenVBand="0" w:oddHBand="0" w:evenHBand="0" w:firstRowFirstColumn="0" w:firstRowLastColumn="0" w:lastRowFirstColumn="0" w:lastRowLastColumn="0"/>
              <w:rPr>
                <w:sz w:val="20"/>
              </w:rPr>
            </w:pPr>
            <w:r>
              <w:rPr>
                <w:sz w:val="20"/>
              </w:rPr>
              <w:t>Country 3</w:t>
            </w:r>
          </w:p>
        </w:tc>
        <w:tc>
          <w:tcPr>
            <w:tcW w:w="1126" w:type="dxa"/>
            <w:noWrap/>
          </w:tcPr>
          <w:p w:rsidR="00753EAC" w:rsidRPr="00584FF6" w:rsidRDefault="00FB0436" w:rsidP="00B90135">
            <w:pPr>
              <w:cnfStyle w:val="100000000000" w:firstRow="1" w:lastRow="0" w:firstColumn="0" w:lastColumn="0" w:oddVBand="0" w:evenVBand="0" w:oddHBand="0" w:evenHBand="0" w:firstRowFirstColumn="0" w:firstRowLastColumn="0" w:lastRowFirstColumn="0" w:lastRowLastColumn="0"/>
              <w:rPr>
                <w:sz w:val="20"/>
              </w:rPr>
            </w:pPr>
            <w:r>
              <w:rPr>
                <w:sz w:val="20"/>
              </w:rPr>
              <w:t>Country 4</w:t>
            </w:r>
          </w:p>
        </w:tc>
        <w:tc>
          <w:tcPr>
            <w:tcW w:w="1126" w:type="dxa"/>
            <w:noWrap/>
          </w:tcPr>
          <w:p w:rsidR="00753EAC" w:rsidRPr="00584FF6" w:rsidRDefault="00FB0436" w:rsidP="00B90135">
            <w:pPr>
              <w:cnfStyle w:val="100000000000" w:firstRow="1" w:lastRow="0" w:firstColumn="0" w:lastColumn="0" w:oddVBand="0" w:evenVBand="0" w:oddHBand="0" w:evenHBand="0" w:firstRowFirstColumn="0" w:firstRowLastColumn="0" w:lastRowFirstColumn="0" w:lastRowLastColumn="0"/>
              <w:rPr>
                <w:sz w:val="20"/>
              </w:rPr>
            </w:pPr>
            <w:r>
              <w:rPr>
                <w:sz w:val="20"/>
              </w:rPr>
              <w:t>Country 5</w:t>
            </w:r>
          </w:p>
        </w:tc>
        <w:tc>
          <w:tcPr>
            <w:tcW w:w="1126" w:type="dxa"/>
            <w:noWrap/>
          </w:tcPr>
          <w:p w:rsidR="00753EAC" w:rsidRPr="00584FF6" w:rsidRDefault="00FB0436" w:rsidP="00B90135">
            <w:pPr>
              <w:cnfStyle w:val="100000000000" w:firstRow="1" w:lastRow="0" w:firstColumn="0" w:lastColumn="0" w:oddVBand="0" w:evenVBand="0" w:oddHBand="0" w:evenHBand="0" w:firstRowFirstColumn="0" w:firstRowLastColumn="0" w:lastRowFirstColumn="0" w:lastRowLastColumn="0"/>
              <w:rPr>
                <w:sz w:val="20"/>
              </w:rPr>
            </w:pPr>
            <w:r>
              <w:rPr>
                <w:sz w:val="20"/>
              </w:rPr>
              <w:t>Country 6</w:t>
            </w:r>
          </w:p>
        </w:tc>
        <w:tc>
          <w:tcPr>
            <w:tcW w:w="1126" w:type="dxa"/>
            <w:noWrap/>
          </w:tcPr>
          <w:p w:rsidR="00753EAC" w:rsidRPr="00584FF6" w:rsidRDefault="00FB0436" w:rsidP="00B90135">
            <w:pPr>
              <w:cnfStyle w:val="100000000000" w:firstRow="1" w:lastRow="0" w:firstColumn="0" w:lastColumn="0" w:oddVBand="0" w:evenVBand="0" w:oddHBand="0" w:evenHBand="0" w:firstRowFirstColumn="0" w:firstRowLastColumn="0" w:lastRowFirstColumn="0" w:lastRowLastColumn="0"/>
              <w:rPr>
                <w:sz w:val="20"/>
              </w:rPr>
            </w:pPr>
            <w:r>
              <w:rPr>
                <w:sz w:val="20"/>
              </w:rPr>
              <w:t>Country 7</w:t>
            </w:r>
          </w:p>
        </w:tc>
      </w:tr>
      <w:tr w:rsidR="00FB0436" w:rsidRPr="00584FF6" w:rsidTr="009233C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84" w:type="dxa"/>
          </w:tcPr>
          <w:p w:rsidR="00753EAC" w:rsidRPr="00584FF6" w:rsidRDefault="00753EAC" w:rsidP="00B90135">
            <w:pPr>
              <w:spacing w:after="0"/>
              <w:jc w:val="left"/>
              <w:rPr>
                <w:sz w:val="20"/>
                <w:lang w:eastAsia="en-GB"/>
              </w:rPr>
            </w:pPr>
            <w:r w:rsidRPr="00584FF6">
              <w:rPr>
                <w:sz w:val="20"/>
                <w:lang w:eastAsia="en-GB"/>
              </w:rPr>
              <w:t>HFC/GDP</w:t>
            </w:r>
          </w:p>
        </w:tc>
        <w:tc>
          <w:tcPr>
            <w:tcW w:w="1126" w:type="dxa"/>
            <w:noWrap/>
            <w:hideMark/>
          </w:tcPr>
          <w:p w:rsidR="00753EAC" w:rsidRPr="00584FF6" w:rsidRDefault="00753EAC" w:rsidP="00B90135">
            <w:pPr>
              <w:spacing w:after="0"/>
              <w:jc w:val="right"/>
              <w:cnfStyle w:val="000000100000" w:firstRow="0" w:lastRow="0" w:firstColumn="0" w:lastColumn="0" w:oddVBand="0" w:evenVBand="0" w:oddHBand="1" w:evenHBand="0" w:firstRowFirstColumn="0" w:firstRowLastColumn="0" w:lastRowFirstColumn="0" w:lastRowLastColumn="0"/>
              <w:rPr>
                <w:sz w:val="20"/>
                <w:lang w:eastAsia="en-GB"/>
              </w:rPr>
            </w:pPr>
            <w:r w:rsidRPr="00584FF6">
              <w:rPr>
                <w:sz w:val="20"/>
                <w:lang w:eastAsia="en-GB"/>
              </w:rPr>
              <w:t>-0.9%</w:t>
            </w:r>
          </w:p>
        </w:tc>
        <w:tc>
          <w:tcPr>
            <w:tcW w:w="1126" w:type="dxa"/>
            <w:noWrap/>
            <w:hideMark/>
          </w:tcPr>
          <w:p w:rsidR="00753EAC" w:rsidRPr="00584FF6" w:rsidRDefault="00753EAC" w:rsidP="00B90135">
            <w:pPr>
              <w:spacing w:after="0"/>
              <w:jc w:val="right"/>
              <w:cnfStyle w:val="000000100000" w:firstRow="0" w:lastRow="0" w:firstColumn="0" w:lastColumn="0" w:oddVBand="0" w:evenVBand="0" w:oddHBand="1" w:evenHBand="0" w:firstRowFirstColumn="0" w:firstRowLastColumn="0" w:lastRowFirstColumn="0" w:lastRowLastColumn="0"/>
              <w:rPr>
                <w:sz w:val="20"/>
                <w:lang w:eastAsia="en-GB"/>
              </w:rPr>
            </w:pPr>
            <w:r w:rsidRPr="00584FF6">
              <w:rPr>
                <w:sz w:val="20"/>
                <w:lang w:eastAsia="en-GB"/>
              </w:rPr>
              <w:t>-1.6%</w:t>
            </w:r>
          </w:p>
        </w:tc>
        <w:tc>
          <w:tcPr>
            <w:tcW w:w="1126" w:type="dxa"/>
            <w:noWrap/>
            <w:hideMark/>
          </w:tcPr>
          <w:p w:rsidR="00753EAC" w:rsidRPr="00584FF6" w:rsidRDefault="00753EAC" w:rsidP="00B90135">
            <w:pPr>
              <w:spacing w:after="0"/>
              <w:jc w:val="right"/>
              <w:cnfStyle w:val="000000100000" w:firstRow="0" w:lastRow="0" w:firstColumn="0" w:lastColumn="0" w:oddVBand="0" w:evenVBand="0" w:oddHBand="1" w:evenHBand="0" w:firstRowFirstColumn="0" w:firstRowLastColumn="0" w:lastRowFirstColumn="0" w:lastRowLastColumn="0"/>
              <w:rPr>
                <w:sz w:val="20"/>
                <w:lang w:eastAsia="en-GB"/>
              </w:rPr>
            </w:pPr>
            <w:r w:rsidRPr="00584FF6">
              <w:rPr>
                <w:sz w:val="20"/>
                <w:lang w:eastAsia="en-GB"/>
              </w:rPr>
              <w:t>-1.5%</w:t>
            </w:r>
          </w:p>
        </w:tc>
        <w:tc>
          <w:tcPr>
            <w:tcW w:w="1126" w:type="dxa"/>
            <w:noWrap/>
            <w:hideMark/>
          </w:tcPr>
          <w:p w:rsidR="00753EAC" w:rsidRPr="00584FF6" w:rsidRDefault="00753EAC" w:rsidP="00B90135">
            <w:pPr>
              <w:spacing w:after="0"/>
              <w:jc w:val="right"/>
              <w:cnfStyle w:val="000000100000" w:firstRow="0" w:lastRow="0" w:firstColumn="0" w:lastColumn="0" w:oddVBand="0" w:evenVBand="0" w:oddHBand="1" w:evenHBand="0" w:firstRowFirstColumn="0" w:firstRowLastColumn="0" w:lastRowFirstColumn="0" w:lastRowLastColumn="0"/>
              <w:rPr>
                <w:sz w:val="20"/>
                <w:lang w:eastAsia="en-GB"/>
              </w:rPr>
            </w:pPr>
            <w:r w:rsidRPr="00584FF6">
              <w:rPr>
                <w:sz w:val="20"/>
                <w:lang w:eastAsia="en-GB"/>
              </w:rPr>
              <w:t>-1.9%</w:t>
            </w:r>
          </w:p>
        </w:tc>
        <w:tc>
          <w:tcPr>
            <w:tcW w:w="1126" w:type="dxa"/>
            <w:noWrap/>
            <w:hideMark/>
          </w:tcPr>
          <w:p w:rsidR="00753EAC" w:rsidRPr="00584FF6" w:rsidRDefault="00753EAC" w:rsidP="00B90135">
            <w:pPr>
              <w:spacing w:after="0"/>
              <w:jc w:val="right"/>
              <w:cnfStyle w:val="000000100000" w:firstRow="0" w:lastRow="0" w:firstColumn="0" w:lastColumn="0" w:oddVBand="0" w:evenVBand="0" w:oddHBand="1" w:evenHBand="0" w:firstRowFirstColumn="0" w:firstRowLastColumn="0" w:lastRowFirstColumn="0" w:lastRowLastColumn="0"/>
              <w:rPr>
                <w:sz w:val="20"/>
                <w:lang w:eastAsia="en-GB"/>
              </w:rPr>
            </w:pPr>
            <w:r w:rsidRPr="00584FF6">
              <w:rPr>
                <w:sz w:val="20"/>
                <w:lang w:eastAsia="en-GB"/>
              </w:rPr>
              <w:t>0.2%</w:t>
            </w:r>
          </w:p>
        </w:tc>
        <w:tc>
          <w:tcPr>
            <w:tcW w:w="1126" w:type="dxa"/>
            <w:noWrap/>
            <w:hideMark/>
          </w:tcPr>
          <w:p w:rsidR="00753EAC" w:rsidRPr="00584FF6" w:rsidRDefault="00753EAC" w:rsidP="00B90135">
            <w:pPr>
              <w:spacing w:after="0"/>
              <w:jc w:val="right"/>
              <w:cnfStyle w:val="000000100000" w:firstRow="0" w:lastRow="0" w:firstColumn="0" w:lastColumn="0" w:oddVBand="0" w:evenVBand="0" w:oddHBand="1" w:evenHBand="0" w:firstRowFirstColumn="0" w:firstRowLastColumn="0" w:lastRowFirstColumn="0" w:lastRowLastColumn="0"/>
              <w:rPr>
                <w:sz w:val="20"/>
                <w:lang w:eastAsia="en-GB"/>
              </w:rPr>
            </w:pPr>
            <w:r w:rsidRPr="00584FF6">
              <w:rPr>
                <w:sz w:val="20"/>
                <w:lang w:eastAsia="en-GB"/>
              </w:rPr>
              <w:t>-0.8%</w:t>
            </w:r>
          </w:p>
        </w:tc>
        <w:tc>
          <w:tcPr>
            <w:tcW w:w="1126" w:type="dxa"/>
            <w:noWrap/>
            <w:hideMark/>
          </w:tcPr>
          <w:p w:rsidR="00753EAC" w:rsidRPr="00584FF6" w:rsidRDefault="00753EAC" w:rsidP="00B90135">
            <w:pPr>
              <w:spacing w:after="0"/>
              <w:jc w:val="right"/>
              <w:cnfStyle w:val="000000100000" w:firstRow="0" w:lastRow="0" w:firstColumn="0" w:lastColumn="0" w:oddVBand="0" w:evenVBand="0" w:oddHBand="1" w:evenHBand="0" w:firstRowFirstColumn="0" w:firstRowLastColumn="0" w:lastRowFirstColumn="0" w:lastRowLastColumn="0"/>
              <w:rPr>
                <w:sz w:val="20"/>
                <w:lang w:eastAsia="en-GB"/>
              </w:rPr>
            </w:pPr>
            <w:r w:rsidRPr="00584FF6">
              <w:rPr>
                <w:sz w:val="20"/>
                <w:lang w:eastAsia="en-GB"/>
              </w:rPr>
              <w:t>-0.1%</w:t>
            </w:r>
          </w:p>
        </w:tc>
      </w:tr>
      <w:tr w:rsidR="00FB0436" w:rsidRPr="00584FF6" w:rsidTr="009233C0">
        <w:trPr>
          <w:trHeight w:val="176"/>
        </w:trPr>
        <w:tc>
          <w:tcPr>
            <w:cnfStyle w:val="001000000000" w:firstRow="0" w:lastRow="0" w:firstColumn="1" w:lastColumn="0" w:oddVBand="0" w:evenVBand="0" w:oddHBand="0" w:evenHBand="0" w:firstRowFirstColumn="0" w:firstRowLastColumn="0" w:lastRowFirstColumn="0" w:lastRowLastColumn="0"/>
            <w:tcW w:w="2284" w:type="dxa"/>
          </w:tcPr>
          <w:p w:rsidR="00753EAC" w:rsidRPr="00584FF6" w:rsidRDefault="00753EAC" w:rsidP="00B90135">
            <w:pPr>
              <w:jc w:val="left"/>
              <w:rPr>
                <w:sz w:val="20"/>
              </w:rPr>
            </w:pPr>
            <w:r w:rsidRPr="00584FF6">
              <w:rPr>
                <w:sz w:val="20"/>
              </w:rPr>
              <w:t>FC/GDP</w:t>
            </w:r>
          </w:p>
        </w:tc>
        <w:tc>
          <w:tcPr>
            <w:tcW w:w="1126" w:type="dxa"/>
            <w:noWrap/>
          </w:tcPr>
          <w:p w:rsidR="00753EAC" w:rsidRPr="00584FF6" w:rsidRDefault="00753EAC" w:rsidP="00B90135">
            <w:pPr>
              <w:jc w:val="right"/>
              <w:cnfStyle w:val="000000000000" w:firstRow="0" w:lastRow="0" w:firstColumn="0" w:lastColumn="0" w:oddVBand="0" w:evenVBand="0" w:oddHBand="0" w:evenHBand="0" w:firstRowFirstColumn="0" w:firstRowLastColumn="0" w:lastRowFirstColumn="0" w:lastRowLastColumn="0"/>
              <w:rPr>
                <w:sz w:val="20"/>
              </w:rPr>
            </w:pPr>
            <w:r w:rsidRPr="00584FF6">
              <w:rPr>
                <w:sz w:val="20"/>
              </w:rPr>
              <w:t>-1.3%</w:t>
            </w:r>
          </w:p>
        </w:tc>
        <w:tc>
          <w:tcPr>
            <w:tcW w:w="1126" w:type="dxa"/>
            <w:noWrap/>
          </w:tcPr>
          <w:p w:rsidR="00753EAC" w:rsidRPr="00584FF6" w:rsidRDefault="00753EAC" w:rsidP="00B90135">
            <w:pPr>
              <w:jc w:val="right"/>
              <w:cnfStyle w:val="000000000000" w:firstRow="0" w:lastRow="0" w:firstColumn="0" w:lastColumn="0" w:oddVBand="0" w:evenVBand="0" w:oddHBand="0" w:evenHBand="0" w:firstRowFirstColumn="0" w:firstRowLastColumn="0" w:lastRowFirstColumn="0" w:lastRowLastColumn="0"/>
              <w:rPr>
                <w:sz w:val="20"/>
              </w:rPr>
            </w:pPr>
            <w:r w:rsidRPr="00584FF6">
              <w:rPr>
                <w:sz w:val="20"/>
              </w:rPr>
              <w:t>-2.2%</w:t>
            </w:r>
          </w:p>
        </w:tc>
        <w:tc>
          <w:tcPr>
            <w:tcW w:w="1126" w:type="dxa"/>
            <w:noWrap/>
          </w:tcPr>
          <w:p w:rsidR="00753EAC" w:rsidRPr="00584FF6" w:rsidRDefault="00753EAC" w:rsidP="00B90135">
            <w:pPr>
              <w:jc w:val="right"/>
              <w:cnfStyle w:val="000000000000" w:firstRow="0" w:lastRow="0" w:firstColumn="0" w:lastColumn="0" w:oddVBand="0" w:evenVBand="0" w:oddHBand="0" w:evenHBand="0" w:firstRowFirstColumn="0" w:firstRowLastColumn="0" w:lastRowFirstColumn="0" w:lastRowLastColumn="0"/>
              <w:rPr>
                <w:sz w:val="20"/>
              </w:rPr>
            </w:pPr>
            <w:r w:rsidRPr="00584FF6">
              <w:rPr>
                <w:sz w:val="20"/>
              </w:rPr>
              <w:t>-2.3%</w:t>
            </w:r>
          </w:p>
        </w:tc>
        <w:tc>
          <w:tcPr>
            <w:tcW w:w="1126" w:type="dxa"/>
            <w:noWrap/>
          </w:tcPr>
          <w:p w:rsidR="00753EAC" w:rsidRPr="00584FF6" w:rsidRDefault="00753EAC" w:rsidP="00B90135">
            <w:pPr>
              <w:jc w:val="right"/>
              <w:cnfStyle w:val="000000000000" w:firstRow="0" w:lastRow="0" w:firstColumn="0" w:lastColumn="0" w:oddVBand="0" w:evenVBand="0" w:oddHBand="0" w:evenHBand="0" w:firstRowFirstColumn="0" w:firstRowLastColumn="0" w:lastRowFirstColumn="0" w:lastRowLastColumn="0"/>
              <w:rPr>
                <w:sz w:val="20"/>
              </w:rPr>
            </w:pPr>
            <w:r w:rsidRPr="00584FF6">
              <w:rPr>
                <w:sz w:val="20"/>
              </w:rPr>
              <w:t>-3.0%</w:t>
            </w:r>
          </w:p>
        </w:tc>
        <w:tc>
          <w:tcPr>
            <w:tcW w:w="1126" w:type="dxa"/>
            <w:noWrap/>
          </w:tcPr>
          <w:p w:rsidR="00753EAC" w:rsidRPr="00584FF6" w:rsidRDefault="00753EAC" w:rsidP="00B90135">
            <w:pPr>
              <w:jc w:val="right"/>
              <w:cnfStyle w:val="000000000000" w:firstRow="0" w:lastRow="0" w:firstColumn="0" w:lastColumn="0" w:oddVBand="0" w:evenVBand="0" w:oddHBand="0" w:evenHBand="0" w:firstRowFirstColumn="0" w:firstRowLastColumn="0" w:lastRowFirstColumn="0" w:lastRowLastColumn="0"/>
              <w:rPr>
                <w:sz w:val="20"/>
              </w:rPr>
            </w:pPr>
            <w:r w:rsidRPr="00584FF6">
              <w:rPr>
                <w:sz w:val="20"/>
              </w:rPr>
              <w:t>-0.5%</w:t>
            </w:r>
          </w:p>
        </w:tc>
        <w:tc>
          <w:tcPr>
            <w:tcW w:w="1126" w:type="dxa"/>
            <w:noWrap/>
          </w:tcPr>
          <w:p w:rsidR="00753EAC" w:rsidRPr="00584FF6" w:rsidRDefault="00753EAC" w:rsidP="00B90135">
            <w:pPr>
              <w:jc w:val="right"/>
              <w:cnfStyle w:val="000000000000" w:firstRow="0" w:lastRow="0" w:firstColumn="0" w:lastColumn="0" w:oddVBand="0" w:evenVBand="0" w:oddHBand="0" w:evenHBand="0" w:firstRowFirstColumn="0" w:firstRowLastColumn="0" w:lastRowFirstColumn="0" w:lastRowLastColumn="0"/>
              <w:rPr>
                <w:sz w:val="20"/>
              </w:rPr>
            </w:pPr>
            <w:r w:rsidRPr="00584FF6">
              <w:rPr>
                <w:sz w:val="20"/>
              </w:rPr>
              <w:t>-1.0%</w:t>
            </w:r>
          </w:p>
        </w:tc>
        <w:tc>
          <w:tcPr>
            <w:tcW w:w="1126" w:type="dxa"/>
            <w:noWrap/>
          </w:tcPr>
          <w:p w:rsidR="00753EAC" w:rsidRPr="00584FF6" w:rsidRDefault="00753EAC" w:rsidP="00B90135">
            <w:pPr>
              <w:jc w:val="right"/>
              <w:cnfStyle w:val="000000000000" w:firstRow="0" w:lastRow="0" w:firstColumn="0" w:lastColumn="0" w:oddVBand="0" w:evenVBand="0" w:oddHBand="0" w:evenHBand="0" w:firstRowFirstColumn="0" w:firstRowLastColumn="0" w:lastRowFirstColumn="0" w:lastRowLastColumn="0"/>
              <w:rPr>
                <w:sz w:val="20"/>
              </w:rPr>
            </w:pPr>
            <w:r w:rsidRPr="00584FF6">
              <w:rPr>
                <w:sz w:val="20"/>
              </w:rPr>
              <w:t>-1.1%</w:t>
            </w:r>
          </w:p>
        </w:tc>
      </w:tr>
      <w:tr w:rsidR="00FB0436" w:rsidRPr="00584FF6" w:rsidTr="009233C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284" w:type="dxa"/>
          </w:tcPr>
          <w:p w:rsidR="00753EAC" w:rsidRPr="00584FF6" w:rsidRDefault="00753EAC" w:rsidP="00B90135">
            <w:pPr>
              <w:jc w:val="left"/>
              <w:rPr>
                <w:sz w:val="20"/>
              </w:rPr>
            </w:pPr>
            <w:r>
              <w:rPr>
                <w:sz w:val="20"/>
              </w:rPr>
              <w:t>Manufactured products</w:t>
            </w:r>
          </w:p>
        </w:tc>
        <w:tc>
          <w:tcPr>
            <w:tcW w:w="1126" w:type="dxa"/>
            <w:noWrap/>
            <w:vAlign w:val="bottom"/>
          </w:tcPr>
          <w:p w:rsidR="00753EAC" w:rsidRPr="00584FF6" w:rsidRDefault="00753EAC" w:rsidP="00B90135">
            <w:pPr>
              <w:jc w:val="right"/>
              <w:cnfStyle w:val="000000100000" w:firstRow="0" w:lastRow="0" w:firstColumn="0" w:lastColumn="0" w:oddVBand="0" w:evenVBand="0" w:oddHBand="1" w:evenHBand="0" w:firstRowFirstColumn="0" w:firstRowLastColumn="0" w:lastRowFirstColumn="0" w:lastRowLastColumn="0"/>
              <w:rPr>
                <w:sz w:val="20"/>
              </w:rPr>
            </w:pPr>
            <w:r w:rsidRPr="00584FF6">
              <w:rPr>
                <w:sz w:val="20"/>
              </w:rPr>
              <w:t>-0.3%</w:t>
            </w:r>
          </w:p>
        </w:tc>
        <w:tc>
          <w:tcPr>
            <w:tcW w:w="1126" w:type="dxa"/>
            <w:noWrap/>
            <w:vAlign w:val="bottom"/>
          </w:tcPr>
          <w:p w:rsidR="00753EAC" w:rsidRPr="00584FF6" w:rsidRDefault="00753EAC" w:rsidP="00B90135">
            <w:pPr>
              <w:jc w:val="right"/>
              <w:cnfStyle w:val="000000100000" w:firstRow="0" w:lastRow="0" w:firstColumn="0" w:lastColumn="0" w:oddVBand="0" w:evenVBand="0" w:oddHBand="1" w:evenHBand="0" w:firstRowFirstColumn="0" w:firstRowLastColumn="0" w:lastRowFirstColumn="0" w:lastRowLastColumn="0"/>
              <w:rPr>
                <w:sz w:val="20"/>
              </w:rPr>
            </w:pPr>
            <w:r w:rsidRPr="00584FF6">
              <w:rPr>
                <w:sz w:val="20"/>
              </w:rPr>
              <w:t>-0.8%</w:t>
            </w:r>
          </w:p>
        </w:tc>
        <w:tc>
          <w:tcPr>
            <w:tcW w:w="1126" w:type="dxa"/>
            <w:noWrap/>
            <w:vAlign w:val="bottom"/>
          </w:tcPr>
          <w:p w:rsidR="00753EAC" w:rsidRPr="00584FF6" w:rsidRDefault="00753EAC" w:rsidP="00B90135">
            <w:pPr>
              <w:jc w:val="right"/>
              <w:cnfStyle w:val="000000100000" w:firstRow="0" w:lastRow="0" w:firstColumn="0" w:lastColumn="0" w:oddVBand="0" w:evenVBand="0" w:oddHBand="1" w:evenHBand="0" w:firstRowFirstColumn="0" w:firstRowLastColumn="0" w:lastRowFirstColumn="0" w:lastRowLastColumn="0"/>
              <w:rPr>
                <w:sz w:val="20"/>
              </w:rPr>
            </w:pPr>
            <w:r w:rsidRPr="00584FF6">
              <w:rPr>
                <w:sz w:val="20"/>
              </w:rPr>
              <w:t>-1.1%</w:t>
            </w:r>
          </w:p>
        </w:tc>
        <w:tc>
          <w:tcPr>
            <w:tcW w:w="1126" w:type="dxa"/>
            <w:noWrap/>
            <w:vAlign w:val="bottom"/>
          </w:tcPr>
          <w:p w:rsidR="00753EAC" w:rsidRPr="00584FF6" w:rsidRDefault="00753EAC" w:rsidP="00B90135">
            <w:pPr>
              <w:jc w:val="right"/>
              <w:cnfStyle w:val="000000100000" w:firstRow="0" w:lastRow="0" w:firstColumn="0" w:lastColumn="0" w:oddVBand="0" w:evenVBand="0" w:oddHBand="1" w:evenHBand="0" w:firstRowFirstColumn="0" w:firstRowLastColumn="0" w:lastRowFirstColumn="0" w:lastRowLastColumn="0"/>
              <w:rPr>
                <w:sz w:val="20"/>
              </w:rPr>
            </w:pPr>
            <w:r w:rsidRPr="00584FF6">
              <w:rPr>
                <w:sz w:val="20"/>
              </w:rPr>
              <w:t>-1.3%</w:t>
            </w:r>
          </w:p>
        </w:tc>
        <w:tc>
          <w:tcPr>
            <w:tcW w:w="1126" w:type="dxa"/>
            <w:noWrap/>
            <w:vAlign w:val="bottom"/>
          </w:tcPr>
          <w:p w:rsidR="00753EAC" w:rsidRPr="00584FF6" w:rsidRDefault="00753EAC" w:rsidP="00B90135">
            <w:pPr>
              <w:jc w:val="right"/>
              <w:cnfStyle w:val="000000100000" w:firstRow="0" w:lastRow="0" w:firstColumn="0" w:lastColumn="0" w:oddVBand="0" w:evenVBand="0" w:oddHBand="1" w:evenHBand="0" w:firstRowFirstColumn="0" w:firstRowLastColumn="0" w:lastRowFirstColumn="0" w:lastRowLastColumn="0"/>
              <w:rPr>
                <w:sz w:val="20"/>
              </w:rPr>
            </w:pPr>
            <w:r w:rsidRPr="00584FF6">
              <w:rPr>
                <w:sz w:val="20"/>
              </w:rPr>
              <w:t>-0.4%</w:t>
            </w:r>
          </w:p>
        </w:tc>
        <w:tc>
          <w:tcPr>
            <w:tcW w:w="1126" w:type="dxa"/>
            <w:noWrap/>
            <w:vAlign w:val="bottom"/>
          </w:tcPr>
          <w:p w:rsidR="00753EAC" w:rsidRPr="00584FF6" w:rsidRDefault="00753EAC" w:rsidP="00B90135">
            <w:pPr>
              <w:jc w:val="right"/>
              <w:cnfStyle w:val="000000100000" w:firstRow="0" w:lastRow="0" w:firstColumn="0" w:lastColumn="0" w:oddVBand="0" w:evenVBand="0" w:oddHBand="1" w:evenHBand="0" w:firstRowFirstColumn="0" w:firstRowLastColumn="0" w:lastRowFirstColumn="0" w:lastRowLastColumn="0"/>
              <w:rPr>
                <w:sz w:val="20"/>
              </w:rPr>
            </w:pPr>
            <w:r w:rsidRPr="00584FF6">
              <w:rPr>
                <w:sz w:val="20"/>
              </w:rPr>
              <w:t>-0.3%</w:t>
            </w:r>
          </w:p>
        </w:tc>
        <w:tc>
          <w:tcPr>
            <w:tcW w:w="1126" w:type="dxa"/>
            <w:noWrap/>
            <w:vAlign w:val="bottom"/>
          </w:tcPr>
          <w:p w:rsidR="00753EAC" w:rsidRPr="00584FF6" w:rsidRDefault="00753EAC" w:rsidP="00B90135">
            <w:pPr>
              <w:jc w:val="right"/>
              <w:cnfStyle w:val="000000100000" w:firstRow="0" w:lastRow="0" w:firstColumn="0" w:lastColumn="0" w:oddVBand="0" w:evenVBand="0" w:oddHBand="1" w:evenHBand="0" w:firstRowFirstColumn="0" w:firstRowLastColumn="0" w:lastRowFirstColumn="0" w:lastRowLastColumn="0"/>
              <w:rPr>
                <w:sz w:val="20"/>
              </w:rPr>
            </w:pPr>
            <w:r w:rsidRPr="00584FF6">
              <w:rPr>
                <w:sz w:val="20"/>
              </w:rPr>
              <w:t>-0.6%</w:t>
            </w:r>
          </w:p>
        </w:tc>
      </w:tr>
    </w:tbl>
    <w:p w:rsidR="009233C0" w:rsidRDefault="009233C0" w:rsidP="00753EAC"/>
    <w:p w:rsidR="00753EAC" w:rsidRDefault="00753EAC" w:rsidP="00753EAC">
      <w:r>
        <w:t xml:space="preserve">The impact on investment was assumed to be the most visible. Indeed the main change in ESA 2010 affects the products of R&amp;D services recognised now as capital assets. </w:t>
      </w:r>
    </w:p>
    <w:p w:rsidR="00753EAC" w:rsidRDefault="00753EAC" w:rsidP="00753EAC">
      <w:r>
        <w:t xml:space="preserve">Across the seven countries, the ratio of Gross Capital Formation over GDP </w:t>
      </w:r>
      <w:r w:rsidRPr="00636025">
        <w:t>shows a consistent aver</w:t>
      </w:r>
      <w:r w:rsidRPr="00636025">
        <w:softHyphen/>
        <w:t xml:space="preserve">age upward revision </w:t>
      </w:r>
      <w:r>
        <w:t xml:space="preserve">in absolute terms from 0.5% to 2.6%. Focusing on products, the research and development services contributed the most from 1.0% upward revision in </w:t>
      </w:r>
      <w:r w:rsidR="003345B1">
        <w:t>one country</w:t>
      </w:r>
      <w:r>
        <w:t xml:space="preserve"> to 2.5% in </w:t>
      </w:r>
      <w:r w:rsidR="003345B1">
        <w:t>another country</w:t>
      </w:r>
      <w:r>
        <w:t>.</w:t>
      </w:r>
    </w:p>
    <w:p w:rsidR="00727AF0" w:rsidRDefault="00727AF0" w:rsidP="00727AF0">
      <w:pPr>
        <w:pStyle w:val="Heading1"/>
      </w:pPr>
      <w:bookmarkStart w:id="2" w:name="_Toc413850150"/>
      <w:r>
        <w:t>Impact on trade</w:t>
      </w:r>
      <w:bookmarkEnd w:id="2"/>
    </w:p>
    <w:p w:rsidR="00727AF0" w:rsidRPr="003854D3" w:rsidRDefault="00727AF0" w:rsidP="00727AF0">
      <w:r>
        <w:t xml:space="preserve">One change in </w:t>
      </w:r>
      <w:r w:rsidR="002722C3">
        <w:t xml:space="preserve">SNA 2008 / </w:t>
      </w:r>
      <w:r>
        <w:t>ESA 2010 methodology is the treatment of g</w:t>
      </w:r>
      <w:r w:rsidRPr="003854D3">
        <w:t xml:space="preserve">oods sent abroad for processing: </w:t>
      </w:r>
      <w:r>
        <w:t>t</w:t>
      </w:r>
      <w:r w:rsidRPr="003854D3">
        <w:t>he values of goods sent abroad for processing will no longer impact on gross exports and</w:t>
      </w:r>
      <w:r>
        <w:t xml:space="preserve"> gross</w:t>
      </w:r>
      <w:r w:rsidRPr="003854D3">
        <w:t xml:space="preserve"> im</w:t>
      </w:r>
      <w:r w:rsidRPr="003854D3">
        <w:softHyphen/>
        <w:t>ports figures because ESA 2010, in the light of globalisation, uses a change in ownership approach and is no more based on physical movements. ESA 2010 just records an export processing service. This will reduce the level of exports and imports, but will not affect the overall current account balance.</w:t>
      </w:r>
    </w:p>
    <w:p w:rsidR="00727AF0" w:rsidRDefault="00727AF0" w:rsidP="00727AF0">
      <w:r>
        <w:t>In practice, ex</w:t>
      </w:r>
      <w:r w:rsidRPr="003854D3">
        <w:t>ports were revised downwards due to two methodolo</w:t>
      </w:r>
      <w:r>
        <w:t>gical changes introduced by ESA2010 in all</w:t>
      </w:r>
      <w:r w:rsidR="002722C3">
        <w:t xml:space="preserve"> seven</w:t>
      </w:r>
      <w:r>
        <w:t xml:space="preserve"> countries</w:t>
      </w:r>
      <w:r w:rsidR="002722C3">
        <w:t xml:space="preserve"> but th</w:t>
      </w:r>
      <w:r>
        <w:t>e ratio of exports over GDP remains similar.</w:t>
      </w:r>
    </w:p>
    <w:p w:rsidR="00727AF0" w:rsidRDefault="00727AF0" w:rsidP="00727AF0">
      <w:r>
        <w:lastRenderedPageBreak/>
        <w:t>The products most affected by the revision are the manufactured products and trade products. This underlines the cross effect of the goods send abroad for processing and the merchanting. The revised treatment of merchanting impacts the breakdowns of exports in terms of products and series. The merchanting margins are registered under the product of wholesale trade and therefore the CPA G is impacted by the change of methodology.</w:t>
      </w:r>
    </w:p>
    <w:p w:rsidR="00727AF0" w:rsidRPr="002722C3" w:rsidRDefault="00727AF0" w:rsidP="002722C3">
      <w:pPr>
        <w:rPr>
          <w:u w:val="single"/>
        </w:rPr>
      </w:pPr>
      <w:r w:rsidRPr="002722C3">
        <w:rPr>
          <w:u w:val="single"/>
        </w:rPr>
        <w:t xml:space="preserve">Table </w:t>
      </w:r>
      <w:r w:rsidR="002722C3" w:rsidRPr="002722C3">
        <w:rPr>
          <w:u w:val="single"/>
        </w:rPr>
        <w:t>6</w:t>
      </w:r>
      <w:r w:rsidRPr="002722C3">
        <w:rPr>
          <w:u w:val="single"/>
        </w:rPr>
        <w:t>: Absolute difference of ratios between ESA 95 and ESA 2010 for exports</w:t>
      </w:r>
    </w:p>
    <w:tbl>
      <w:tblPr>
        <w:tblStyle w:val="LightList-Accent4"/>
        <w:tblW w:w="9406" w:type="dxa"/>
        <w:tblLook w:val="04A0" w:firstRow="1" w:lastRow="0" w:firstColumn="1" w:lastColumn="0" w:noHBand="0" w:noVBand="1"/>
      </w:tblPr>
      <w:tblGrid>
        <w:gridCol w:w="2846"/>
        <w:gridCol w:w="583"/>
        <w:gridCol w:w="217"/>
        <w:gridCol w:w="910"/>
        <w:gridCol w:w="50"/>
        <w:gridCol w:w="910"/>
        <w:gridCol w:w="50"/>
        <w:gridCol w:w="910"/>
        <w:gridCol w:w="50"/>
        <w:gridCol w:w="910"/>
        <w:gridCol w:w="50"/>
        <w:gridCol w:w="910"/>
        <w:gridCol w:w="50"/>
        <w:gridCol w:w="910"/>
        <w:gridCol w:w="50"/>
      </w:tblGrid>
      <w:tr w:rsidR="00727AF0" w:rsidRPr="00F0793A" w:rsidTr="00B90135">
        <w:trPr>
          <w:gridAfter w:val="1"/>
          <w:cnfStyle w:val="100000000000" w:firstRow="1" w:lastRow="0" w:firstColumn="0" w:lastColumn="0" w:oddVBand="0" w:evenVBand="0" w:oddHBand="0" w:evenHBand="0" w:firstRowFirstColumn="0" w:firstRowLastColumn="0" w:lastRowFirstColumn="0" w:lastRowLastColumn="0"/>
          <w:wAfter w:w="50" w:type="dxa"/>
          <w:trHeight w:val="255"/>
        </w:trPr>
        <w:tc>
          <w:tcPr>
            <w:cnfStyle w:val="001000000000" w:firstRow="0" w:lastRow="0" w:firstColumn="1" w:lastColumn="0" w:oddVBand="0" w:evenVBand="0" w:oddHBand="0" w:evenHBand="0" w:firstRowFirstColumn="0" w:firstRowLastColumn="0" w:lastRowFirstColumn="0" w:lastRowLastColumn="0"/>
            <w:tcW w:w="2846" w:type="dxa"/>
            <w:noWrap/>
            <w:hideMark/>
          </w:tcPr>
          <w:p w:rsidR="00727AF0" w:rsidRPr="00F0793A" w:rsidRDefault="002722C3" w:rsidP="00B90135">
            <w:pPr>
              <w:spacing w:after="0"/>
              <w:jc w:val="left"/>
              <w:rPr>
                <w:sz w:val="18"/>
                <w:szCs w:val="18"/>
                <w:lang w:eastAsia="en-GB"/>
              </w:rPr>
            </w:pPr>
            <w:r>
              <w:rPr>
                <w:sz w:val="18"/>
                <w:szCs w:val="18"/>
                <w:lang w:eastAsia="en-GB"/>
              </w:rPr>
              <w:t>Country</w:t>
            </w:r>
          </w:p>
        </w:tc>
        <w:tc>
          <w:tcPr>
            <w:tcW w:w="583" w:type="dxa"/>
            <w:noWrap/>
            <w:hideMark/>
          </w:tcPr>
          <w:p w:rsidR="00727AF0" w:rsidRPr="00F0793A" w:rsidRDefault="002722C3" w:rsidP="00B90135">
            <w:pPr>
              <w:spacing w:after="0"/>
              <w:jc w:val="right"/>
              <w:cnfStyle w:val="100000000000" w:firstRow="1"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1</w:t>
            </w:r>
          </w:p>
        </w:tc>
        <w:tc>
          <w:tcPr>
            <w:tcW w:w="1127" w:type="dxa"/>
            <w:gridSpan w:val="2"/>
            <w:noWrap/>
            <w:hideMark/>
          </w:tcPr>
          <w:p w:rsidR="00727AF0" w:rsidRPr="00F0793A" w:rsidRDefault="002722C3" w:rsidP="00B90135">
            <w:pPr>
              <w:spacing w:after="0"/>
              <w:jc w:val="right"/>
              <w:cnfStyle w:val="100000000000" w:firstRow="1"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2</w:t>
            </w:r>
          </w:p>
        </w:tc>
        <w:tc>
          <w:tcPr>
            <w:tcW w:w="960" w:type="dxa"/>
            <w:gridSpan w:val="2"/>
            <w:noWrap/>
            <w:hideMark/>
          </w:tcPr>
          <w:p w:rsidR="00727AF0" w:rsidRPr="00F0793A" w:rsidRDefault="002722C3" w:rsidP="00B90135">
            <w:pPr>
              <w:spacing w:after="0"/>
              <w:jc w:val="right"/>
              <w:cnfStyle w:val="100000000000" w:firstRow="1"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3</w:t>
            </w:r>
          </w:p>
        </w:tc>
        <w:tc>
          <w:tcPr>
            <w:tcW w:w="960" w:type="dxa"/>
            <w:gridSpan w:val="2"/>
            <w:noWrap/>
            <w:hideMark/>
          </w:tcPr>
          <w:p w:rsidR="00727AF0" w:rsidRPr="00F0793A" w:rsidRDefault="002722C3" w:rsidP="00B90135">
            <w:pPr>
              <w:spacing w:after="0"/>
              <w:jc w:val="right"/>
              <w:cnfStyle w:val="100000000000" w:firstRow="1"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4</w:t>
            </w:r>
          </w:p>
        </w:tc>
        <w:tc>
          <w:tcPr>
            <w:tcW w:w="960" w:type="dxa"/>
            <w:gridSpan w:val="2"/>
            <w:noWrap/>
            <w:hideMark/>
          </w:tcPr>
          <w:p w:rsidR="00727AF0" w:rsidRPr="00F0793A" w:rsidRDefault="002722C3" w:rsidP="00B90135">
            <w:pPr>
              <w:spacing w:after="0"/>
              <w:jc w:val="right"/>
              <w:cnfStyle w:val="100000000000" w:firstRow="1"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5</w:t>
            </w:r>
          </w:p>
        </w:tc>
        <w:tc>
          <w:tcPr>
            <w:tcW w:w="960" w:type="dxa"/>
            <w:gridSpan w:val="2"/>
            <w:noWrap/>
            <w:hideMark/>
          </w:tcPr>
          <w:p w:rsidR="00727AF0" w:rsidRPr="00F0793A" w:rsidRDefault="002722C3" w:rsidP="00B90135">
            <w:pPr>
              <w:spacing w:after="0"/>
              <w:jc w:val="right"/>
              <w:cnfStyle w:val="100000000000" w:firstRow="1"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6</w:t>
            </w:r>
          </w:p>
        </w:tc>
        <w:tc>
          <w:tcPr>
            <w:tcW w:w="960" w:type="dxa"/>
            <w:gridSpan w:val="2"/>
            <w:noWrap/>
            <w:hideMark/>
          </w:tcPr>
          <w:p w:rsidR="00727AF0" w:rsidRPr="00F0793A" w:rsidRDefault="002722C3" w:rsidP="00B90135">
            <w:pPr>
              <w:spacing w:after="0"/>
              <w:jc w:val="right"/>
              <w:cnfStyle w:val="100000000000" w:firstRow="1"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7</w:t>
            </w:r>
          </w:p>
        </w:tc>
      </w:tr>
      <w:tr w:rsidR="00727AF0" w:rsidRPr="00F0793A" w:rsidTr="00B901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46" w:type="dxa"/>
            <w:noWrap/>
            <w:hideMark/>
          </w:tcPr>
          <w:p w:rsidR="00727AF0" w:rsidRPr="00F0793A" w:rsidRDefault="00727AF0" w:rsidP="00B90135">
            <w:pPr>
              <w:spacing w:after="0"/>
              <w:jc w:val="left"/>
              <w:rPr>
                <w:sz w:val="18"/>
                <w:szCs w:val="18"/>
                <w:lang w:eastAsia="en-GB"/>
              </w:rPr>
            </w:pPr>
            <w:r>
              <w:rPr>
                <w:sz w:val="18"/>
                <w:szCs w:val="18"/>
                <w:lang w:eastAsia="en-GB"/>
              </w:rPr>
              <w:t>T</w:t>
            </w:r>
            <w:r w:rsidRPr="00F0793A">
              <w:rPr>
                <w:sz w:val="18"/>
                <w:szCs w:val="18"/>
                <w:lang w:eastAsia="en-GB"/>
              </w:rPr>
              <w:t>otal</w:t>
            </w:r>
          </w:p>
        </w:tc>
        <w:tc>
          <w:tcPr>
            <w:tcW w:w="800" w:type="dxa"/>
            <w:gridSpan w:val="2"/>
            <w:noWrap/>
            <w:hideMark/>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-2.4%</w:t>
            </w:r>
          </w:p>
        </w:tc>
        <w:tc>
          <w:tcPr>
            <w:tcW w:w="960" w:type="dxa"/>
            <w:gridSpan w:val="2"/>
            <w:noWrap/>
            <w:hideMark/>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-3.4%</w:t>
            </w:r>
          </w:p>
        </w:tc>
        <w:tc>
          <w:tcPr>
            <w:tcW w:w="960" w:type="dxa"/>
            <w:gridSpan w:val="2"/>
            <w:noWrap/>
            <w:hideMark/>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-0.4%</w:t>
            </w:r>
          </w:p>
        </w:tc>
        <w:tc>
          <w:tcPr>
            <w:tcW w:w="960" w:type="dxa"/>
            <w:gridSpan w:val="2"/>
            <w:noWrap/>
            <w:hideMark/>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0.6%</w:t>
            </w:r>
          </w:p>
        </w:tc>
        <w:tc>
          <w:tcPr>
            <w:tcW w:w="960" w:type="dxa"/>
            <w:gridSpan w:val="2"/>
            <w:noWrap/>
            <w:hideMark/>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-1.4%</w:t>
            </w:r>
          </w:p>
        </w:tc>
        <w:tc>
          <w:tcPr>
            <w:tcW w:w="960" w:type="dxa"/>
            <w:gridSpan w:val="2"/>
            <w:noWrap/>
            <w:hideMark/>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-2.4%</w:t>
            </w:r>
          </w:p>
        </w:tc>
        <w:tc>
          <w:tcPr>
            <w:tcW w:w="960" w:type="dxa"/>
            <w:gridSpan w:val="2"/>
            <w:noWrap/>
            <w:hideMark/>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-1.4%</w:t>
            </w:r>
          </w:p>
        </w:tc>
      </w:tr>
      <w:tr w:rsidR="00727AF0" w:rsidRPr="00F0793A" w:rsidTr="00B90135">
        <w:trPr>
          <w:trHeight w:val="255"/>
        </w:trPr>
        <w:tc>
          <w:tcPr>
            <w:cnfStyle w:val="001000000000" w:firstRow="0" w:lastRow="0" w:firstColumn="1" w:lastColumn="0" w:oddVBand="0" w:evenVBand="0" w:oddHBand="0" w:evenHBand="0" w:firstRowFirstColumn="0" w:firstRowLastColumn="0" w:lastRowFirstColumn="0" w:lastRowLastColumn="0"/>
            <w:tcW w:w="2846" w:type="dxa"/>
            <w:tcBorders>
              <w:bottom w:val="single" w:sz="8" w:space="0" w:color="8064A2" w:themeColor="accent4"/>
            </w:tcBorders>
            <w:noWrap/>
            <w:hideMark/>
          </w:tcPr>
          <w:p w:rsidR="00727AF0" w:rsidRPr="00F0793A" w:rsidRDefault="00727AF0" w:rsidP="00B90135">
            <w:pPr>
              <w:spacing w:after="0"/>
              <w:jc w:val="left"/>
              <w:rPr>
                <w:sz w:val="18"/>
                <w:szCs w:val="18"/>
                <w:lang w:eastAsia="en-GB"/>
              </w:rPr>
            </w:pPr>
            <w:r w:rsidRPr="00F0793A">
              <w:rPr>
                <w:sz w:val="18"/>
                <w:szCs w:val="18"/>
                <w:lang w:eastAsia="en-GB"/>
              </w:rPr>
              <w:t>CPA_C</w:t>
            </w:r>
          </w:p>
        </w:tc>
        <w:tc>
          <w:tcPr>
            <w:tcW w:w="800" w:type="dxa"/>
            <w:gridSpan w:val="2"/>
            <w:tcBorders>
              <w:bottom w:val="single" w:sz="8" w:space="0" w:color="8064A2" w:themeColor="accent4"/>
            </w:tcBorders>
            <w:noWrap/>
            <w:hideMark/>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-0.8%</w:t>
            </w:r>
          </w:p>
        </w:tc>
        <w:tc>
          <w:tcPr>
            <w:tcW w:w="960" w:type="dxa"/>
            <w:gridSpan w:val="2"/>
            <w:tcBorders>
              <w:bottom w:val="single" w:sz="8" w:space="0" w:color="8064A2" w:themeColor="accent4"/>
            </w:tcBorders>
            <w:noWrap/>
            <w:hideMark/>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-3.0%</w:t>
            </w:r>
          </w:p>
        </w:tc>
        <w:tc>
          <w:tcPr>
            <w:tcW w:w="960" w:type="dxa"/>
            <w:gridSpan w:val="2"/>
            <w:tcBorders>
              <w:bottom w:val="single" w:sz="8" w:space="0" w:color="8064A2" w:themeColor="accent4"/>
            </w:tcBorders>
            <w:noWrap/>
            <w:hideMark/>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-0.2%</w:t>
            </w:r>
          </w:p>
        </w:tc>
        <w:tc>
          <w:tcPr>
            <w:tcW w:w="960" w:type="dxa"/>
            <w:gridSpan w:val="2"/>
            <w:tcBorders>
              <w:bottom w:val="single" w:sz="8" w:space="0" w:color="8064A2" w:themeColor="accent4"/>
            </w:tcBorders>
            <w:noWrap/>
            <w:hideMark/>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-0.5</w:t>
            </w:r>
            <w:r w:rsidRPr="00F0793A">
              <w:rPr>
                <w:sz w:val="18"/>
                <w:szCs w:val="18"/>
                <w:lang w:eastAsia="en-GB"/>
              </w:rPr>
              <w:t>%</w:t>
            </w:r>
          </w:p>
        </w:tc>
        <w:tc>
          <w:tcPr>
            <w:tcW w:w="960" w:type="dxa"/>
            <w:gridSpan w:val="2"/>
            <w:tcBorders>
              <w:bottom w:val="single" w:sz="8" w:space="0" w:color="8064A2" w:themeColor="accent4"/>
            </w:tcBorders>
            <w:noWrap/>
            <w:hideMark/>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-1.1%</w:t>
            </w:r>
          </w:p>
        </w:tc>
        <w:tc>
          <w:tcPr>
            <w:tcW w:w="960" w:type="dxa"/>
            <w:gridSpan w:val="2"/>
            <w:tcBorders>
              <w:bottom w:val="single" w:sz="8" w:space="0" w:color="8064A2" w:themeColor="accent4"/>
            </w:tcBorders>
            <w:noWrap/>
            <w:hideMark/>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-1.2%</w:t>
            </w:r>
          </w:p>
        </w:tc>
        <w:tc>
          <w:tcPr>
            <w:tcW w:w="960" w:type="dxa"/>
            <w:gridSpan w:val="2"/>
            <w:tcBorders>
              <w:bottom w:val="single" w:sz="8" w:space="0" w:color="8064A2" w:themeColor="accent4"/>
            </w:tcBorders>
            <w:noWrap/>
            <w:hideMark/>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-0.3%</w:t>
            </w:r>
          </w:p>
        </w:tc>
      </w:tr>
      <w:tr w:rsidR="00727AF0" w:rsidRPr="00F0793A" w:rsidTr="00B901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46" w:type="dxa"/>
            <w:tcBorders>
              <w:bottom w:val="single" w:sz="24" w:space="0" w:color="8064A2" w:themeColor="accent4"/>
            </w:tcBorders>
            <w:noWrap/>
            <w:hideMark/>
          </w:tcPr>
          <w:p w:rsidR="00727AF0" w:rsidRPr="00F0793A" w:rsidRDefault="00727AF0" w:rsidP="00B90135">
            <w:pPr>
              <w:spacing w:after="0"/>
              <w:jc w:val="left"/>
              <w:rPr>
                <w:sz w:val="18"/>
                <w:szCs w:val="18"/>
                <w:lang w:eastAsia="en-GB"/>
              </w:rPr>
            </w:pPr>
            <w:r w:rsidRPr="00F0793A">
              <w:rPr>
                <w:sz w:val="18"/>
                <w:szCs w:val="18"/>
                <w:lang w:eastAsia="en-GB"/>
              </w:rPr>
              <w:t>CPA_G</w:t>
            </w:r>
          </w:p>
        </w:tc>
        <w:tc>
          <w:tcPr>
            <w:tcW w:w="800" w:type="dxa"/>
            <w:gridSpan w:val="2"/>
            <w:tcBorders>
              <w:bottom w:val="single" w:sz="24" w:space="0" w:color="8064A2" w:themeColor="accent4"/>
            </w:tcBorders>
            <w:noWrap/>
            <w:hideMark/>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-1.3%</w:t>
            </w:r>
          </w:p>
        </w:tc>
        <w:tc>
          <w:tcPr>
            <w:tcW w:w="960" w:type="dxa"/>
            <w:gridSpan w:val="2"/>
            <w:tcBorders>
              <w:bottom w:val="single" w:sz="24" w:space="0" w:color="8064A2" w:themeColor="accent4"/>
            </w:tcBorders>
            <w:noWrap/>
            <w:hideMark/>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-0.8%</w:t>
            </w:r>
          </w:p>
        </w:tc>
        <w:tc>
          <w:tcPr>
            <w:tcW w:w="960" w:type="dxa"/>
            <w:gridSpan w:val="2"/>
            <w:tcBorders>
              <w:bottom w:val="single" w:sz="24" w:space="0" w:color="8064A2" w:themeColor="accent4"/>
            </w:tcBorders>
            <w:noWrap/>
            <w:hideMark/>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0.1%</w:t>
            </w:r>
          </w:p>
        </w:tc>
        <w:tc>
          <w:tcPr>
            <w:tcW w:w="960" w:type="dxa"/>
            <w:gridSpan w:val="2"/>
            <w:tcBorders>
              <w:bottom w:val="single" w:sz="24" w:space="0" w:color="8064A2" w:themeColor="accent4"/>
            </w:tcBorders>
            <w:noWrap/>
            <w:hideMark/>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-0.3%</w:t>
            </w:r>
          </w:p>
        </w:tc>
        <w:tc>
          <w:tcPr>
            <w:tcW w:w="960" w:type="dxa"/>
            <w:gridSpan w:val="2"/>
            <w:tcBorders>
              <w:bottom w:val="single" w:sz="24" w:space="0" w:color="8064A2" w:themeColor="accent4"/>
            </w:tcBorders>
            <w:noWrap/>
            <w:hideMark/>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0.0%</w:t>
            </w:r>
          </w:p>
        </w:tc>
        <w:tc>
          <w:tcPr>
            <w:tcW w:w="960" w:type="dxa"/>
            <w:gridSpan w:val="2"/>
            <w:tcBorders>
              <w:bottom w:val="single" w:sz="24" w:space="0" w:color="8064A2" w:themeColor="accent4"/>
            </w:tcBorders>
            <w:noWrap/>
            <w:hideMark/>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-1.2%</w:t>
            </w:r>
          </w:p>
        </w:tc>
        <w:tc>
          <w:tcPr>
            <w:tcW w:w="960" w:type="dxa"/>
            <w:gridSpan w:val="2"/>
            <w:tcBorders>
              <w:bottom w:val="single" w:sz="24" w:space="0" w:color="8064A2" w:themeColor="accent4"/>
            </w:tcBorders>
            <w:noWrap/>
            <w:hideMark/>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-0.3%</w:t>
            </w:r>
          </w:p>
        </w:tc>
      </w:tr>
      <w:tr w:rsidR="00727AF0" w:rsidRPr="00F0793A" w:rsidTr="00B90135">
        <w:trPr>
          <w:trHeight w:val="255"/>
        </w:trPr>
        <w:tc>
          <w:tcPr>
            <w:cnfStyle w:val="001000000000" w:firstRow="0" w:lastRow="0" w:firstColumn="1" w:lastColumn="0" w:oddVBand="0" w:evenVBand="0" w:oddHBand="0" w:evenHBand="0" w:firstRowFirstColumn="0" w:firstRowLastColumn="0" w:lastRowFirstColumn="0" w:lastRowLastColumn="0"/>
            <w:tcW w:w="2846" w:type="dxa"/>
            <w:tcBorders>
              <w:top w:val="single" w:sz="24" w:space="0" w:color="8064A2" w:themeColor="accent4"/>
            </w:tcBorders>
            <w:noWrap/>
            <w:vAlign w:val="bottom"/>
          </w:tcPr>
          <w:p w:rsidR="00727AF0" w:rsidRPr="00F0793A" w:rsidRDefault="00727AF0" w:rsidP="00B90135">
            <w:pPr>
              <w:spacing w:after="0"/>
              <w:jc w:val="left"/>
              <w:rPr>
                <w:sz w:val="18"/>
                <w:szCs w:val="18"/>
                <w:lang w:eastAsia="en-GB"/>
              </w:rPr>
            </w:pPr>
            <w:r w:rsidRPr="00F0793A">
              <w:rPr>
                <w:sz w:val="18"/>
                <w:szCs w:val="18"/>
                <w:lang w:eastAsia="en-GB"/>
              </w:rPr>
              <w:t>CPA_C13T15</w:t>
            </w:r>
            <w:r>
              <w:rPr>
                <w:sz w:val="18"/>
                <w:szCs w:val="18"/>
                <w:lang w:eastAsia="en-GB"/>
              </w:rPr>
              <w:t xml:space="preserve"> textiles</w:t>
            </w:r>
          </w:p>
        </w:tc>
        <w:tc>
          <w:tcPr>
            <w:tcW w:w="800" w:type="dxa"/>
            <w:gridSpan w:val="2"/>
            <w:tcBorders>
              <w:top w:val="single" w:sz="24" w:space="0" w:color="8064A2" w:themeColor="accent4"/>
              <w:bottom w:val="single" w:sz="8" w:space="0" w:color="8064A2" w:themeColor="accent4"/>
            </w:tcBorders>
            <w:shd w:val="clear" w:color="auto" w:fill="E5DFEC" w:themeFill="accent4" w:themeFillTint="33"/>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-0.4%</w:t>
            </w:r>
          </w:p>
        </w:tc>
        <w:tc>
          <w:tcPr>
            <w:tcW w:w="960" w:type="dxa"/>
            <w:gridSpan w:val="2"/>
            <w:tcBorders>
              <w:top w:val="single" w:sz="24" w:space="0" w:color="8064A2" w:themeColor="accent4"/>
              <w:bottom w:val="single" w:sz="8" w:space="0" w:color="8064A2" w:themeColor="accent4"/>
            </w:tcBorders>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-1.1%</w:t>
            </w:r>
          </w:p>
        </w:tc>
        <w:tc>
          <w:tcPr>
            <w:tcW w:w="960" w:type="dxa"/>
            <w:gridSpan w:val="2"/>
            <w:tcBorders>
              <w:top w:val="single" w:sz="24" w:space="0" w:color="8064A2" w:themeColor="accent4"/>
            </w:tcBorders>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-0.2%</w:t>
            </w:r>
          </w:p>
        </w:tc>
        <w:tc>
          <w:tcPr>
            <w:tcW w:w="960" w:type="dxa"/>
            <w:gridSpan w:val="2"/>
            <w:tcBorders>
              <w:top w:val="single" w:sz="24" w:space="0" w:color="8064A2" w:themeColor="accent4"/>
            </w:tcBorders>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w:t>
            </w:r>
            <w:r w:rsidRPr="00F0793A">
              <w:rPr>
                <w:sz w:val="18"/>
                <w:szCs w:val="18"/>
                <w:lang w:eastAsia="en-GB"/>
              </w:rPr>
              <w:t>0.</w:t>
            </w:r>
            <w:r>
              <w:rPr>
                <w:sz w:val="18"/>
                <w:szCs w:val="18"/>
                <w:lang w:eastAsia="en-GB"/>
              </w:rPr>
              <w:t>1</w:t>
            </w:r>
            <w:r w:rsidRPr="00F0793A">
              <w:rPr>
                <w:sz w:val="18"/>
                <w:szCs w:val="18"/>
                <w:lang w:eastAsia="en-GB"/>
              </w:rPr>
              <w:t>%</w:t>
            </w:r>
          </w:p>
        </w:tc>
        <w:tc>
          <w:tcPr>
            <w:tcW w:w="960" w:type="dxa"/>
            <w:gridSpan w:val="2"/>
            <w:tcBorders>
              <w:top w:val="single" w:sz="24" w:space="0" w:color="8064A2" w:themeColor="accent4"/>
              <w:bottom w:val="single" w:sz="8" w:space="0" w:color="8064A2" w:themeColor="accent4"/>
            </w:tcBorders>
            <w:shd w:val="clear" w:color="auto" w:fill="E5DFEC" w:themeFill="accent4" w:themeFillTint="33"/>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-0.6%</w:t>
            </w:r>
          </w:p>
        </w:tc>
        <w:tc>
          <w:tcPr>
            <w:tcW w:w="960" w:type="dxa"/>
            <w:gridSpan w:val="2"/>
            <w:tcBorders>
              <w:top w:val="single" w:sz="24" w:space="0" w:color="8064A2" w:themeColor="accent4"/>
            </w:tcBorders>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-0.4%</w:t>
            </w:r>
          </w:p>
        </w:tc>
        <w:tc>
          <w:tcPr>
            <w:tcW w:w="960" w:type="dxa"/>
            <w:gridSpan w:val="2"/>
            <w:tcBorders>
              <w:top w:val="single" w:sz="24" w:space="0" w:color="8064A2" w:themeColor="accent4"/>
            </w:tcBorders>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-0.3%</w:t>
            </w:r>
          </w:p>
        </w:tc>
      </w:tr>
      <w:tr w:rsidR="00727AF0" w:rsidRPr="00F0793A" w:rsidTr="00B901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46" w:type="dxa"/>
            <w:noWrap/>
            <w:vAlign w:val="bottom"/>
          </w:tcPr>
          <w:p w:rsidR="00727AF0" w:rsidRPr="00F0793A" w:rsidRDefault="00727AF0" w:rsidP="00B90135">
            <w:pPr>
              <w:spacing w:after="0"/>
              <w:jc w:val="left"/>
              <w:rPr>
                <w:sz w:val="18"/>
                <w:szCs w:val="18"/>
                <w:lang w:eastAsia="en-GB"/>
              </w:rPr>
            </w:pPr>
            <w:r w:rsidRPr="00F0793A">
              <w:rPr>
                <w:sz w:val="18"/>
                <w:szCs w:val="18"/>
                <w:lang w:eastAsia="en-GB"/>
              </w:rPr>
              <w:t>CPA_C16</w:t>
            </w:r>
            <w:r>
              <w:rPr>
                <w:sz w:val="18"/>
                <w:szCs w:val="18"/>
                <w:lang w:eastAsia="en-GB"/>
              </w:rPr>
              <w:t xml:space="preserve"> wood</w:t>
            </w:r>
          </w:p>
        </w:tc>
        <w:tc>
          <w:tcPr>
            <w:tcW w:w="800" w:type="dxa"/>
            <w:gridSpan w:val="2"/>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0.0%</w:t>
            </w:r>
          </w:p>
        </w:tc>
        <w:tc>
          <w:tcPr>
            <w:tcW w:w="960" w:type="dxa"/>
            <w:gridSpan w:val="2"/>
            <w:shd w:val="clear" w:color="auto" w:fill="E5DFEC" w:themeFill="accent4" w:themeFillTint="33"/>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-5.1%</w:t>
            </w:r>
          </w:p>
        </w:tc>
        <w:tc>
          <w:tcPr>
            <w:tcW w:w="960" w:type="dxa"/>
            <w:gridSpan w:val="2"/>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0.0%</w:t>
            </w:r>
          </w:p>
        </w:tc>
        <w:tc>
          <w:tcPr>
            <w:tcW w:w="960" w:type="dxa"/>
            <w:gridSpan w:val="2"/>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0.0</w:t>
            </w:r>
            <w:r w:rsidRPr="00F0793A">
              <w:rPr>
                <w:sz w:val="18"/>
                <w:szCs w:val="18"/>
                <w:lang w:eastAsia="en-GB"/>
              </w:rPr>
              <w:t>%</w:t>
            </w:r>
          </w:p>
        </w:tc>
        <w:tc>
          <w:tcPr>
            <w:tcW w:w="960" w:type="dxa"/>
            <w:gridSpan w:val="2"/>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0.0%</w:t>
            </w:r>
          </w:p>
        </w:tc>
        <w:tc>
          <w:tcPr>
            <w:tcW w:w="960" w:type="dxa"/>
            <w:gridSpan w:val="2"/>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-0.6%</w:t>
            </w:r>
          </w:p>
        </w:tc>
        <w:tc>
          <w:tcPr>
            <w:tcW w:w="960" w:type="dxa"/>
            <w:gridSpan w:val="2"/>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0.0%</w:t>
            </w:r>
          </w:p>
        </w:tc>
      </w:tr>
      <w:tr w:rsidR="00727AF0" w:rsidRPr="00F0793A" w:rsidTr="00B90135">
        <w:trPr>
          <w:trHeight w:val="255"/>
        </w:trPr>
        <w:tc>
          <w:tcPr>
            <w:cnfStyle w:val="001000000000" w:firstRow="0" w:lastRow="0" w:firstColumn="1" w:lastColumn="0" w:oddVBand="0" w:evenVBand="0" w:oddHBand="0" w:evenHBand="0" w:firstRowFirstColumn="0" w:firstRowLastColumn="0" w:lastRowFirstColumn="0" w:lastRowLastColumn="0"/>
            <w:tcW w:w="2846" w:type="dxa"/>
            <w:noWrap/>
            <w:vAlign w:val="bottom"/>
          </w:tcPr>
          <w:p w:rsidR="00727AF0" w:rsidRPr="00F0793A" w:rsidRDefault="00727AF0" w:rsidP="00B90135">
            <w:pPr>
              <w:spacing w:after="0"/>
              <w:jc w:val="left"/>
              <w:rPr>
                <w:sz w:val="18"/>
                <w:szCs w:val="18"/>
                <w:lang w:eastAsia="en-GB"/>
              </w:rPr>
            </w:pPr>
            <w:r w:rsidRPr="00F0793A">
              <w:rPr>
                <w:sz w:val="18"/>
                <w:szCs w:val="18"/>
                <w:lang w:eastAsia="en-GB"/>
              </w:rPr>
              <w:t>CPA_C19</w:t>
            </w:r>
            <w:r>
              <w:rPr>
                <w:sz w:val="18"/>
                <w:szCs w:val="18"/>
                <w:lang w:eastAsia="en-GB"/>
              </w:rPr>
              <w:t xml:space="preserve"> petroleum products</w:t>
            </w:r>
          </w:p>
        </w:tc>
        <w:tc>
          <w:tcPr>
            <w:tcW w:w="800" w:type="dxa"/>
            <w:gridSpan w:val="2"/>
            <w:tcBorders>
              <w:top w:val="single" w:sz="8" w:space="0" w:color="8064A2" w:themeColor="accent4"/>
              <w:bottom w:val="single" w:sz="8" w:space="0" w:color="8064A2" w:themeColor="accent4"/>
            </w:tcBorders>
            <w:shd w:val="clear" w:color="auto" w:fill="E5DFEC" w:themeFill="accent4" w:themeFillTint="33"/>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0.6%</w:t>
            </w:r>
          </w:p>
        </w:tc>
        <w:tc>
          <w:tcPr>
            <w:tcW w:w="960" w:type="dxa"/>
            <w:gridSpan w:val="2"/>
            <w:tcBorders>
              <w:bottom w:val="single" w:sz="8" w:space="0" w:color="8064A2" w:themeColor="accent4"/>
            </w:tcBorders>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2.5%</w:t>
            </w:r>
          </w:p>
        </w:tc>
        <w:tc>
          <w:tcPr>
            <w:tcW w:w="960" w:type="dxa"/>
            <w:gridSpan w:val="2"/>
            <w:tcBorders>
              <w:top w:val="single" w:sz="8" w:space="0" w:color="8064A2" w:themeColor="accent4"/>
              <w:bottom w:val="single" w:sz="8" w:space="0" w:color="8064A2" w:themeColor="accent4"/>
            </w:tcBorders>
            <w:shd w:val="clear" w:color="auto" w:fill="E5DFEC" w:themeFill="accent4" w:themeFillTint="33"/>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-0.5%</w:t>
            </w:r>
          </w:p>
        </w:tc>
        <w:tc>
          <w:tcPr>
            <w:tcW w:w="960" w:type="dxa"/>
            <w:gridSpan w:val="2"/>
            <w:tcBorders>
              <w:top w:val="single" w:sz="8" w:space="0" w:color="8064A2" w:themeColor="accent4"/>
              <w:bottom w:val="single" w:sz="8" w:space="0" w:color="8064A2" w:themeColor="accent4"/>
            </w:tcBorders>
            <w:shd w:val="clear" w:color="auto" w:fill="auto"/>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0.1</w:t>
            </w:r>
            <w:r w:rsidRPr="00F0793A">
              <w:rPr>
                <w:sz w:val="18"/>
                <w:szCs w:val="18"/>
                <w:lang w:eastAsia="en-GB"/>
              </w:rPr>
              <w:t>%</w:t>
            </w:r>
          </w:p>
        </w:tc>
        <w:tc>
          <w:tcPr>
            <w:tcW w:w="960" w:type="dxa"/>
            <w:gridSpan w:val="2"/>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0.0%</w:t>
            </w:r>
          </w:p>
        </w:tc>
        <w:tc>
          <w:tcPr>
            <w:tcW w:w="960" w:type="dxa"/>
            <w:gridSpan w:val="2"/>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0.0%</w:t>
            </w:r>
          </w:p>
        </w:tc>
        <w:tc>
          <w:tcPr>
            <w:tcW w:w="960" w:type="dxa"/>
            <w:gridSpan w:val="2"/>
            <w:tcBorders>
              <w:bottom w:val="single" w:sz="8" w:space="0" w:color="8064A2" w:themeColor="accent4"/>
            </w:tcBorders>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-0.1%</w:t>
            </w:r>
          </w:p>
        </w:tc>
      </w:tr>
      <w:tr w:rsidR="00727AF0" w:rsidRPr="00F0793A" w:rsidTr="00B901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46" w:type="dxa"/>
            <w:noWrap/>
            <w:vAlign w:val="bottom"/>
          </w:tcPr>
          <w:p w:rsidR="00727AF0" w:rsidRPr="00F0793A" w:rsidRDefault="00727AF0" w:rsidP="00B90135">
            <w:pPr>
              <w:spacing w:after="0"/>
              <w:jc w:val="left"/>
              <w:rPr>
                <w:sz w:val="18"/>
                <w:szCs w:val="18"/>
                <w:lang w:eastAsia="en-GB"/>
              </w:rPr>
            </w:pPr>
            <w:r w:rsidRPr="00F0793A">
              <w:rPr>
                <w:sz w:val="18"/>
                <w:szCs w:val="18"/>
                <w:lang w:eastAsia="en-GB"/>
              </w:rPr>
              <w:t>CPA_C20</w:t>
            </w:r>
            <w:r>
              <w:rPr>
                <w:sz w:val="18"/>
                <w:szCs w:val="18"/>
                <w:lang w:eastAsia="en-GB"/>
              </w:rPr>
              <w:t xml:space="preserve"> Chemicals</w:t>
            </w:r>
          </w:p>
        </w:tc>
        <w:tc>
          <w:tcPr>
            <w:tcW w:w="800" w:type="dxa"/>
            <w:gridSpan w:val="2"/>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0.0%</w:t>
            </w:r>
          </w:p>
        </w:tc>
        <w:tc>
          <w:tcPr>
            <w:tcW w:w="960" w:type="dxa"/>
            <w:gridSpan w:val="2"/>
            <w:shd w:val="clear" w:color="auto" w:fill="E5DFEC" w:themeFill="accent4" w:themeFillTint="33"/>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8.5%</w:t>
            </w:r>
          </w:p>
        </w:tc>
        <w:tc>
          <w:tcPr>
            <w:tcW w:w="960" w:type="dxa"/>
            <w:gridSpan w:val="2"/>
            <w:shd w:val="clear" w:color="auto" w:fill="E5DFEC" w:themeFill="accent4" w:themeFillTint="33"/>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-0.5%</w:t>
            </w:r>
          </w:p>
        </w:tc>
        <w:tc>
          <w:tcPr>
            <w:tcW w:w="960" w:type="dxa"/>
            <w:gridSpan w:val="2"/>
            <w:shd w:val="clear" w:color="auto" w:fill="E5DFEC" w:themeFill="accent4" w:themeFillTint="33"/>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w:t>
            </w:r>
            <w:r>
              <w:rPr>
                <w:sz w:val="18"/>
                <w:szCs w:val="18"/>
                <w:lang w:eastAsia="en-GB"/>
              </w:rPr>
              <w:t>0.1</w:t>
            </w:r>
            <w:r w:rsidRPr="00F0793A">
              <w:rPr>
                <w:sz w:val="18"/>
                <w:szCs w:val="18"/>
                <w:lang w:eastAsia="en-GB"/>
              </w:rPr>
              <w:t>%</w:t>
            </w:r>
          </w:p>
        </w:tc>
        <w:tc>
          <w:tcPr>
            <w:tcW w:w="960" w:type="dxa"/>
            <w:gridSpan w:val="2"/>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-0.2%</w:t>
            </w:r>
          </w:p>
        </w:tc>
        <w:tc>
          <w:tcPr>
            <w:tcW w:w="960" w:type="dxa"/>
            <w:gridSpan w:val="2"/>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0.4%</w:t>
            </w:r>
          </w:p>
        </w:tc>
        <w:tc>
          <w:tcPr>
            <w:tcW w:w="960" w:type="dxa"/>
            <w:gridSpan w:val="2"/>
            <w:tcBorders>
              <w:right w:val="nil"/>
            </w:tcBorders>
            <w:shd w:val="clear" w:color="auto" w:fill="E5DFEC" w:themeFill="accent4" w:themeFillTint="33"/>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-0.7%</w:t>
            </w:r>
          </w:p>
        </w:tc>
      </w:tr>
      <w:tr w:rsidR="00727AF0" w:rsidRPr="00F0793A" w:rsidTr="00B90135">
        <w:trPr>
          <w:trHeight w:val="255"/>
        </w:trPr>
        <w:tc>
          <w:tcPr>
            <w:cnfStyle w:val="001000000000" w:firstRow="0" w:lastRow="0" w:firstColumn="1" w:lastColumn="0" w:oddVBand="0" w:evenVBand="0" w:oddHBand="0" w:evenHBand="0" w:firstRowFirstColumn="0" w:firstRowLastColumn="0" w:lastRowFirstColumn="0" w:lastRowLastColumn="0"/>
            <w:tcW w:w="2846" w:type="dxa"/>
            <w:noWrap/>
            <w:vAlign w:val="bottom"/>
          </w:tcPr>
          <w:p w:rsidR="00727AF0" w:rsidRPr="00F0793A" w:rsidRDefault="00727AF0" w:rsidP="00B90135">
            <w:pPr>
              <w:spacing w:after="0"/>
              <w:jc w:val="left"/>
              <w:rPr>
                <w:sz w:val="18"/>
                <w:szCs w:val="18"/>
                <w:lang w:eastAsia="en-GB"/>
              </w:rPr>
            </w:pPr>
            <w:r w:rsidRPr="00F0793A">
              <w:rPr>
                <w:sz w:val="18"/>
                <w:szCs w:val="18"/>
                <w:lang w:eastAsia="en-GB"/>
              </w:rPr>
              <w:t>CPA_C21</w:t>
            </w:r>
            <w:r>
              <w:rPr>
                <w:sz w:val="18"/>
                <w:szCs w:val="18"/>
                <w:lang w:eastAsia="en-GB"/>
              </w:rPr>
              <w:t xml:space="preserve"> Basic pharmaceuticals</w:t>
            </w:r>
          </w:p>
        </w:tc>
        <w:tc>
          <w:tcPr>
            <w:tcW w:w="800" w:type="dxa"/>
            <w:gridSpan w:val="2"/>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0.0%</w:t>
            </w:r>
          </w:p>
        </w:tc>
        <w:tc>
          <w:tcPr>
            <w:tcW w:w="960" w:type="dxa"/>
            <w:gridSpan w:val="2"/>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2.9%</w:t>
            </w:r>
          </w:p>
        </w:tc>
        <w:tc>
          <w:tcPr>
            <w:tcW w:w="960" w:type="dxa"/>
            <w:gridSpan w:val="2"/>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-0.1%</w:t>
            </w:r>
          </w:p>
        </w:tc>
        <w:tc>
          <w:tcPr>
            <w:tcW w:w="960" w:type="dxa"/>
            <w:gridSpan w:val="2"/>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w:t>
            </w:r>
            <w:r>
              <w:rPr>
                <w:sz w:val="18"/>
                <w:szCs w:val="18"/>
                <w:lang w:eastAsia="en-GB"/>
              </w:rPr>
              <w:t>0.1</w:t>
            </w:r>
            <w:r w:rsidRPr="00F0793A">
              <w:rPr>
                <w:sz w:val="18"/>
                <w:szCs w:val="18"/>
                <w:lang w:eastAsia="en-GB"/>
              </w:rPr>
              <w:t>%</w:t>
            </w:r>
          </w:p>
        </w:tc>
        <w:tc>
          <w:tcPr>
            <w:tcW w:w="960" w:type="dxa"/>
            <w:gridSpan w:val="2"/>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0.0%</w:t>
            </w:r>
          </w:p>
        </w:tc>
        <w:tc>
          <w:tcPr>
            <w:tcW w:w="960" w:type="dxa"/>
            <w:gridSpan w:val="2"/>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1.0%</w:t>
            </w:r>
          </w:p>
        </w:tc>
        <w:tc>
          <w:tcPr>
            <w:tcW w:w="960" w:type="dxa"/>
            <w:gridSpan w:val="2"/>
            <w:tcBorders>
              <w:top w:val="single" w:sz="8" w:space="0" w:color="8064A2" w:themeColor="accent4"/>
              <w:bottom w:val="single" w:sz="8" w:space="0" w:color="8064A2" w:themeColor="accent4"/>
              <w:right w:val="nil"/>
            </w:tcBorders>
            <w:shd w:val="clear" w:color="auto" w:fill="E5DFEC" w:themeFill="accent4" w:themeFillTint="33"/>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-0.5%</w:t>
            </w:r>
          </w:p>
        </w:tc>
      </w:tr>
      <w:tr w:rsidR="00727AF0" w:rsidRPr="00F0793A" w:rsidTr="00B901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46" w:type="dxa"/>
            <w:noWrap/>
            <w:vAlign w:val="bottom"/>
          </w:tcPr>
          <w:p w:rsidR="00727AF0" w:rsidRPr="00F0793A" w:rsidRDefault="00727AF0" w:rsidP="00B90135">
            <w:pPr>
              <w:spacing w:after="0"/>
              <w:jc w:val="left"/>
              <w:rPr>
                <w:sz w:val="18"/>
                <w:szCs w:val="18"/>
                <w:lang w:eastAsia="en-GB"/>
              </w:rPr>
            </w:pPr>
            <w:r w:rsidRPr="00F0793A">
              <w:rPr>
                <w:sz w:val="18"/>
                <w:szCs w:val="18"/>
                <w:lang w:eastAsia="en-GB"/>
              </w:rPr>
              <w:t>CPA_C24</w:t>
            </w:r>
            <w:r>
              <w:rPr>
                <w:sz w:val="18"/>
                <w:szCs w:val="18"/>
                <w:lang w:eastAsia="en-GB"/>
              </w:rPr>
              <w:t xml:space="preserve"> Basic metals</w:t>
            </w:r>
          </w:p>
        </w:tc>
        <w:tc>
          <w:tcPr>
            <w:tcW w:w="800" w:type="dxa"/>
            <w:gridSpan w:val="2"/>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0.0%</w:t>
            </w:r>
          </w:p>
        </w:tc>
        <w:tc>
          <w:tcPr>
            <w:tcW w:w="960" w:type="dxa"/>
            <w:gridSpan w:val="2"/>
            <w:shd w:val="clear" w:color="auto" w:fill="E5DFEC" w:themeFill="accent4" w:themeFillTint="33"/>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4.1%</w:t>
            </w:r>
          </w:p>
        </w:tc>
        <w:tc>
          <w:tcPr>
            <w:tcW w:w="960" w:type="dxa"/>
            <w:gridSpan w:val="2"/>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-0.4%</w:t>
            </w:r>
          </w:p>
        </w:tc>
        <w:tc>
          <w:tcPr>
            <w:tcW w:w="960" w:type="dxa"/>
            <w:gridSpan w:val="2"/>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w:t>
            </w:r>
            <w:r>
              <w:rPr>
                <w:sz w:val="18"/>
                <w:szCs w:val="18"/>
                <w:lang w:eastAsia="en-GB"/>
              </w:rPr>
              <w:t>0.1</w:t>
            </w:r>
            <w:r w:rsidRPr="00F0793A">
              <w:rPr>
                <w:sz w:val="18"/>
                <w:szCs w:val="18"/>
                <w:lang w:eastAsia="en-GB"/>
              </w:rPr>
              <w:t>%</w:t>
            </w:r>
          </w:p>
        </w:tc>
        <w:tc>
          <w:tcPr>
            <w:tcW w:w="960" w:type="dxa"/>
            <w:gridSpan w:val="2"/>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-0.2%</w:t>
            </w:r>
          </w:p>
        </w:tc>
        <w:tc>
          <w:tcPr>
            <w:tcW w:w="960" w:type="dxa"/>
            <w:gridSpan w:val="2"/>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-1.5%</w:t>
            </w:r>
          </w:p>
        </w:tc>
        <w:tc>
          <w:tcPr>
            <w:tcW w:w="960" w:type="dxa"/>
            <w:gridSpan w:val="2"/>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-0.3%</w:t>
            </w:r>
          </w:p>
        </w:tc>
      </w:tr>
      <w:tr w:rsidR="00727AF0" w:rsidRPr="00F0793A" w:rsidTr="00B90135">
        <w:trPr>
          <w:trHeight w:val="255"/>
        </w:trPr>
        <w:tc>
          <w:tcPr>
            <w:cnfStyle w:val="001000000000" w:firstRow="0" w:lastRow="0" w:firstColumn="1" w:lastColumn="0" w:oddVBand="0" w:evenVBand="0" w:oddHBand="0" w:evenHBand="0" w:firstRowFirstColumn="0" w:firstRowLastColumn="0" w:lastRowFirstColumn="0" w:lastRowLastColumn="0"/>
            <w:tcW w:w="2846" w:type="dxa"/>
            <w:noWrap/>
            <w:vAlign w:val="bottom"/>
          </w:tcPr>
          <w:p w:rsidR="00727AF0" w:rsidRPr="00F0793A" w:rsidRDefault="00727AF0" w:rsidP="00B90135">
            <w:pPr>
              <w:spacing w:after="0"/>
              <w:jc w:val="left"/>
              <w:rPr>
                <w:sz w:val="18"/>
                <w:szCs w:val="18"/>
                <w:lang w:eastAsia="en-GB"/>
              </w:rPr>
            </w:pPr>
            <w:r w:rsidRPr="00F0793A">
              <w:rPr>
                <w:sz w:val="18"/>
                <w:szCs w:val="18"/>
                <w:lang w:eastAsia="en-GB"/>
              </w:rPr>
              <w:t>CPA_C26</w:t>
            </w:r>
            <w:r>
              <w:rPr>
                <w:sz w:val="18"/>
                <w:szCs w:val="18"/>
                <w:lang w:eastAsia="en-GB"/>
              </w:rPr>
              <w:t xml:space="preserve"> Computer, electronics</w:t>
            </w:r>
          </w:p>
        </w:tc>
        <w:tc>
          <w:tcPr>
            <w:tcW w:w="800" w:type="dxa"/>
            <w:gridSpan w:val="2"/>
            <w:tcBorders>
              <w:bottom w:val="single" w:sz="8" w:space="0" w:color="8064A2" w:themeColor="accent4"/>
            </w:tcBorders>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-0.2%</w:t>
            </w:r>
          </w:p>
        </w:tc>
        <w:tc>
          <w:tcPr>
            <w:tcW w:w="960" w:type="dxa"/>
            <w:gridSpan w:val="2"/>
            <w:tcBorders>
              <w:top w:val="single" w:sz="8" w:space="0" w:color="8064A2" w:themeColor="accent4"/>
              <w:bottom w:val="single" w:sz="8" w:space="0" w:color="8064A2" w:themeColor="accent4"/>
            </w:tcBorders>
            <w:shd w:val="clear" w:color="auto" w:fill="E5DFEC" w:themeFill="accent4" w:themeFillTint="33"/>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-4.0%</w:t>
            </w:r>
          </w:p>
        </w:tc>
        <w:tc>
          <w:tcPr>
            <w:tcW w:w="960" w:type="dxa"/>
            <w:gridSpan w:val="2"/>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-0.1%</w:t>
            </w:r>
          </w:p>
        </w:tc>
        <w:tc>
          <w:tcPr>
            <w:tcW w:w="960" w:type="dxa"/>
            <w:gridSpan w:val="2"/>
            <w:tcBorders>
              <w:top w:val="single" w:sz="8" w:space="0" w:color="8064A2" w:themeColor="accent4"/>
              <w:bottom w:val="single" w:sz="8" w:space="0" w:color="8064A2" w:themeColor="accent4"/>
            </w:tcBorders>
            <w:shd w:val="clear" w:color="auto" w:fill="auto"/>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-0.1</w:t>
            </w:r>
            <w:r w:rsidRPr="00F0793A">
              <w:rPr>
                <w:sz w:val="18"/>
                <w:szCs w:val="18"/>
                <w:lang w:eastAsia="en-GB"/>
              </w:rPr>
              <w:t>%</w:t>
            </w:r>
          </w:p>
        </w:tc>
        <w:tc>
          <w:tcPr>
            <w:tcW w:w="960" w:type="dxa"/>
            <w:gridSpan w:val="2"/>
            <w:tcBorders>
              <w:top w:val="single" w:sz="8" w:space="0" w:color="8064A2" w:themeColor="accent4"/>
              <w:bottom w:val="single" w:sz="8" w:space="0" w:color="8064A2" w:themeColor="accent4"/>
            </w:tcBorders>
            <w:shd w:val="clear" w:color="auto" w:fill="E5DFEC" w:themeFill="accent4" w:themeFillTint="33"/>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0.9%</w:t>
            </w:r>
          </w:p>
        </w:tc>
        <w:tc>
          <w:tcPr>
            <w:tcW w:w="960" w:type="dxa"/>
            <w:gridSpan w:val="2"/>
            <w:tcBorders>
              <w:top w:val="single" w:sz="8" w:space="0" w:color="8064A2" w:themeColor="accent4"/>
              <w:bottom w:val="nil"/>
            </w:tcBorders>
            <w:shd w:val="clear" w:color="auto" w:fill="E5DFEC" w:themeFill="accent4" w:themeFillTint="33"/>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-5.6%</w:t>
            </w:r>
          </w:p>
        </w:tc>
        <w:tc>
          <w:tcPr>
            <w:tcW w:w="960" w:type="dxa"/>
            <w:gridSpan w:val="2"/>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-0.4%</w:t>
            </w:r>
          </w:p>
        </w:tc>
      </w:tr>
      <w:tr w:rsidR="00727AF0" w:rsidRPr="00F0793A" w:rsidTr="00B901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46" w:type="dxa"/>
            <w:noWrap/>
            <w:vAlign w:val="bottom"/>
          </w:tcPr>
          <w:p w:rsidR="00727AF0" w:rsidRPr="00F0793A" w:rsidRDefault="00727AF0" w:rsidP="00B90135">
            <w:pPr>
              <w:spacing w:after="0"/>
              <w:jc w:val="left"/>
              <w:rPr>
                <w:sz w:val="18"/>
                <w:szCs w:val="18"/>
                <w:lang w:eastAsia="en-GB"/>
              </w:rPr>
            </w:pPr>
            <w:r w:rsidRPr="00F0793A">
              <w:rPr>
                <w:sz w:val="18"/>
                <w:szCs w:val="18"/>
                <w:lang w:eastAsia="en-GB"/>
              </w:rPr>
              <w:t>CPA_C27</w:t>
            </w:r>
            <w:r>
              <w:rPr>
                <w:sz w:val="18"/>
                <w:szCs w:val="18"/>
                <w:lang w:eastAsia="en-GB"/>
              </w:rPr>
              <w:t xml:space="preserve"> electrical equipment</w:t>
            </w:r>
          </w:p>
        </w:tc>
        <w:tc>
          <w:tcPr>
            <w:tcW w:w="800" w:type="dxa"/>
            <w:gridSpan w:val="2"/>
            <w:shd w:val="clear" w:color="auto" w:fill="E5DFEC" w:themeFill="accent4" w:themeFillTint="33"/>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-0.5%</w:t>
            </w:r>
          </w:p>
        </w:tc>
        <w:tc>
          <w:tcPr>
            <w:tcW w:w="960" w:type="dxa"/>
            <w:gridSpan w:val="2"/>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-2.8%</w:t>
            </w:r>
          </w:p>
        </w:tc>
        <w:tc>
          <w:tcPr>
            <w:tcW w:w="960" w:type="dxa"/>
            <w:gridSpan w:val="2"/>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-0.1%</w:t>
            </w:r>
          </w:p>
        </w:tc>
        <w:tc>
          <w:tcPr>
            <w:tcW w:w="960" w:type="dxa"/>
            <w:gridSpan w:val="2"/>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0.0%</w:t>
            </w:r>
          </w:p>
        </w:tc>
        <w:tc>
          <w:tcPr>
            <w:tcW w:w="960" w:type="dxa"/>
            <w:gridSpan w:val="2"/>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0.6%</w:t>
            </w:r>
          </w:p>
        </w:tc>
        <w:tc>
          <w:tcPr>
            <w:tcW w:w="960" w:type="dxa"/>
            <w:gridSpan w:val="2"/>
            <w:tcBorders>
              <w:top w:val="nil"/>
              <w:bottom w:val="nil"/>
            </w:tcBorders>
            <w:shd w:val="clear" w:color="auto" w:fill="E5DFEC" w:themeFill="accent4" w:themeFillTint="33"/>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-3.4%</w:t>
            </w:r>
          </w:p>
        </w:tc>
        <w:tc>
          <w:tcPr>
            <w:tcW w:w="960" w:type="dxa"/>
            <w:gridSpan w:val="2"/>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-0.3%</w:t>
            </w:r>
          </w:p>
        </w:tc>
      </w:tr>
      <w:tr w:rsidR="00727AF0" w:rsidRPr="00F0793A" w:rsidTr="00B90135">
        <w:trPr>
          <w:trHeight w:val="255"/>
        </w:trPr>
        <w:tc>
          <w:tcPr>
            <w:cnfStyle w:val="001000000000" w:firstRow="0" w:lastRow="0" w:firstColumn="1" w:lastColumn="0" w:oddVBand="0" w:evenVBand="0" w:oddHBand="0" w:evenHBand="0" w:firstRowFirstColumn="0" w:firstRowLastColumn="0" w:lastRowFirstColumn="0" w:lastRowLastColumn="0"/>
            <w:tcW w:w="2846" w:type="dxa"/>
            <w:noWrap/>
            <w:vAlign w:val="bottom"/>
          </w:tcPr>
          <w:p w:rsidR="00727AF0" w:rsidRPr="00F0793A" w:rsidRDefault="00727AF0" w:rsidP="00B90135">
            <w:pPr>
              <w:spacing w:after="0"/>
              <w:jc w:val="left"/>
              <w:rPr>
                <w:sz w:val="18"/>
                <w:szCs w:val="18"/>
                <w:lang w:eastAsia="en-GB"/>
              </w:rPr>
            </w:pPr>
            <w:r w:rsidRPr="00F0793A">
              <w:rPr>
                <w:sz w:val="18"/>
                <w:szCs w:val="18"/>
                <w:lang w:eastAsia="en-GB"/>
              </w:rPr>
              <w:t>CPA_C28</w:t>
            </w:r>
            <w:r>
              <w:rPr>
                <w:sz w:val="18"/>
                <w:szCs w:val="18"/>
                <w:lang w:eastAsia="en-GB"/>
              </w:rPr>
              <w:t xml:space="preserve"> machinery equipment</w:t>
            </w:r>
          </w:p>
        </w:tc>
        <w:tc>
          <w:tcPr>
            <w:tcW w:w="800" w:type="dxa"/>
            <w:gridSpan w:val="2"/>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0.0%</w:t>
            </w:r>
          </w:p>
        </w:tc>
        <w:tc>
          <w:tcPr>
            <w:tcW w:w="960" w:type="dxa"/>
            <w:gridSpan w:val="2"/>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1.0%</w:t>
            </w:r>
          </w:p>
        </w:tc>
        <w:tc>
          <w:tcPr>
            <w:tcW w:w="960" w:type="dxa"/>
            <w:gridSpan w:val="2"/>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-0.2%</w:t>
            </w:r>
          </w:p>
        </w:tc>
        <w:tc>
          <w:tcPr>
            <w:tcW w:w="960" w:type="dxa"/>
            <w:gridSpan w:val="2"/>
            <w:tcBorders>
              <w:bottom w:val="single" w:sz="8" w:space="0" w:color="8064A2" w:themeColor="accent4"/>
            </w:tcBorders>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-0.1</w:t>
            </w:r>
            <w:r w:rsidRPr="00F0793A">
              <w:rPr>
                <w:sz w:val="18"/>
                <w:szCs w:val="18"/>
                <w:lang w:eastAsia="en-GB"/>
              </w:rPr>
              <w:t>%</w:t>
            </w:r>
          </w:p>
        </w:tc>
        <w:tc>
          <w:tcPr>
            <w:tcW w:w="960" w:type="dxa"/>
            <w:gridSpan w:val="2"/>
            <w:tcBorders>
              <w:top w:val="single" w:sz="8" w:space="0" w:color="8064A2" w:themeColor="accent4"/>
              <w:bottom w:val="single" w:sz="8" w:space="0" w:color="8064A2" w:themeColor="accent4"/>
            </w:tcBorders>
            <w:shd w:val="clear" w:color="auto" w:fill="E5DFEC" w:themeFill="accent4" w:themeFillTint="33"/>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1.3%</w:t>
            </w:r>
          </w:p>
        </w:tc>
        <w:tc>
          <w:tcPr>
            <w:tcW w:w="960" w:type="dxa"/>
            <w:gridSpan w:val="2"/>
            <w:tcBorders>
              <w:top w:val="nil"/>
              <w:bottom w:val="nil"/>
            </w:tcBorders>
            <w:shd w:val="clear" w:color="auto" w:fill="E5DFEC" w:themeFill="accent4" w:themeFillTint="33"/>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-4.0%</w:t>
            </w:r>
          </w:p>
        </w:tc>
        <w:tc>
          <w:tcPr>
            <w:tcW w:w="960" w:type="dxa"/>
            <w:gridSpan w:val="2"/>
            <w:tcBorders>
              <w:top w:val="single" w:sz="8" w:space="0" w:color="8064A2" w:themeColor="accent4"/>
              <w:bottom w:val="nil"/>
              <w:right w:val="nil"/>
            </w:tcBorders>
            <w:shd w:val="clear" w:color="auto" w:fill="E5DFEC" w:themeFill="accent4" w:themeFillTint="33"/>
            <w:noWrap/>
            <w:vAlign w:val="bottom"/>
          </w:tcPr>
          <w:p w:rsidR="00727AF0" w:rsidRPr="00F0793A" w:rsidRDefault="00727AF0" w:rsidP="00B90135">
            <w:pPr>
              <w:spacing w:after="0"/>
              <w:jc w:val="right"/>
              <w:cnfStyle w:val="000000000000" w:firstRow="0" w:lastRow="0" w:firstColumn="0" w:lastColumn="0" w:oddVBand="0" w:evenVBand="0" w:oddHBand="0" w:evenHBand="0" w:firstRowFirstColumn="0" w:firstRowLastColumn="0" w:lastRowFirstColumn="0" w:lastRowLastColumn="0"/>
              <w:rPr>
                <w:sz w:val="18"/>
                <w:szCs w:val="18"/>
                <w:lang w:eastAsia="en-GB"/>
              </w:rPr>
            </w:pPr>
            <w:r w:rsidRPr="00F0793A">
              <w:rPr>
                <w:sz w:val="18"/>
                <w:szCs w:val="18"/>
                <w:lang w:eastAsia="en-GB"/>
              </w:rPr>
              <w:t>-0.5%</w:t>
            </w:r>
          </w:p>
        </w:tc>
      </w:tr>
      <w:tr w:rsidR="00727AF0" w:rsidRPr="00F0793A" w:rsidTr="00B901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46" w:type="dxa"/>
            <w:noWrap/>
            <w:vAlign w:val="bottom"/>
          </w:tcPr>
          <w:p w:rsidR="00727AF0" w:rsidRPr="00F0793A" w:rsidRDefault="00727AF0" w:rsidP="00B90135">
            <w:pPr>
              <w:spacing w:after="0"/>
              <w:jc w:val="left"/>
              <w:rPr>
                <w:sz w:val="18"/>
                <w:szCs w:val="18"/>
                <w:lang w:eastAsia="en-GB"/>
              </w:rPr>
            </w:pPr>
            <w:r w:rsidRPr="00F0793A">
              <w:rPr>
                <w:sz w:val="18"/>
                <w:szCs w:val="18"/>
                <w:lang w:eastAsia="en-GB"/>
              </w:rPr>
              <w:t>CPA_C29</w:t>
            </w:r>
            <w:r>
              <w:rPr>
                <w:sz w:val="18"/>
                <w:szCs w:val="18"/>
                <w:lang w:eastAsia="en-GB"/>
              </w:rPr>
              <w:t xml:space="preserve"> motor vehicles</w:t>
            </w:r>
          </w:p>
        </w:tc>
        <w:tc>
          <w:tcPr>
            <w:tcW w:w="800" w:type="dxa"/>
            <w:gridSpan w:val="2"/>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0.0%</w:t>
            </w:r>
          </w:p>
        </w:tc>
        <w:tc>
          <w:tcPr>
            <w:tcW w:w="960" w:type="dxa"/>
            <w:gridSpan w:val="2"/>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2.6%</w:t>
            </w:r>
          </w:p>
        </w:tc>
        <w:tc>
          <w:tcPr>
            <w:tcW w:w="960" w:type="dxa"/>
            <w:gridSpan w:val="2"/>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-0.1%</w:t>
            </w:r>
          </w:p>
        </w:tc>
        <w:tc>
          <w:tcPr>
            <w:tcW w:w="960" w:type="dxa"/>
            <w:gridSpan w:val="2"/>
            <w:shd w:val="clear" w:color="auto" w:fill="auto"/>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0.0</w:t>
            </w:r>
            <w:r w:rsidRPr="00F0793A">
              <w:rPr>
                <w:sz w:val="18"/>
                <w:szCs w:val="18"/>
                <w:lang w:eastAsia="en-GB"/>
              </w:rPr>
              <w:t>%</w:t>
            </w:r>
          </w:p>
        </w:tc>
        <w:tc>
          <w:tcPr>
            <w:tcW w:w="960" w:type="dxa"/>
            <w:gridSpan w:val="2"/>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0.0%</w:t>
            </w:r>
          </w:p>
        </w:tc>
        <w:tc>
          <w:tcPr>
            <w:tcW w:w="960" w:type="dxa"/>
            <w:gridSpan w:val="2"/>
            <w:tcBorders>
              <w:top w:val="nil"/>
            </w:tcBorders>
            <w:shd w:val="clear" w:color="auto" w:fill="E5DFEC" w:themeFill="accent4" w:themeFillTint="33"/>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-9.6%</w:t>
            </w:r>
          </w:p>
        </w:tc>
        <w:tc>
          <w:tcPr>
            <w:tcW w:w="960" w:type="dxa"/>
            <w:gridSpan w:val="2"/>
            <w:tcBorders>
              <w:top w:val="nil"/>
              <w:right w:val="nil"/>
            </w:tcBorders>
            <w:shd w:val="clear" w:color="auto" w:fill="E5DFEC" w:themeFill="accent4" w:themeFillTint="33"/>
            <w:noWrap/>
            <w:vAlign w:val="bottom"/>
          </w:tcPr>
          <w:p w:rsidR="00727AF0" w:rsidRPr="00F0793A" w:rsidRDefault="00727AF0" w:rsidP="00B90135">
            <w:pPr>
              <w:spacing w:after="0"/>
              <w:jc w:val="right"/>
              <w:cnfStyle w:val="000000100000" w:firstRow="0" w:lastRow="0" w:firstColumn="0" w:lastColumn="0" w:oddVBand="0" w:evenVBand="0" w:oddHBand="1" w:evenHBand="0" w:firstRowFirstColumn="0" w:firstRowLastColumn="0" w:lastRowFirstColumn="0" w:lastRowLastColumn="0"/>
              <w:rPr>
                <w:sz w:val="18"/>
                <w:szCs w:val="18"/>
                <w:lang w:eastAsia="en-GB"/>
              </w:rPr>
            </w:pPr>
            <w:r w:rsidRPr="00F0793A">
              <w:rPr>
                <w:sz w:val="18"/>
                <w:szCs w:val="18"/>
                <w:lang w:eastAsia="en-GB"/>
              </w:rPr>
              <w:t>-0.5%</w:t>
            </w:r>
          </w:p>
        </w:tc>
      </w:tr>
    </w:tbl>
    <w:p w:rsidR="00727AF0" w:rsidRDefault="00727AF0" w:rsidP="00727AF0"/>
    <w:p w:rsidR="00727AF0" w:rsidRDefault="00727AF0" w:rsidP="00727AF0">
      <w:r>
        <w:t>On the imports side, the ratio of imports over GDP decreases with similar amplitude as the export ratio. But the trade balance remains stable.</w:t>
      </w:r>
    </w:p>
    <w:p w:rsidR="00727AF0" w:rsidRPr="002722C3" w:rsidRDefault="00727AF0" w:rsidP="002722C3">
      <w:pPr>
        <w:rPr>
          <w:u w:val="single"/>
        </w:rPr>
      </w:pPr>
      <w:r w:rsidRPr="002722C3">
        <w:rPr>
          <w:u w:val="single"/>
        </w:rPr>
        <w:t xml:space="preserve">Table </w:t>
      </w:r>
      <w:r w:rsidR="002722C3" w:rsidRPr="002722C3">
        <w:rPr>
          <w:u w:val="single"/>
        </w:rPr>
        <w:t>7</w:t>
      </w:r>
      <w:r w:rsidRPr="002722C3">
        <w:rPr>
          <w:u w:val="single"/>
        </w:rPr>
        <w:t>: Ratio and revision percentage</w:t>
      </w:r>
    </w:p>
    <w:tbl>
      <w:tblPr>
        <w:tblStyle w:val="LightList-Accent4"/>
        <w:tblW w:w="8124" w:type="dxa"/>
        <w:tblLook w:val="04A0" w:firstRow="1" w:lastRow="0" w:firstColumn="1" w:lastColumn="0" w:noHBand="0" w:noVBand="1"/>
      </w:tblPr>
      <w:tblGrid>
        <w:gridCol w:w="2846"/>
        <w:gridCol w:w="754"/>
        <w:gridCol w:w="754"/>
        <w:gridCol w:w="754"/>
        <w:gridCol w:w="754"/>
        <w:gridCol w:w="754"/>
        <w:gridCol w:w="754"/>
        <w:gridCol w:w="754"/>
      </w:tblGrid>
      <w:tr w:rsidR="00727AF0" w:rsidRPr="00F0793A" w:rsidTr="00471DC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46" w:type="dxa"/>
            <w:noWrap/>
            <w:hideMark/>
          </w:tcPr>
          <w:p w:rsidR="00727AF0" w:rsidRPr="00F0793A" w:rsidRDefault="002722C3" w:rsidP="00B90135">
            <w:pPr>
              <w:spacing w:after="0"/>
              <w:jc w:val="left"/>
              <w:rPr>
                <w:sz w:val="18"/>
                <w:szCs w:val="18"/>
                <w:lang w:eastAsia="en-GB"/>
              </w:rPr>
            </w:pPr>
            <w:r>
              <w:rPr>
                <w:sz w:val="18"/>
                <w:szCs w:val="18"/>
                <w:lang w:eastAsia="en-GB"/>
              </w:rPr>
              <w:t>Country</w:t>
            </w:r>
          </w:p>
        </w:tc>
        <w:tc>
          <w:tcPr>
            <w:tcW w:w="754" w:type="dxa"/>
            <w:noWrap/>
            <w:hideMark/>
          </w:tcPr>
          <w:p w:rsidR="00727AF0" w:rsidRPr="00F0793A" w:rsidRDefault="002722C3" w:rsidP="00471DC9">
            <w:pPr>
              <w:spacing w:after="0"/>
              <w:jc w:val="center"/>
              <w:cnfStyle w:val="100000000000" w:firstRow="1"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1</w:t>
            </w:r>
          </w:p>
        </w:tc>
        <w:tc>
          <w:tcPr>
            <w:tcW w:w="754" w:type="dxa"/>
            <w:noWrap/>
            <w:hideMark/>
          </w:tcPr>
          <w:p w:rsidR="00727AF0" w:rsidRPr="00F0793A" w:rsidRDefault="002722C3" w:rsidP="00471DC9">
            <w:pPr>
              <w:spacing w:after="0"/>
              <w:jc w:val="center"/>
              <w:cnfStyle w:val="100000000000" w:firstRow="1"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2</w:t>
            </w:r>
          </w:p>
        </w:tc>
        <w:tc>
          <w:tcPr>
            <w:tcW w:w="754" w:type="dxa"/>
            <w:noWrap/>
            <w:hideMark/>
          </w:tcPr>
          <w:p w:rsidR="00727AF0" w:rsidRPr="00F0793A" w:rsidRDefault="002722C3" w:rsidP="00471DC9">
            <w:pPr>
              <w:spacing w:after="0"/>
              <w:jc w:val="center"/>
              <w:cnfStyle w:val="100000000000" w:firstRow="1"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3</w:t>
            </w:r>
          </w:p>
        </w:tc>
        <w:tc>
          <w:tcPr>
            <w:tcW w:w="754" w:type="dxa"/>
            <w:noWrap/>
            <w:hideMark/>
          </w:tcPr>
          <w:p w:rsidR="00727AF0" w:rsidRPr="00F0793A" w:rsidRDefault="002722C3" w:rsidP="00471DC9">
            <w:pPr>
              <w:spacing w:after="0"/>
              <w:jc w:val="center"/>
              <w:cnfStyle w:val="100000000000" w:firstRow="1"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4</w:t>
            </w:r>
          </w:p>
        </w:tc>
        <w:tc>
          <w:tcPr>
            <w:tcW w:w="754" w:type="dxa"/>
            <w:noWrap/>
            <w:hideMark/>
          </w:tcPr>
          <w:p w:rsidR="00727AF0" w:rsidRPr="00F0793A" w:rsidRDefault="002722C3" w:rsidP="00471DC9">
            <w:pPr>
              <w:spacing w:after="0"/>
              <w:jc w:val="center"/>
              <w:cnfStyle w:val="100000000000" w:firstRow="1"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5</w:t>
            </w:r>
          </w:p>
        </w:tc>
        <w:tc>
          <w:tcPr>
            <w:tcW w:w="754" w:type="dxa"/>
            <w:noWrap/>
            <w:hideMark/>
          </w:tcPr>
          <w:p w:rsidR="00727AF0" w:rsidRPr="00F0793A" w:rsidRDefault="002722C3" w:rsidP="00471DC9">
            <w:pPr>
              <w:spacing w:after="0"/>
              <w:jc w:val="center"/>
              <w:cnfStyle w:val="100000000000" w:firstRow="1"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6</w:t>
            </w:r>
          </w:p>
        </w:tc>
        <w:tc>
          <w:tcPr>
            <w:tcW w:w="754" w:type="dxa"/>
            <w:noWrap/>
            <w:hideMark/>
          </w:tcPr>
          <w:p w:rsidR="00727AF0" w:rsidRPr="00F0793A" w:rsidRDefault="002722C3" w:rsidP="00471DC9">
            <w:pPr>
              <w:spacing w:after="0"/>
              <w:jc w:val="center"/>
              <w:cnfStyle w:val="100000000000" w:firstRow="1"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7</w:t>
            </w:r>
          </w:p>
        </w:tc>
      </w:tr>
      <w:tr w:rsidR="00727AF0" w:rsidRPr="00F0793A" w:rsidTr="00471DC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46" w:type="dxa"/>
            <w:noWrap/>
            <w:hideMark/>
          </w:tcPr>
          <w:p w:rsidR="00727AF0" w:rsidRPr="00F0793A" w:rsidRDefault="00727AF0" w:rsidP="00B90135">
            <w:pPr>
              <w:spacing w:after="0"/>
              <w:jc w:val="left"/>
              <w:rPr>
                <w:sz w:val="18"/>
                <w:szCs w:val="18"/>
                <w:lang w:eastAsia="en-GB"/>
              </w:rPr>
            </w:pPr>
            <w:r>
              <w:rPr>
                <w:sz w:val="18"/>
                <w:szCs w:val="18"/>
                <w:lang w:eastAsia="en-GB"/>
              </w:rPr>
              <w:t>Ratio imports over GDP ESA 95</w:t>
            </w:r>
          </w:p>
        </w:tc>
        <w:tc>
          <w:tcPr>
            <w:tcW w:w="754" w:type="dxa"/>
            <w:noWrap/>
          </w:tcPr>
          <w:p w:rsidR="00727AF0" w:rsidRPr="00F0793A" w:rsidRDefault="00727AF0" w:rsidP="00471DC9">
            <w:pPr>
              <w:spacing w:after="0"/>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68.5%</w:t>
            </w:r>
          </w:p>
        </w:tc>
        <w:tc>
          <w:tcPr>
            <w:tcW w:w="754" w:type="dxa"/>
            <w:noWrap/>
          </w:tcPr>
          <w:p w:rsidR="00727AF0" w:rsidRPr="00F0793A" w:rsidRDefault="00727AF0" w:rsidP="00471DC9">
            <w:pPr>
              <w:spacing w:after="0"/>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74.9%</w:t>
            </w:r>
          </w:p>
        </w:tc>
        <w:tc>
          <w:tcPr>
            <w:tcW w:w="754" w:type="dxa"/>
            <w:noWrap/>
          </w:tcPr>
          <w:p w:rsidR="00727AF0" w:rsidRPr="00F0793A" w:rsidRDefault="00727AF0" w:rsidP="00471DC9">
            <w:pPr>
              <w:spacing w:after="0"/>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62.9%</w:t>
            </w:r>
          </w:p>
        </w:tc>
        <w:tc>
          <w:tcPr>
            <w:tcW w:w="754" w:type="dxa"/>
            <w:noWrap/>
          </w:tcPr>
          <w:p w:rsidR="00727AF0" w:rsidRPr="00F0793A" w:rsidRDefault="00727AF0" w:rsidP="00471DC9">
            <w:pPr>
              <w:spacing w:after="0"/>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26.5%</w:t>
            </w:r>
          </w:p>
        </w:tc>
        <w:tc>
          <w:tcPr>
            <w:tcW w:w="754" w:type="dxa"/>
            <w:noWrap/>
          </w:tcPr>
          <w:p w:rsidR="00727AF0" w:rsidRPr="00F0793A" w:rsidRDefault="00727AF0" w:rsidP="00471DC9">
            <w:pPr>
              <w:spacing w:after="0"/>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27.6%</w:t>
            </w:r>
          </w:p>
        </w:tc>
        <w:tc>
          <w:tcPr>
            <w:tcW w:w="754" w:type="dxa"/>
            <w:noWrap/>
          </w:tcPr>
          <w:p w:rsidR="00727AF0" w:rsidRPr="00F0793A" w:rsidRDefault="00727AF0" w:rsidP="00471DC9">
            <w:pPr>
              <w:spacing w:after="0"/>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78.7%</w:t>
            </w:r>
          </w:p>
        </w:tc>
        <w:tc>
          <w:tcPr>
            <w:tcW w:w="754" w:type="dxa"/>
            <w:noWrap/>
          </w:tcPr>
          <w:p w:rsidR="00727AF0" w:rsidRPr="00F0793A" w:rsidRDefault="00727AF0" w:rsidP="00471DC9">
            <w:pPr>
              <w:spacing w:after="0"/>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32.3%</w:t>
            </w:r>
          </w:p>
        </w:tc>
      </w:tr>
      <w:tr w:rsidR="00727AF0" w:rsidRPr="00F0793A" w:rsidTr="00471DC9">
        <w:trPr>
          <w:trHeight w:val="255"/>
        </w:trPr>
        <w:tc>
          <w:tcPr>
            <w:cnfStyle w:val="001000000000" w:firstRow="0" w:lastRow="0" w:firstColumn="1" w:lastColumn="0" w:oddVBand="0" w:evenVBand="0" w:oddHBand="0" w:evenHBand="0" w:firstRowFirstColumn="0" w:firstRowLastColumn="0" w:lastRowFirstColumn="0" w:lastRowLastColumn="0"/>
            <w:tcW w:w="2846" w:type="dxa"/>
            <w:tcBorders>
              <w:bottom w:val="single" w:sz="8" w:space="0" w:color="8064A2" w:themeColor="accent4"/>
            </w:tcBorders>
            <w:noWrap/>
            <w:hideMark/>
          </w:tcPr>
          <w:p w:rsidR="00727AF0" w:rsidRPr="00F0793A" w:rsidRDefault="00727AF0" w:rsidP="00B90135">
            <w:pPr>
              <w:spacing w:after="0"/>
              <w:jc w:val="left"/>
              <w:rPr>
                <w:sz w:val="18"/>
                <w:szCs w:val="18"/>
                <w:lang w:eastAsia="en-GB"/>
              </w:rPr>
            </w:pPr>
            <w:r>
              <w:rPr>
                <w:sz w:val="18"/>
                <w:szCs w:val="18"/>
                <w:lang w:eastAsia="en-GB"/>
              </w:rPr>
              <w:t>Ratio imports over GDP ESA 2010</w:t>
            </w:r>
          </w:p>
        </w:tc>
        <w:tc>
          <w:tcPr>
            <w:tcW w:w="754" w:type="dxa"/>
            <w:tcBorders>
              <w:bottom w:val="single" w:sz="8" w:space="0" w:color="8064A2" w:themeColor="accent4"/>
            </w:tcBorders>
            <w:noWrap/>
          </w:tcPr>
          <w:p w:rsidR="00727AF0" w:rsidRPr="00F0793A" w:rsidRDefault="00727AF0" w:rsidP="00471DC9">
            <w:pPr>
              <w:spacing w:after="0"/>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66.2%</w:t>
            </w:r>
          </w:p>
        </w:tc>
        <w:tc>
          <w:tcPr>
            <w:tcW w:w="754" w:type="dxa"/>
            <w:tcBorders>
              <w:bottom w:val="single" w:sz="8" w:space="0" w:color="8064A2" w:themeColor="accent4"/>
            </w:tcBorders>
            <w:noWrap/>
          </w:tcPr>
          <w:p w:rsidR="00727AF0" w:rsidRPr="00F0793A" w:rsidRDefault="00727AF0" w:rsidP="00471DC9">
            <w:pPr>
              <w:spacing w:after="0"/>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71.8%</w:t>
            </w:r>
          </w:p>
        </w:tc>
        <w:tc>
          <w:tcPr>
            <w:tcW w:w="754" w:type="dxa"/>
            <w:tcBorders>
              <w:bottom w:val="single" w:sz="8" w:space="0" w:color="8064A2" w:themeColor="accent4"/>
            </w:tcBorders>
            <w:noWrap/>
          </w:tcPr>
          <w:p w:rsidR="00727AF0" w:rsidRPr="00F0793A" w:rsidRDefault="00727AF0" w:rsidP="00471DC9">
            <w:pPr>
              <w:spacing w:after="0"/>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62.7%</w:t>
            </w:r>
          </w:p>
        </w:tc>
        <w:tc>
          <w:tcPr>
            <w:tcW w:w="754" w:type="dxa"/>
            <w:tcBorders>
              <w:bottom w:val="single" w:sz="8" w:space="0" w:color="8064A2" w:themeColor="accent4"/>
            </w:tcBorders>
            <w:noWrap/>
          </w:tcPr>
          <w:p w:rsidR="00727AF0" w:rsidRPr="00F0793A" w:rsidRDefault="00727AF0" w:rsidP="00471DC9">
            <w:pPr>
              <w:spacing w:after="0"/>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26.7%</w:t>
            </w:r>
          </w:p>
        </w:tc>
        <w:tc>
          <w:tcPr>
            <w:tcW w:w="754" w:type="dxa"/>
            <w:tcBorders>
              <w:bottom w:val="single" w:sz="8" w:space="0" w:color="8064A2" w:themeColor="accent4"/>
            </w:tcBorders>
            <w:noWrap/>
          </w:tcPr>
          <w:p w:rsidR="00727AF0" w:rsidRPr="00F0793A" w:rsidRDefault="00727AF0" w:rsidP="00471DC9">
            <w:pPr>
              <w:spacing w:after="0"/>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26.2%</w:t>
            </w:r>
          </w:p>
        </w:tc>
        <w:tc>
          <w:tcPr>
            <w:tcW w:w="754" w:type="dxa"/>
            <w:tcBorders>
              <w:bottom w:val="single" w:sz="8" w:space="0" w:color="8064A2" w:themeColor="accent4"/>
            </w:tcBorders>
            <w:noWrap/>
          </w:tcPr>
          <w:p w:rsidR="00727AF0" w:rsidRPr="00F0793A" w:rsidRDefault="00727AF0" w:rsidP="00471DC9">
            <w:pPr>
              <w:spacing w:after="0"/>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76.6%</w:t>
            </w:r>
          </w:p>
        </w:tc>
        <w:tc>
          <w:tcPr>
            <w:tcW w:w="754" w:type="dxa"/>
            <w:tcBorders>
              <w:bottom w:val="single" w:sz="8" w:space="0" w:color="8064A2" w:themeColor="accent4"/>
            </w:tcBorders>
            <w:noWrap/>
          </w:tcPr>
          <w:p w:rsidR="00727AF0" w:rsidRPr="00F0793A" w:rsidRDefault="00727AF0" w:rsidP="00471DC9">
            <w:pPr>
              <w:spacing w:after="0"/>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31.1%</w:t>
            </w:r>
          </w:p>
        </w:tc>
      </w:tr>
      <w:tr w:rsidR="00727AF0" w:rsidRPr="00F0793A" w:rsidTr="00471DC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46" w:type="dxa"/>
            <w:noWrap/>
          </w:tcPr>
          <w:p w:rsidR="00727AF0" w:rsidRDefault="00727AF0" w:rsidP="00B90135">
            <w:pPr>
              <w:spacing w:after="0"/>
              <w:jc w:val="left"/>
              <w:rPr>
                <w:sz w:val="18"/>
                <w:szCs w:val="18"/>
                <w:lang w:eastAsia="en-GB"/>
              </w:rPr>
            </w:pPr>
            <w:r>
              <w:rPr>
                <w:sz w:val="18"/>
                <w:szCs w:val="18"/>
                <w:lang w:eastAsia="en-GB"/>
              </w:rPr>
              <w:t xml:space="preserve">Total absolute revision </w:t>
            </w:r>
          </w:p>
        </w:tc>
        <w:tc>
          <w:tcPr>
            <w:tcW w:w="754" w:type="dxa"/>
            <w:noWrap/>
          </w:tcPr>
          <w:p w:rsidR="00727AF0" w:rsidRDefault="00727AF0" w:rsidP="00471DC9">
            <w:pPr>
              <w:spacing w:after="0"/>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-2.3%</w:t>
            </w:r>
          </w:p>
        </w:tc>
        <w:tc>
          <w:tcPr>
            <w:tcW w:w="754" w:type="dxa"/>
            <w:noWrap/>
          </w:tcPr>
          <w:p w:rsidR="00727AF0" w:rsidRDefault="00727AF0" w:rsidP="00471DC9">
            <w:pPr>
              <w:spacing w:after="0"/>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-3.1%</w:t>
            </w:r>
          </w:p>
        </w:tc>
        <w:tc>
          <w:tcPr>
            <w:tcW w:w="754" w:type="dxa"/>
            <w:noWrap/>
          </w:tcPr>
          <w:p w:rsidR="00727AF0" w:rsidRDefault="00727AF0" w:rsidP="00471DC9">
            <w:pPr>
              <w:spacing w:after="0"/>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-0.3%</w:t>
            </w:r>
          </w:p>
        </w:tc>
        <w:tc>
          <w:tcPr>
            <w:tcW w:w="754" w:type="dxa"/>
            <w:noWrap/>
          </w:tcPr>
          <w:p w:rsidR="00727AF0" w:rsidRDefault="00727AF0" w:rsidP="00471DC9">
            <w:pPr>
              <w:spacing w:after="0"/>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0.2%</w:t>
            </w:r>
          </w:p>
        </w:tc>
        <w:tc>
          <w:tcPr>
            <w:tcW w:w="754" w:type="dxa"/>
            <w:noWrap/>
          </w:tcPr>
          <w:p w:rsidR="00727AF0" w:rsidRDefault="00727AF0" w:rsidP="00471DC9">
            <w:pPr>
              <w:spacing w:after="0"/>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-1.4%</w:t>
            </w:r>
          </w:p>
        </w:tc>
        <w:tc>
          <w:tcPr>
            <w:tcW w:w="754" w:type="dxa"/>
            <w:noWrap/>
          </w:tcPr>
          <w:p w:rsidR="00727AF0" w:rsidRDefault="00727AF0" w:rsidP="00471DC9">
            <w:pPr>
              <w:spacing w:after="0"/>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-2.1%</w:t>
            </w:r>
          </w:p>
        </w:tc>
        <w:tc>
          <w:tcPr>
            <w:tcW w:w="754" w:type="dxa"/>
            <w:noWrap/>
          </w:tcPr>
          <w:p w:rsidR="00727AF0" w:rsidRDefault="00727AF0" w:rsidP="00471DC9">
            <w:pPr>
              <w:spacing w:after="0"/>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-1.3%</w:t>
            </w:r>
          </w:p>
        </w:tc>
      </w:tr>
      <w:tr w:rsidR="00727AF0" w:rsidRPr="00F0793A" w:rsidTr="00471DC9">
        <w:trPr>
          <w:trHeight w:val="255"/>
        </w:trPr>
        <w:tc>
          <w:tcPr>
            <w:cnfStyle w:val="001000000000" w:firstRow="0" w:lastRow="0" w:firstColumn="1" w:lastColumn="0" w:oddVBand="0" w:evenVBand="0" w:oddHBand="0" w:evenHBand="0" w:firstRowFirstColumn="0" w:firstRowLastColumn="0" w:lastRowFirstColumn="0" w:lastRowLastColumn="0"/>
            <w:tcW w:w="2846" w:type="dxa"/>
            <w:tcBorders>
              <w:top w:val="single" w:sz="8" w:space="0" w:color="8064A2" w:themeColor="accent4"/>
              <w:bottom w:val="single" w:sz="8" w:space="0" w:color="8064A2" w:themeColor="accent4"/>
            </w:tcBorders>
            <w:noWrap/>
          </w:tcPr>
          <w:p w:rsidR="00727AF0" w:rsidRDefault="00727AF0" w:rsidP="00B90135">
            <w:pPr>
              <w:spacing w:after="0"/>
              <w:jc w:val="left"/>
              <w:rPr>
                <w:sz w:val="18"/>
                <w:szCs w:val="18"/>
                <w:lang w:eastAsia="en-GB"/>
              </w:rPr>
            </w:pPr>
            <w:r>
              <w:rPr>
                <w:sz w:val="18"/>
                <w:szCs w:val="18"/>
                <w:lang w:eastAsia="en-GB"/>
              </w:rPr>
              <w:t xml:space="preserve">Total absolute revision of trade balance ratio </w:t>
            </w:r>
          </w:p>
        </w:tc>
        <w:tc>
          <w:tcPr>
            <w:tcW w:w="754" w:type="dxa"/>
            <w:tcBorders>
              <w:top w:val="single" w:sz="8" w:space="0" w:color="8064A2" w:themeColor="accent4"/>
              <w:bottom w:val="single" w:sz="8" w:space="0" w:color="8064A2" w:themeColor="accent4"/>
            </w:tcBorders>
            <w:noWrap/>
          </w:tcPr>
          <w:p w:rsidR="00727AF0" w:rsidRDefault="00727AF0" w:rsidP="00471DC9">
            <w:pPr>
              <w:spacing w:after="0"/>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0.1%</w:t>
            </w:r>
          </w:p>
        </w:tc>
        <w:tc>
          <w:tcPr>
            <w:tcW w:w="754" w:type="dxa"/>
            <w:tcBorders>
              <w:top w:val="single" w:sz="8" w:space="0" w:color="8064A2" w:themeColor="accent4"/>
              <w:bottom w:val="single" w:sz="8" w:space="0" w:color="8064A2" w:themeColor="accent4"/>
            </w:tcBorders>
            <w:noWrap/>
          </w:tcPr>
          <w:p w:rsidR="00727AF0" w:rsidRDefault="00727AF0" w:rsidP="00471DC9">
            <w:pPr>
              <w:spacing w:after="0"/>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0.2%</w:t>
            </w:r>
          </w:p>
        </w:tc>
        <w:tc>
          <w:tcPr>
            <w:tcW w:w="754" w:type="dxa"/>
            <w:tcBorders>
              <w:top w:val="single" w:sz="8" w:space="0" w:color="8064A2" w:themeColor="accent4"/>
              <w:bottom w:val="single" w:sz="8" w:space="0" w:color="8064A2" w:themeColor="accent4"/>
            </w:tcBorders>
            <w:noWrap/>
          </w:tcPr>
          <w:p w:rsidR="00727AF0" w:rsidRDefault="00727AF0" w:rsidP="00471DC9">
            <w:pPr>
              <w:spacing w:after="0"/>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0.1%</w:t>
            </w:r>
          </w:p>
        </w:tc>
        <w:tc>
          <w:tcPr>
            <w:tcW w:w="754" w:type="dxa"/>
            <w:tcBorders>
              <w:top w:val="single" w:sz="8" w:space="0" w:color="8064A2" w:themeColor="accent4"/>
              <w:bottom w:val="single" w:sz="8" w:space="0" w:color="8064A2" w:themeColor="accent4"/>
            </w:tcBorders>
            <w:noWrap/>
          </w:tcPr>
          <w:p w:rsidR="00727AF0" w:rsidRDefault="00727AF0" w:rsidP="00471DC9">
            <w:pPr>
              <w:spacing w:after="0"/>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-0.4%</w:t>
            </w:r>
          </w:p>
        </w:tc>
        <w:tc>
          <w:tcPr>
            <w:tcW w:w="754" w:type="dxa"/>
            <w:tcBorders>
              <w:top w:val="single" w:sz="8" w:space="0" w:color="8064A2" w:themeColor="accent4"/>
              <w:bottom w:val="single" w:sz="8" w:space="0" w:color="8064A2" w:themeColor="accent4"/>
            </w:tcBorders>
            <w:noWrap/>
          </w:tcPr>
          <w:p w:rsidR="00727AF0" w:rsidRDefault="00727AF0" w:rsidP="00471DC9">
            <w:pPr>
              <w:spacing w:after="0"/>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0.0%</w:t>
            </w:r>
          </w:p>
        </w:tc>
        <w:tc>
          <w:tcPr>
            <w:tcW w:w="754" w:type="dxa"/>
            <w:tcBorders>
              <w:top w:val="single" w:sz="8" w:space="0" w:color="8064A2" w:themeColor="accent4"/>
              <w:bottom w:val="single" w:sz="8" w:space="0" w:color="8064A2" w:themeColor="accent4"/>
            </w:tcBorders>
            <w:noWrap/>
          </w:tcPr>
          <w:p w:rsidR="00727AF0" w:rsidRDefault="00727AF0" w:rsidP="00471DC9">
            <w:pPr>
              <w:spacing w:after="0"/>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0.3%</w:t>
            </w:r>
          </w:p>
        </w:tc>
        <w:tc>
          <w:tcPr>
            <w:tcW w:w="754" w:type="dxa"/>
            <w:tcBorders>
              <w:top w:val="single" w:sz="8" w:space="0" w:color="8064A2" w:themeColor="accent4"/>
              <w:bottom w:val="single" w:sz="8" w:space="0" w:color="8064A2" w:themeColor="accent4"/>
            </w:tcBorders>
            <w:noWrap/>
          </w:tcPr>
          <w:p w:rsidR="00727AF0" w:rsidRDefault="00727AF0" w:rsidP="00471DC9">
            <w:pPr>
              <w:spacing w:after="0"/>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0.2%</w:t>
            </w:r>
          </w:p>
        </w:tc>
      </w:tr>
    </w:tbl>
    <w:p w:rsidR="00471DC9" w:rsidRDefault="00471DC9" w:rsidP="00471DC9">
      <w:pPr>
        <w:pStyle w:val="Heading1"/>
      </w:pPr>
      <w:bookmarkStart w:id="3" w:name="_Toc413850152"/>
      <w:r>
        <w:t>Impact on the income components of GDP</w:t>
      </w:r>
      <w:bookmarkEnd w:id="3"/>
    </w:p>
    <w:p w:rsidR="00471DC9" w:rsidRDefault="00471DC9" w:rsidP="00471DC9">
      <w:pPr>
        <w:rPr>
          <w:rFonts w:eastAsiaTheme="minorHAnsi"/>
        </w:rPr>
      </w:pPr>
      <w:r>
        <w:rPr>
          <w:rFonts w:eastAsiaTheme="minorHAnsi"/>
        </w:rPr>
        <w:t xml:space="preserve">The income approach of GDP is the approach according to which GDP is measured as the total of all incomes earned in the process of producing goods and services plus taxes on production and imports less subsidies. These incomes are broken down by type, i.e. compensation of employment and operating surplus/mixed income. </w:t>
      </w:r>
    </w:p>
    <w:p w:rsidR="00471DC9" w:rsidRDefault="00471DC9" w:rsidP="00471DC9">
      <w:pPr>
        <w:rPr>
          <w:rFonts w:eastAsiaTheme="minorHAnsi"/>
        </w:rPr>
      </w:pPr>
      <w:r>
        <w:rPr>
          <w:rFonts w:eastAsiaTheme="minorHAnsi"/>
        </w:rPr>
        <w:t xml:space="preserve">Compensation of employees, gross operating surplus and other net taxes on production are the components of the gross value added. </w:t>
      </w:r>
    </w:p>
    <w:p w:rsidR="00471DC9" w:rsidRPr="00471DC9" w:rsidRDefault="00471DC9" w:rsidP="00471DC9">
      <w:pPr>
        <w:rPr>
          <w:u w:val="single"/>
        </w:rPr>
      </w:pPr>
      <w:r w:rsidRPr="00471DC9">
        <w:rPr>
          <w:u w:val="single"/>
        </w:rPr>
        <w:t xml:space="preserve">Table </w:t>
      </w:r>
      <w:r w:rsidRPr="00471DC9">
        <w:rPr>
          <w:u w:val="single"/>
        </w:rPr>
        <w:t>8</w:t>
      </w:r>
      <w:r w:rsidRPr="00471DC9">
        <w:rPr>
          <w:u w:val="single"/>
        </w:rPr>
        <w:t>: Revision percentage for value added components-total economy</w:t>
      </w:r>
    </w:p>
    <w:tbl>
      <w:tblPr>
        <w:tblStyle w:val="LightList-Accent4"/>
        <w:tblW w:w="9242" w:type="dxa"/>
        <w:tblLook w:val="04A0" w:firstRow="1" w:lastRow="0" w:firstColumn="1" w:lastColumn="0" w:noHBand="0" w:noVBand="1"/>
      </w:tblPr>
      <w:tblGrid>
        <w:gridCol w:w="987"/>
        <w:gridCol w:w="2454"/>
        <w:gridCol w:w="1790"/>
        <w:gridCol w:w="2136"/>
        <w:gridCol w:w="1875"/>
      </w:tblGrid>
      <w:tr w:rsidR="00471DC9" w:rsidRPr="0076098F" w:rsidTr="004A78D9">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87" w:type="dxa"/>
            <w:noWrap/>
            <w:hideMark/>
          </w:tcPr>
          <w:p w:rsidR="00471DC9" w:rsidRPr="00A855D6" w:rsidRDefault="00471DC9" w:rsidP="004A78D9">
            <w:pPr>
              <w:spacing w:after="0"/>
              <w:jc w:val="left"/>
              <w:rPr>
                <w:sz w:val="18"/>
                <w:szCs w:val="18"/>
                <w:lang w:eastAsia="en-GB"/>
              </w:rPr>
            </w:pPr>
            <w:r w:rsidRPr="0076098F">
              <w:rPr>
                <w:sz w:val="18"/>
                <w:szCs w:val="18"/>
                <w:lang w:eastAsia="en-GB"/>
              </w:rPr>
              <w:t>Countries</w:t>
            </w:r>
          </w:p>
        </w:tc>
        <w:tc>
          <w:tcPr>
            <w:tcW w:w="2454" w:type="dxa"/>
            <w:noWrap/>
            <w:hideMark/>
          </w:tcPr>
          <w:p w:rsidR="00471DC9" w:rsidRPr="00A855D6" w:rsidRDefault="00471DC9" w:rsidP="004A78D9">
            <w:pPr>
              <w:spacing w:after="0"/>
              <w:jc w:val="center"/>
              <w:cnfStyle w:val="100000000000" w:firstRow="1"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Compensation of Employees</w:t>
            </w:r>
          </w:p>
        </w:tc>
        <w:tc>
          <w:tcPr>
            <w:tcW w:w="1790" w:type="dxa"/>
          </w:tcPr>
          <w:p w:rsidR="00471DC9" w:rsidRPr="0076098F" w:rsidRDefault="00471DC9" w:rsidP="004A78D9">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Gross Operating S</w:t>
            </w:r>
            <w:r w:rsidRPr="0076098F">
              <w:rPr>
                <w:sz w:val="18"/>
                <w:szCs w:val="18"/>
              </w:rPr>
              <w:t>urplus</w:t>
            </w:r>
          </w:p>
        </w:tc>
        <w:tc>
          <w:tcPr>
            <w:tcW w:w="2136" w:type="dxa"/>
            <w:vAlign w:val="bottom"/>
          </w:tcPr>
          <w:p w:rsidR="00471DC9" w:rsidRPr="0076098F" w:rsidRDefault="00471DC9" w:rsidP="004A78D9">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Other net taxes on production</w:t>
            </w:r>
          </w:p>
        </w:tc>
        <w:tc>
          <w:tcPr>
            <w:tcW w:w="1875" w:type="dxa"/>
          </w:tcPr>
          <w:p w:rsidR="00471DC9" w:rsidRDefault="00471DC9" w:rsidP="004A78D9">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Value Added</w:t>
            </w:r>
          </w:p>
        </w:tc>
      </w:tr>
      <w:tr w:rsidR="00471DC9" w:rsidRPr="0076098F" w:rsidTr="00471DC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87" w:type="dxa"/>
            <w:noWrap/>
          </w:tcPr>
          <w:p w:rsidR="00471DC9" w:rsidRPr="00A855D6" w:rsidRDefault="00471DC9" w:rsidP="004A78D9">
            <w:pPr>
              <w:spacing w:after="0"/>
              <w:jc w:val="left"/>
              <w:rPr>
                <w:sz w:val="18"/>
                <w:szCs w:val="18"/>
                <w:lang w:eastAsia="en-GB"/>
              </w:rPr>
            </w:pPr>
            <w:r>
              <w:rPr>
                <w:sz w:val="18"/>
                <w:szCs w:val="18"/>
                <w:lang w:eastAsia="en-GB"/>
              </w:rPr>
              <w:t>1</w:t>
            </w:r>
          </w:p>
        </w:tc>
        <w:tc>
          <w:tcPr>
            <w:tcW w:w="2454" w:type="dxa"/>
            <w:noWrap/>
            <w:hideMark/>
          </w:tcPr>
          <w:p w:rsidR="00471DC9" w:rsidRPr="00A855D6" w:rsidRDefault="00471DC9" w:rsidP="004A78D9">
            <w:pPr>
              <w:spacing w:after="0"/>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A855D6">
              <w:rPr>
                <w:sz w:val="18"/>
                <w:szCs w:val="18"/>
                <w:lang w:eastAsia="en-GB"/>
              </w:rPr>
              <w:t>0.00%</w:t>
            </w:r>
          </w:p>
        </w:tc>
        <w:tc>
          <w:tcPr>
            <w:tcW w:w="1790" w:type="dxa"/>
          </w:tcPr>
          <w:p w:rsidR="00471DC9" w:rsidRPr="0076098F" w:rsidRDefault="00471DC9" w:rsidP="004A78D9">
            <w:pPr>
              <w:jc w:val="center"/>
              <w:cnfStyle w:val="000000100000" w:firstRow="0" w:lastRow="0" w:firstColumn="0" w:lastColumn="0" w:oddVBand="0" w:evenVBand="0" w:oddHBand="1" w:evenHBand="0" w:firstRowFirstColumn="0" w:firstRowLastColumn="0" w:lastRowFirstColumn="0" w:lastRowLastColumn="0"/>
              <w:rPr>
                <w:sz w:val="18"/>
                <w:szCs w:val="18"/>
              </w:rPr>
            </w:pPr>
            <w:r w:rsidRPr="0076098F">
              <w:rPr>
                <w:sz w:val="18"/>
                <w:szCs w:val="18"/>
              </w:rPr>
              <w:t>2.94%</w:t>
            </w:r>
          </w:p>
        </w:tc>
        <w:tc>
          <w:tcPr>
            <w:tcW w:w="2136" w:type="dxa"/>
            <w:vAlign w:val="bottom"/>
          </w:tcPr>
          <w:p w:rsidR="00471DC9" w:rsidRPr="0076098F" w:rsidRDefault="00471DC9" w:rsidP="004A78D9">
            <w:pPr>
              <w:jc w:val="center"/>
              <w:cnfStyle w:val="000000100000" w:firstRow="0" w:lastRow="0" w:firstColumn="0" w:lastColumn="0" w:oddVBand="0" w:evenVBand="0" w:oddHBand="1" w:evenHBand="0" w:firstRowFirstColumn="0" w:firstRowLastColumn="0" w:lastRowFirstColumn="0" w:lastRowLastColumn="0"/>
              <w:rPr>
                <w:sz w:val="18"/>
                <w:szCs w:val="18"/>
              </w:rPr>
            </w:pPr>
            <w:r w:rsidRPr="0076098F">
              <w:rPr>
                <w:sz w:val="18"/>
                <w:szCs w:val="18"/>
              </w:rPr>
              <w:t>0.00%</w:t>
            </w:r>
          </w:p>
        </w:tc>
        <w:tc>
          <w:tcPr>
            <w:tcW w:w="1875" w:type="dxa"/>
            <w:vAlign w:val="bottom"/>
          </w:tcPr>
          <w:p w:rsidR="00471DC9" w:rsidRPr="00771B43" w:rsidRDefault="00471DC9" w:rsidP="004A78D9">
            <w:pPr>
              <w:jc w:val="center"/>
              <w:cnfStyle w:val="000000100000" w:firstRow="0" w:lastRow="0" w:firstColumn="0" w:lastColumn="0" w:oddVBand="0" w:evenVBand="0" w:oddHBand="1" w:evenHBand="0" w:firstRowFirstColumn="0" w:firstRowLastColumn="0" w:lastRowFirstColumn="0" w:lastRowLastColumn="0"/>
              <w:rPr>
                <w:sz w:val="18"/>
                <w:szCs w:val="18"/>
              </w:rPr>
            </w:pPr>
            <w:r w:rsidRPr="00771B43">
              <w:rPr>
                <w:sz w:val="18"/>
                <w:szCs w:val="18"/>
              </w:rPr>
              <w:t>1.36%</w:t>
            </w:r>
          </w:p>
        </w:tc>
      </w:tr>
      <w:tr w:rsidR="00471DC9" w:rsidRPr="0076098F" w:rsidTr="00471DC9">
        <w:trPr>
          <w:trHeight w:val="240"/>
        </w:trPr>
        <w:tc>
          <w:tcPr>
            <w:cnfStyle w:val="001000000000" w:firstRow="0" w:lastRow="0" w:firstColumn="1" w:lastColumn="0" w:oddVBand="0" w:evenVBand="0" w:oddHBand="0" w:evenHBand="0" w:firstRowFirstColumn="0" w:firstRowLastColumn="0" w:lastRowFirstColumn="0" w:lastRowLastColumn="0"/>
            <w:tcW w:w="987" w:type="dxa"/>
            <w:noWrap/>
          </w:tcPr>
          <w:p w:rsidR="00471DC9" w:rsidRPr="00A855D6" w:rsidRDefault="00471DC9" w:rsidP="004A78D9">
            <w:pPr>
              <w:spacing w:after="0"/>
              <w:jc w:val="left"/>
              <w:rPr>
                <w:sz w:val="18"/>
                <w:szCs w:val="18"/>
                <w:lang w:eastAsia="en-GB"/>
              </w:rPr>
            </w:pPr>
            <w:r>
              <w:rPr>
                <w:sz w:val="18"/>
                <w:szCs w:val="18"/>
                <w:lang w:eastAsia="en-GB"/>
              </w:rPr>
              <w:t>2</w:t>
            </w:r>
          </w:p>
        </w:tc>
        <w:tc>
          <w:tcPr>
            <w:tcW w:w="2454" w:type="dxa"/>
            <w:noWrap/>
            <w:hideMark/>
          </w:tcPr>
          <w:p w:rsidR="00471DC9" w:rsidRPr="00A855D6" w:rsidRDefault="00471DC9" w:rsidP="004A78D9">
            <w:pPr>
              <w:spacing w:after="0"/>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A855D6">
              <w:rPr>
                <w:sz w:val="18"/>
                <w:szCs w:val="18"/>
                <w:lang w:eastAsia="en-GB"/>
              </w:rPr>
              <w:t>-0.06%</w:t>
            </w:r>
          </w:p>
        </w:tc>
        <w:tc>
          <w:tcPr>
            <w:tcW w:w="1790" w:type="dxa"/>
          </w:tcPr>
          <w:p w:rsidR="00471DC9" w:rsidRPr="0076098F" w:rsidRDefault="00471DC9" w:rsidP="004A78D9">
            <w:pPr>
              <w:jc w:val="center"/>
              <w:cnfStyle w:val="000000000000" w:firstRow="0" w:lastRow="0" w:firstColumn="0" w:lastColumn="0" w:oddVBand="0" w:evenVBand="0" w:oddHBand="0" w:evenHBand="0" w:firstRowFirstColumn="0" w:firstRowLastColumn="0" w:lastRowFirstColumn="0" w:lastRowLastColumn="0"/>
              <w:rPr>
                <w:sz w:val="18"/>
                <w:szCs w:val="18"/>
              </w:rPr>
            </w:pPr>
            <w:r w:rsidRPr="0076098F">
              <w:rPr>
                <w:sz w:val="18"/>
                <w:szCs w:val="18"/>
              </w:rPr>
              <w:t>8.43%</w:t>
            </w:r>
          </w:p>
        </w:tc>
        <w:tc>
          <w:tcPr>
            <w:tcW w:w="2136" w:type="dxa"/>
            <w:vAlign w:val="bottom"/>
          </w:tcPr>
          <w:p w:rsidR="00471DC9" w:rsidRPr="0076098F" w:rsidRDefault="00471DC9" w:rsidP="004A78D9">
            <w:pPr>
              <w:jc w:val="center"/>
              <w:cnfStyle w:val="000000000000" w:firstRow="0" w:lastRow="0" w:firstColumn="0" w:lastColumn="0" w:oddVBand="0" w:evenVBand="0" w:oddHBand="0" w:evenHBand="0" w:firstRowFirstColumn="0" w:firstRowLastColumn="0" w:lastRowFirstColumn="0" w:lastRowLastColumn="0"/>
              <w:rPr>
                <w:sz w:val="18"/>
                <w:szCs w:val="18"/>
              </w:rPr>
            </w:pPr>
            <w:r w:rsidRPr="0076098F">
              <w:rPr>
                <w:sz w:val="18"/>
                <w:szCs w:val="18"/>
              </w:rPr>
              <w:t>-17.10%</w:t>
            </w:r>
          </w:p>
        </w:tc>
        <w:tc>
          <w:tcPr>
            <w:tcW w:w="1875" w:type="dxa"/>
            <w:vAlign w:val="bottom"/>
          </w:tcPr>
          <w:p w:rsidR="00471DC9" w:rsidRPr="00771B43" w:rsidRDefault="00471DC9" w:rsidP="004A78D9">
            <w:pPr>
              <w:jc w:val="center"/>
              <w:cnfStyle w:val="000000000000" w:firstRow="0" w:lastRow="0" w:firstColumn="0" w:lastColumn="0" w:oddVBand="0" w:evenVBand="0" w:oddHBand="0" w:evenHBand="0" w:firstRowFirstColumn="0" w:firstRowLastColumn="0" w:lastRowFirstColumn="0" w:lastRowLastColumn="0"/>
              <w:rPr>
                <w:sz w:val="18"/>
                <w:szCs w:val="18"/>
              </w:rPr>
            </w:pPr>
            <w:r w:rsidRPr="00771B43">
              <w:rPr>
                <w:sz w:val="18"/>
                <w:szCs w:val="18"/>
              </w:rPr>
              <w:t>4.75%</w:t>
            </w:r>
          </w:p>
        </w:tc>
      </w:tr>
      <w:tr w:rsidR="00471DC9" w:rsidRPr="0076098F" w:rsidTr="00471DC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87" w:type="dxa"/>
            <w:noWrap/>
          </w:tcPr>
          <w:p w:rsidR="00471DC9" w:rsidRPr="00A855D6" w:rsidRDefault="00471DC9" w:rsidP="004A78D9">
            <w:pPr>
              <w:spacing w:after="0"/>
              <w:jc w:val="left"/>
              <w:rPr>
                <w:sz w:val="18"/>
                <w:szCs w:val="18"/>
                <w:lang w:eastAsia="en-GB"/>
              </w:rPr>
            </w:pPr>
            <w:r>
              <w:rPr>
                <w:sz w:val="18"/>
                <w:szCs w:val="18"/>
                <w:lang w:eastAsia="en-GB"/>
              </w:rPr>
              <w:t>3</w:t>
            </w:r>
          </w:p>
        </w:tc>
        <w:tc>
          <w:tcPr>
            <w:tcW w:w="2454" w:type="dxa"/>
            <w:noWrap/>
            <w:hideMark/>
          </w:tcPr>
          <w:p w:rsidR="00471DC9" w:rsidRPr="00A855D6" w:rsidRDefault="00471DC9" w:rsidP="004A78D9">
            <w:pPr>
              <w:spacing w:after="0"/>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A855D6">
              <w:rPr>
                <w:sz w:val="18"/>
                <w:szCs w:val="18"/>
                <w:lang w:eastAsia="en-GB"/>
              </w:rPr>
              <w:t>0.73%</w:t>
            </w:r>
          </w:p>
        </w:tc>
        <w:tc>
          <w:tcPr>
            <w:tcW w:w="1790" w:type="dxa"/>
          </w:tcPr>
          <w:p w:rsidR="00471DC9" w:rsidRPr="0076098F" w:rsidRDefault="00471DC9" w:rsidP="004A78D9">
            <w:pPr>
              <w:jc w:val="center"/>
              <w:cnfStyle w:val="000000100000" w:firstRow="0" w:lastRow="0" w:firstColumn="0" w:lastColumn="0" w:oddVBand="0" w:evenVBand="0" w:oddHBand="1" w:evenHBand="0" w:firstRowFirstColumn="0" w:firstRowLastColumn="0" w:lastRowFirstColumn="0" w:lastRowLastColumn="0"/>
              <w:rPr>
                <w:sz w:val="18"/>
                <w:szCs w:val="18"/>
              </w:rPr>
            </w:pPr>
            <w:r w:rsidRPr="0076098F">
              <w:rPr>
                <w:sz w:val="18"/>
                <w:szCs w:val="18"/>
              </w:rPr>
              <w:t>8.58%</w:t>
            </w:r>
          </w:p>
        </w:tc>
        <w:tc>
          <w:tcPr>
            <w:tcW w:w="2136" w:type="dxa"/>
            <w:vAlign w:val="bottom"/>
          </w:tcPr>
          <w:p w:rsidR="00471DC9" w:rsidRPr="0076098F" w:rsidRDefault="00471DC9" w:rsidP="004A78D9">
            <w:pPr>
              <w:jc w:val="center"/>
              <w:cnfStyle w:val="000000100000" w:firstRow="0" w:lastRow="0" w:firstColumn="0" w:lastColumn="0" w:oddVBand="0" w:evenVBand="0" w:oddHBand="1" w:evenHBand="0" w:firstRowFirstColumn="0" w:firstRowLastColumn="0" w:lastRowFirstColumn="0" w:lastRowLastColumn="0"/>
              <w:rPr>
                <w:sz w:val="18"/>
                <w:szCs w:val="18"/>
              </w:rPr>
            </w:pPr>
            <w:r w:rsidRPr="0076098F">
              <w:rPr>
                <w:sz w:val="18"/>
                <w:szCs w:val="18"/>
              </w:rPr>
              <w:t>-6.20%</w:t>
            </w:r>
          </w:p>
        </w:tc>
        <w:tc>
          <w:tcPr>
            <w:tcW w:w="1875" w:type="dxa"/>
            <w:vAlign w:val="bottom"/>
          </w:tcPr>
          <w:p w:rsidR="00471DC9" w:rsidRPr="00771B43" w:rsidRDefault="00471DC9" w:rsidP="004A78D9">
            <w:pPr>
              <w:jc w:val="center"/>
              <w:cnfStyle w:val="000000100000" w:firstRow="0" w:lastRow="0" w:firstColumn="0" w:lastColumn="0" w:oddVBand="0" w:evenVBand="0" w:oddHBand="1" w:evenHBand="0" w:firstRowFirstColumn="0" w:firstRowLastColumn="0" w:lastRowFirstColumn="0" w:lastRowLastColumn="0"/>
              <w:rPr>
                <w:sz w:val="18"/>
                <w:szCs w:val="18"/>
              </w:rPr>
            </w:pPr>
            <w:r w:rsidRPr="00771B43">
              <w:rPr>
                <w:sz w:val="18"/>
                <w:szCs w:val="18"/>
              </w:rPr>
              <w:t>3.45%</w:t>
            </w:r>
          </w:p>
        </w:tc>
      </w:tr>
      <w:tr w:rsidR="00471DC9" w:rsidRPr="0076098F" w:rsidTr="00471DC9">
        <w:trPr>
          <w:trHeight w:val="240"/>
        </w:trPr>
        <w:tc>
          <w:tcPr>
            <w:cnfStyle w:val="001000000000" w:firstRow="0" w:lastRow="0" w:firstColumn="1" w:lastColumn="0" w:oddVBand="0" w:evenVBand="0" w:oddHBand="0" w:evenHBand="0" w:firstRowFirstColumn="0" w:firstRowLastColumn="0" w:lastRowFirstColumn="0" w:lastRowLastColumn="0"/>
            <w:tcW w:w="987" w:type="dxa"/>
            <w:noWrap/>
          </w:tcPr>
          <w:p w:rsidR="00471DC9" w:rsidRPr="00A855D6" w:rsidRDefault="00471DC9" w:rsidP="004A78D9">
            <w:pPr>
              <w:spacing w:after="0"/>
              <w:jc w:val="left"/>
              <w:rPr>
                <w:sz w:val="18"/>
                <w:szCs w:val="18"/>
                <w:lang w:eastAsia="en-GB"/>
              </w:rPr>
            </w:pPr>
            <w:r>
              <w:rPr>
                <w:sz w:val="18"/>
                <w:szCs w:val="18"/>
                <w:lang w:eastAsia="en-GB"/>
              </w:rPr>
              <w:t>4</w:t>
            </w:r>
          </w:p>
        </w:tc>
        <w:tc>
          <w:tcPr>
            <w:tcW w:w="2454" w:type="dxa"/>
            <w:noWrap/>
            <w:hideMark/>
          </w:tcPr>
          <w:p w:rsidR="00471DC9" w:rsidRPr="00A855D6" w:rsidRDefault="00471DC9" w:rsidP="004A78D9">
            <w:pPr>
              <w:spacing w:after="0"/>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A855D6">
              <w:rPr>
                <w:sz w:val="18"/>
                <w:szCs w:val="18"/>
                <w:lang w:eastAsia="en-GB"/>
              </w:rPr>
              <w:t>-2.44%</w:t>
            </w:r>
          </w:p>
        </w:tc>
        <w:tc>
          <w:tcPr>
            <w:tcW w:w="1790" w:type="dxa"/>
          </w:tcPr>
          <w:p w:rsidR="00471DC9" w:rsidRPr="0076098F" w:rsidRDefault="00471DC9" w:rsidP="004A78D9">
            <w:pPr>
              <w:jc w:val="center"/>
              <w:cnfStyle w:val="000000000000" w:firstRow="0" w:lastRow="0" w:firstColumn="0" w:lastColumn="0" w:oddVBand="0" w:evenVBand="0" w:oddHBand="0" w:evenHBand="0" w:firstRowFirstColumn="0" w:firstRowLastColumn="0" w:lastRowFirstColumn="0" w:lastRowLastColumn="0"/>
              <w:rPr>
                <w:sz w:val="18"/>
                <w:szCs w:val="18"/>
              </w:rPr>
            </w:pPr>
            <w:r w:rsidRPr="0076098F">
              <w:rPr>
                <w:sz w:val="18"/>
                <w:szCs w:val="18"/>
              </w:rPr>
              <w:t>10.34%</w:t>
            </w:r>
          </w:p>
        </w:tc>
        <w:tc>
          <w:tcPr>
            <w:tcW w:w="2136" w:type="dxa"/>
            <w:vAlign w:val="bottom"/>
          </w:tcPr>
          <w:p w:rsidR="00471DC9" w:rsidRPr="0076098F" w:rsidRDefault="00471DC9" w:rsidP="004A78D9">
            <w:pPr>
              <w:jc w:val="center"/>
              <w:cnfStyle w:val="000000000000" w:firstRow="0" w:lastRow="0" w:firstColumn="0" w:lastColumn="0" w:oddVBand="0" w:evenVBand="0" w:oddHBand="0" w:evenHBand="0" w:firstRowFirstColumn="0" w:firstRowLastColumn="0" w:lastRowFirstColumn="0" w:lastRowLastColumn="0"/>
              <w:rPr>
                <w:sz w:val="18"/>
                <w:szCs w:val="18"/>
              </w:rPr>
            </w:pPr>
            <w:r w:rsidRPr="0076098F">
              <w:rPr>
                <w:sz w:val="18"/>
                <w:szCs w:val="18"/>
              </w:rPr>
              <w:t>-4.19%</w:t>
            </w:r>
          </w:p>
        </w:tc>
        <w:tc>
          <w:tcPr>
            <w:tcW w:w="1875" w:type="dxa"/>
            <w:vAlign w:val="bottom"/>
          </w:tcPr>
          <w:p w:rsidR="00471DC9" w:rsidRPr="00771B43" w:rsidRDefault="00471DC9" w:rsidP="004A78D9">
            <w:pPr>
              <w:jc w:val="center"/>
              <w:cnfStyle w:val="000000000000" w:firstRow="0" w:lastRow="0" w:firstColumn="0" w:lastColumn="0" w:oddVBand="0" w:evenVBand="0" w:oddHBand="0" w:evenHBand="0" w:firstRowFirstColumn="0" w:firstRowLastColumn="0" w:lastRowFirstColumn="0" w:lastRowLastColumn="0"/>
              <w:rPr>
                <w:sz w:val="18"/>
                <w:szCs w:val="18"/>
              </w:rPr>
            </w:pPr>
            <w:r w:rsidRPr="00771B43">
              <w:rPr>
                <w:sz w:val="18"/>
                <w:szCs w:val="18"/>
              </w:rPr>
              <w:t>3.89%</w:t>
            </w:r>
          </w:p>
        </w:tc>
      </w:tr>
      <w:tr w:rsidR="00471DC9" w:rsidRPr="0076098F" w:rsidTr="00471DC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87" w:type="dxa"/>
            <w:noWrap/>
          </w:tcPr>
          <w:p w:rsidR="00471DC9" w:rsidRPr="00A855D6" w:rsidRDefault="00471DC9" w:rsidP="004A78D9">
            <w:pPr>
              <w:spacing w:after="0"/>
              <w:jc w:val="left"/>
              <w:rPr>
                <w:sz w:val="18"/>
                <w:szCs w:val="18"/>
                <w:lang w:eastAsia="en-GB"/>
              </w:rPr>
            </w:pPr>
            <w:r>
              <w:rPr>
                <w:sz w:val="18"/>
                <w:szCs w:val="18"/>
                <w:lang w:eastAsia="en-GB"/>
              </w:rPr>
              <w:t>5</w:t>
            </w:r>
          </w:p>
        </w:tc>
        <w:tc>
          <w:tcPr>
            <w:tcW w:w="2454" w:type="dxa"/>
            <w:noWrap/>
            <w:hideMark/>
          </w:tcPr>
          <w:p w:rsidR="00471DC9" w:rsidRPr="00A855D6" w:rsidRDefault="00471DC9" w:rsidP="004A78D9">
            <w:pPr>
              <w:spacing w:after="0"/>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A855D6">
              <w:rPr>
                <w:sz w:val="18"/>
                <w:szCs w:val="18"/>
                <w:lang w:eastAsia="en-GB"/>
              </w:rPr>
              <w:t>1.89%</w:t>
            </w:r>
          </w:p>
        </w:tc>
        <w:tc>
          <w:tcPr>
            <w:tcW w:w="1790" w:type="dxa"/>
          </w:tcPr>
          <w:p w:rsidR="00471DC9" w:rsidRPr="0076098F" w:rsidRDefault="00471DC9" w:rsidP="004A78D9">
            <w:pPr>
              <w:jc w:val="center"/>
              <w:cnfStyle w:val="000000100000" w:firstRow="0" w:lastRow="0" w:firstColumn="0" w:lastColumn="0" w:oddVBand="0" w:evenVBand="0" w:oddHBand="1" w:evenHBand="0" w:firstRowFirstColumn="0" w:firstRowLastColumn="0" w:lastRowFirstColumn="0" w:lastRowLastColumn="0"/>
              <w:rPr>
                <w:sz w:val="18"/>
                <w:szCs w:val="18"/>
              </w:rPr>
            </w:pPr>
            <w:r w:rsidRPr="0076098F">
              <w:rPr>
                <w:sz w:val="18"/>
                <w:szCs w:val="18"/>
              </w:rPr>
              <w:t>11.35%</w:t>
            </w:r>
          </w:p>
        </w:tc>
        <w:tc>
          <w:tcPr>
            <w:tcW w:w="2136" w:type="dxa"/>
            <w:vAlign w:val="bottom"/>
          </w:tcPr>
          <w:p w:rsidR="00471DC9" w:rsidRPr="0076098F" w:rsidRDefault="00471DC9" w:rsidP="004A78D9">
            <w:pPr>
              <w:jc w:val="center"/>
              <w:cnfStyle w:val="000000100000" w:firstRow="0" w:lastRow="0" w:firstColumn="0" w:lastColumn="0" w:oddVBand="0" w:evenVBand="0" w:oddHBand="1" w:evenHBand="0" w:firstRowFirstColumn="0" w:firstRowLastColumn="0" w:lastRowFirstColumn="0" w:lastRowLastColumn="0"/>
              <w:rPr>
                <w:sz w:val="18"/>
                <w:szCs w:val="18"/>
              </w:rPr>
            </w:pPr>
            <w:r w:rsidRPr="0076098F">
              <w:rPr>
                <w:sz w:val="18"/>
                <w:szCs w:val="18"/>
              </w:rPr>
              <w:t>1.65%</w:t>
            </w:r>
          </w:p>
        </w:tc>
        <w:tc>
          <w:tcPr>
            <w:tcW w:w="1875" w:type="dxa"/>
            <w:vAlign w:val="bottom"/>
          </w:tcPr>
          <w:p w:rsidR="00471DC9" w:rsidRPr="00771B43" w:rsidRDefault="00471DC9" w:rsidP="004A78D9">
            <w:pPr>
              <w:jc w:val="center"/>
              <w:cnfStyle w:val="000000100000" w:firstRow="0" w:lastRow="0" w:firstColumn="0" w:lastColumn="0" w:oddVBand="0" w:evenVBand="0" w:oddHBand="1" w:evenHBand="0" w:firstRowFirstColumn="0" w:firstRowLastColumn="0" w:lastRowFirstColumn="0" w:lastRowLastColumn="0"/>
              <w:rPr>
                <w:sz w:val="18"/>
                <w:szCs w:val="18"/>
              </w:rPr>
            </w:pPr>
            <w:r w:rsidRPr="00771B43">
              <w:rPr>
                <w:sz w:val="18"/>
                <w:szCs w:val="18"/>
              </w:rPr>
              <w:t>5.48%</w:t>
            </w:r>
          </w:p>
        </w:tc>
      </w:tr>
    </w:tbl>
    <w:p w:rsidR="00471DC9" w:rsidRDefault="00471DC9" w:rsidP="00471DC9">
      <w:pPr>
        <w:rPr>
          <w:rFonts w:eastAsiaTheme="minorHAnsi"/>
        </w:rPr>
      </w:pPr>
    </w:p>
    <w:p w:rsidR="00471DC9" w:rsidRDefault="00471DC9" w:rsidP="00471DC9">
      <w:pPr>
        <w:rPr>
          <w:rFonts w:eastAsiaTheme="minorHAnsi"/>
        </w:rPr>
      </w:pPr>
      <w:r>
        <w:rPr>
          <w:rFonts w:eastAsiaTheme="minorHAnsi"/>
        </w:rPr>
        <w:lastRenderedPageBreak/>
        <w:t>Compensation of employees represent across countries around half of the gross value added in both methodologies. Its revision has been very small compared to the revisions accounting by the gross operating surplus and the other net taxes on production.</w:t>
      </w:r>
    </w:p>
    <w:p w:rsidR="00471DC9" w:rsidRDefault="00471DC9" w:rsidP="00471DC9">
      <w:pPr>
        <w:rPr>
          <w:rFonts w:eastAsiaTheme="minorHAnsi"/>
        </w:rPr>
      </w:pPr>
      <w:r>
        <w:rPr>
          <w:rFonts w:eastAsiaTheme="minorHAnsi"/>
        </w:rPr>
        <w:t xml:space="preserve">At the detail of the A64 breakdown, the small revision of compensation of employees is the result of large upwards and downwards revisions </w:t>
      </w:r>
      <w:r w:rsidR="00D76B51">
        <w:rPr>
          <w:rFonts w:eastAsiaTheme="minorHAnsi"/>
        </w:rPr>
        <w:t>in four countries</w:t>
      </w:r>
      <w:r>
        <w:rPr>
          <w:rFonts w:eastAsiaTheme="minorHAnsi"/>
        </w:rPr>
        <w:t>.</w:t>
      </w:r>
    </w:p>
    <w:p w:rsidR="00471DC9" w:rsidRDefault="00D76B51" w:rsidP="00471DC9">
      <w:pPr>
        <w:rPr>
          <w:rFonts w:eastAsiaTheme="minorHAnsi"/>
        </w:rPr>
      </w:pPr>
      <w:r>
        <w:rPr>
          <w:rFonts w:eastAsiaTheme="minorHAnsi"/>
        </w:rPr>
        <w:t xml:space="preserve">Some outliers </w:t>
      </w:r>
      <w:r w:rsidR="00471DC9">
        <w:rPr>
          <w:rFonts w:eastAsiaTheme="minorHAnsi"/>
        </w:rPr>
        <w:t xml:space="preserve">come from the activities of households of employers where the compensation of employees </w:t>
      </w:r>
      <w:r>
        <w:rPr>
          <w:rFonts w:eastAsiaTheme="minorHAnsi"/>
        </w:rPr>
        <w:t xml:space="preserve">varied highly </w:t>
      </w:r>
      <w:r w:rsidR="00471DC9">
        <w:rPr>
          <w:rFonts w:eastAsiaTheme="minorHAnsi"/>
        </w:rPr>
        <w:t xml:space="preserve">from ESA 95 to ESA 2010. </w:t>
      </w:r>
    </w:p>
    <w:p w:rsidR="00471DC9" w:rsidRDefault="00471DC9" w:rsidP="00471DC9">
      <w:pPr>
        <w:rPr>
          <w:rFonts w:eastAsiaTheme="minorHAnsi"/>
        </w:rPr>
      </w:pPr>
      <w:r>
        <w:rPr>
          <w:rFonts w:eastAsiaTheme="minorHAnsi"/>
        </w:rPr>
        <w:t xml:space="preserve">In </w:t>
      </w:r>
      <w:r w:rsidR="00D76B51">
        <w:rPr>
          <w:rFonts w:eastAsiaTheme="minorHAnsi"/>
        </w:rPr>
        <w:t>one country</w:t>
      </w:r>
      <w:r>
        <w:rPr>
          <w:rFonts w:eastAsiaTheme="minorHAnsi"/>
        </w:rPr>
        <w:t xml:space="preserve"> 16 activities present a revision of more than 10% in absolute terms and seven over 18% in absolute terms</w:t>
      </w:r>
      <w:r w:rsidR="00D76B51">
        <w:rPr>
          <w:rFonts w:eastAsiaTheme="minorHAnsi"/>
        </w:rPr>
        <w:t>. For example the industry of</w:t>
      </w:r>
      <w:r>
        <w:rPr>
          <w:rFonts w:eastAsiaTheme="minorHAnsi"/>
        </w:rPr>
        <w:t xml:space="preserve"> C17 Paper manufacture </w:t>
      </w:r>
      <w:r w:rsidR="00D76B51">
        <w:rPr>
          <w:rFonts w:eastAsiaTheme="minorHAnsi"/>
        </w:rPr>
        <w:t xml:space="preserve">was revised by </w:t>
      </w:r>
      <w:r>
        <w:rPr>
          <w:rFonts w:eastAsiaTheme="minorHAnsi"/>
        </w:rPr>
        <w:t xml:space="preserve">-69%, L68A Imputed rentals </w:t>
      </w:r>
      <w:r w:rsidR="00D76B51">
        <w:rPr>
          <w:rFonts w:eastAsiaTheme="minorHAnsi"/>
        </w:rPr>
        <w:t>by</w:t>
      </w:r>
      <w:r>
        <w:rPr>
          <w:rFonts w:eastAsiaTheme="minorHAnsi"/>
        </w:rPr>
        <w:t xml:space="preserve"> -34%, K65 Insurance industry </w:t>
      </w:r>
      <w:r w:rsidR="00D76B51">
        <w:rPr>
          <w:rFonts w:eastAsiaTheme="minorHAnsi"/>
        </w:rPr>
        <w:t>by</w:t>
      </w:r>
      <w:r>
        <w:rPr>
          <w:rFonts w:eastAsiaTheme="minorHAnsi"/>
        </w:rPr>
        <w:t xml:space="preserve"> -37%,</w:t>
      </w:r>
      <w:r w:rsidR="00D76B51">
        <w:rPr>
          <w:rFonts w:eastAsiaTheme="minorHAnsi"/>
        </w:rPr>
        <w:t xml:space="preserve"> </w:t>
      </w:r>
      <w:r>
        <w:rPr>
          <w:rFonts w:eastAsiaTheme="minorHAnsi"/>
        </w:rPr>
        <w:t xml:space="preserve">M72 Research and development industry </w:t>
      </w:r>
      <w:r w:rsidR="00D76B51">
        <w:rPr>
          <w:rFonts w:eastAsiaTheme="minorHAnsi"/>
        </w:rPr>
        <w:t>by</w:t>
      </w:r>
      <w:r>
        <w:rPr>
          <w:rFonts w:eastAsiaTheme="minorHAnsi"/>
        </w:rPr>
        <w:t xml:space="preserve"> +18%, C33 Repair </w:t>
      </w:r>
      <w:r w:rsidR="00D76B51">
        <w:rPr>
          <w:rFonts w:eastAsiaTheme="minorHAnsi"/>
        </w:rPr>
        <w:t>by</w:t>
      </w:r>
      <w:r>
        <w:rPr>
          <w:rFonts w:eastAsiaTheme="minorHAnsi"/>
        </w:rPr>
        <w:t xml:space="preserve"> +19% and C18 Printing an reproduction industry </w:t>
      </w:r>
      <w:r w:rsidR="00D76B51">
        <w:rPr>
          <w:rFonts w:eastAsiaTheme="minorHAnsi"/>
        </w:rPr>
        <w:t>by</w:t>
      </w:r>
      <w:r>
        <w:rPr>
          <w:rFonts w:eastAsiaTheme="minorHAnsi"/>
        </w:rPr>
        <w:t xml:space="preserve"> +69%.</w:t>
      </w:r>
    </w:p>
    <w:p w:rsidR="00471DC9" w:rsidRDefault="00471DC9" w:rsidP="00471DC9">
      <w:pPr>
        <w:rPr>
          <w:rFonts w:eastAsiaTheme="minorHAnsi"/>
        </w:rPr>
      </w:pPr>
      <w:r>
        <w:rPr>
          <w:rFonts w:eastAsiaTheme="minorHAnsi"/>
        </w:rPr>
        <w:t xml:space="preserve">Gross Operating Surplus has been revised upwards significantly </w:t>
      </w:r>
      <w:r w:rsidR="00D76B51">
        <w:rPr>
          <w:rFonts w:eastAsiaTheme="minorHAnsi"/>
        </w:rPr>
        <w:t>in ev</w:t>
      </w:r>
      <w:r>
        <w:rPr>
          <w:rFonts w:eastAsiaTheme="minorHAnsi"/>
        </w:rPr>
        <w:t>ery country. This is mainly due to the revised treatment of research and development and military weapons systems into capital expenditure. As they are now recorded in GFCF, their value was deducted from intermediate consumption increasing the GVA or increasing output and GVA and distributed back into the economy via operating surplus for producers.</w:t>
      </w:r>
    </w:p>
    <w:p w:rsidR="00471DC9" w:rsidRDefault="00471DC9" w:rsidP="00471DC9">
      <w:pPr>
        <w:autoSpaceDE w:val="0"/>
        <w:autoSpaceDN w:val="0"/>
        <w:adjustRightInd w:val="0"/>
        <w:spacing w:after="0"/>
        <w:jc w:val="left"/>
        <w:rPr>
          <w:rFonts w:eastAsiaTheme="minorHAnsi"/>
        </w:rPr>
      </w:pPr>
      <w:r>
        <w:rPr>
          <w:rFonts w:eastAsiaTheme="minorHAnsi"/>
        </w:rPr>
        <w:t xml:space="preserve">Zooming on the scientific research and development industry, the revision of the Gross Operating Surplus was extremely large for all countries </w:t>
      </w:r>
      <w:r w:rsidR="00D76B51">
        <w:rPr>
          <w:rFonts w:eastAsiaTheme="minorHAnsi"/>
        </w:rPr>
        <w:t>with increases of 3 digits in percentage.</w:t>
      </w:r>
    </w:p>
    <w:p w:rsidR="00B84A3E" w:rsidRDefault="00B84A3E" w:rsidP="00B84A3E">
      <w:pPr>
        <w:pStyle w:val="Heading1"/>
      </w:pPr>
      <w:bookmarkStart w:id="4" w:name="_Toc413850153"/>
      <w:r>
        <w:t>Impact on input and output coefficients</w:t>
      </w:r>
      <w:bookmarkEnd w:id="4"/>
    </w:p>
    <w:p w:rsidR="00B84A3E" w:rsidRDefault="00B84A3E" w:rsidP="00B84A3E">
      <w:r w:rsidRPr="003854D3">
        <w:t>Measuring goods for processing by the processing fee instead of by the full value of the</w:t>
      </w:r>
      <w:r>
        <w:t xml:space="preserve"> </w:t>
      </w:r>
      <w:r w:rsidRPr="003854D3">
        <w:t>processed goods changes the nature of input-output coefficients</w:t>
      </w:r>
      <w:r>
        <w:rPr>
          <w:rStyle w:val="FootnoteReference"/>
        </w:rPr>
        <w:footnoteReference w:id="5"/>
      </w:r>
      <w:r w:rsidRPr="003854D3">
        <w:t>. The</w:t>
      </w:r>
      <w:r>
        <w:t xml:space="preserve"> coefficients will </w:t>
      </w:r>
      <w:r w:rsidRPr="003854D3">
        <w:t>no longer represent</w:t>
      </w:r>
      <w:r>
        <w:t xml:space="preserve"> </w:t>
      </w:r>
      <w:r w:rsidRPr="003854D3">
        <w:t>the technological structures of an industrial process but an economic process</w:t>
      </w:r>
      <w:r>
        <w:t xml:space="preserve"> in the sense that c</w:t>
      </w:r>
      <w:r w:rsidRPr="003854D3">
        <w:t>hanges in</w:t>
      </w:r>
      <w:r>
        <w:t xml:space="preserve"> </w:t>
      </w:r>
      <w:r w:rsidRPr="003854D3">
        <w:t>coefficients may result not from changes in technology but from changes in the proportion</w:t>
      </w:r>
      <w:r>
        <w:t xml:space="preserve"> </w:t>
      </w:r>
      <w:r w:rsidRPr="003854D3">
        <w:t xml:space="preserve">of </w:t>
      </w:r>
      <w:r>
        <w:t xml:space="preserve">product </w:t>
      </w:r>
      <w:r w:rsidRPr="003854D3">
        <w:t>processed on own account and processed on behalf of another</w:t>
      </w:r>
      <w:r>
        <w:t xml:space="preserve"> </w:t>
      </w:r>
      <w:r w:rsidRPr="003854D3">
        <w:t>unit</w:t>
      </w:r>
      <w:r>
        <w:rPr>
          <w:rStyle w:val="FootnoteReference"/>
        </w:rPr>
        <w:footnoteReference w:id="6"/>
      </w:r>
      <w:r>
        <w:t>. On the other hand the new accounting system homogenised the treatment of domestic and imported inputs</w:t>
      </w:r>
      <w:r>
        <w:rPr>
          <w:rStyle w:val="FootnoteReference"/>
        </w:rPr>
        <w:footnoteReference w:id="7"/>
      </w:r>
      <w:r>
        <w:t>. It is especially relevant nowadays because of the highly sliced Global Value Chains.</w:t>
      </w:r>
    </w:p>
    <w:p w:rsidR="00B84A3E" w:rsidRDefault="00B84A3E" w:rsidP="00B84A3E">
      <w:r>
        <w:t xml:space="preserve">The WAPE indicator compiled on the input coefficients (matrix A) gives a ranking of products impacted by the change of methodology. </w:t>
      </w:r>
    </w:p>
    <w:p w:rsidR="00B84A3E" w:rsidRDefault="00B84A3E" w:rsidP="00B84A3E">
      <w:r>
        <w:t>Focusing on the first five largest value of WAPE, some products are repeatedly pointed out across countries to have a structure change in the input-output tables because of the implementation of the new methodology: Textiles products C13-15, Motor vehicles C29, Electricity and gas D35, construction works F, wholesale trade G46.</w:t>
      </w:r>
    </w:p>
    <w:p w:rsidR="0038134F" w:rsidRDefault="0038134F">
      <w:pPr>
        <w:spacing w:after="0"/>
        <w:jc w:val="left"/>
        <w:rPr>
          <w:u w:val="single"/>
        </w:rPr>
      </w:pPr>
      <w:r>
        <w:rPr>
          <w:u w:val="single"/>
        </w:rPr>
        <w:br w:type="page"/>
      </w:r>
    </w:p>
    <w:p w:rsidR="00B84A3E" w:rsidRPr="00D72839" w:rsidRDefault="00B84A3E" w:rsidP="00D72839">
      <w:pPr>
        <w:rPr>
          <w:u w:val="single"/>
        </w:rPr>
      </w:pPr>
      <w:r w:rsidRPr="00D72839">
        <w:rPr>
          <w:u w:val="single"/>
        </w:rPr>
        <w:lastRenderedPageBreak/>
        <w:t xml:space="preserve">Table </w:t>
      </w:r>
      <w:r w:rsidR="00D72839" w:rsidRPr="00D72839">
        <w:rPr>
          <w:u w:val="single"/>
        </w:rPr>
        <w:t>9</w:t>
      </w:r>
      <w:r w:rsidRPr="00D72839">
        <w:rPr>
          <w:u w:val="single"/>
        </w:rPr>
        <w:t>: Ranking of most changing (WAPE)input coefficients by products</w:t>
      </w:r>
    </w:p>
    <w:tbl>
      <w:tblPr>
        <w:tblStyle w:val="LightList-Accent4"/>
        <w:tblW w:w="9317" w:type="dxa"/>
        <w:tblBorders>
          <w:insideH w:val="single" w:sz="8" w:space="0" w:color="8064A2" w:themeColor="accent4"/>
        </w:tblBorders>
        <w:tblLook w:val="04A0" w:firstRow="1" w:lastRow="0" w:firstColumn="1" w:lastColumn="0" w:noHBand="0" w:noVBand="1"/>
      </w:tblPr>
      <w:tblGrid>
        <w:gridCol w:w="1469"/>
        <w:gridCol w:w="1308"/>
        <w:gridCol w:w="460"/>
        <w:gridCol w:w="460"/>
        <w:gridCol w:w="460"/>
        <w:gridCol w:w="460"/>
        <w:gridCol w:w="1552"/>
        <w:gridCol w:w="1308"/>
        <w:gridCol w:w="460"/>
        <w:gridCol w:w="460"/>
        <w:gridCol w:w="460"/>
        <w:gridCol w:w="460"/>
      </w:tblGrid>
      <w:tr w:rsidR="00D72839" w:rsidRPr="009727CB" w:rsidTr="00D728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 w:type="dxa"/>
          </w:tcPr>
          <w:p w:rsidR="00D72839" w:rsidRPr="00AC2544" w:rsidRDefault="00D72839" w:rsidP="004A78D9">
            <w:pPr>
              <w:spacing w:after="0"/>
            </w:pPr>
            <w:r w:rsidRPr="00A932AC">
              <w:t>Product</w:t>
            </w:r>
          </w:p>
        </w:tc>
        <w:tc>
          <w:tcPr>
            <w:tcW w:w="1308" w:type="dxa"/>
          </w:tcPr>
          <w:p w:rsidR="00D72839" w:rsidRPr="00AC2544" w:rsidRDefault="00D72839" w:rsidP="004A78D9">
            <w:pPr>
              <w:cnfStyle w:val="100000000000" w:firstRow="1" w:lastRow="0" w:firstColumn="0" w:lastColumn="0" w:oddVBand="0" w:evenVBand="0" w:oddHBand="0" w:evenHBand="0" w:firstRowFirstColumn="0" w:firstRowLastColumn="0" w:lastRowFirstColumn="0" w:lastRowLastColumn="0"/>
            </w:pPr>
            <w:r>
              <w:t>Country 1</w:t>
            </w:r>
          </w:p>
        </w:tc>
        <w:tc>
          <w:tcPr>
            <w:tcW w:w="460" w:type="dxa"/>
          </w:tcPr>
          <w:p w:rsidR="00D72839" w:rsidRPr="00AC2544" w:rsidRDefault="00D72839" w:rsidP="004A78D9">
            <w:pPr>
              <w:cnfStyle w:val="100000000000" w:firstRow="1" w:lastRow="0" w:firstColumn="0" w:lastColumn="0" w:oddVBand="0" w:evenVBand="0" w:oddHBand="0" w:evenHBand="0" w:firstRowFirstColumn="0" w:firstRowLastColumn="0" w:lastRowFirstColumn="0" w:lastRowLastColumn="0"/>
            </w:pPr>
            <w:r>
              <w:t>2</w:t>
            </w:r>
          </w:p>
        </w:tc>
        <w:tc>
          <w:tcPr>
            <w:tcW w:w="460" w:type="dxa"/>
          </w:tcPr>
          <w:p w:rsidR="00D72839" w:rsidRPr="00AC2544" w:rsidRDefault="00D72839" w:rsidP="004A78D9">
            <w:pPr>
              <w:cnfStyle w:val="100000000000" w:firstRow="1" w:lastRow="0" w:firstColumn="0" w:lastColumn="0" w:oddVBand="0" w:evenVBand="0" w:oddHBand="0" w:evenHBand="0" w:firstRowFirstColumn="0" w:firstRowLastColumn="0" w:lastRowFirstColumn="0" w:lastRowLastColumn="0"/>
            </w:pPr>
            <w:r>
              <w:t>3</w:t>
            </w:r>
          </w:p>
        </w:tc>
        <w:tc>
          <w:tcPr>
            <w:tcW w:w="460" w:type="dxa"/>
          </w:tcPr>
          <w:p w:rsidR="00D72839" w:rsidRPr="00AC2544" w:rsidRDefault="00D72839" w:rsidP="004A78D9">
            <w:pPr>
              <w:cnfStyle w:val="100000000000" w:firstRow="1" w:lastRow="0" w:firstColumn="0" w:lastColumn="0" w:oddVBand="0" w:evenVBand="0" w:oddHBand="0" w:evenHBand="0" w:firstRowFirstColumn="0" w:firstRowLastColumn="0" w:lastRowFirstColumn="0" w:lastRowLastColumn="0"/>
            </w:pPr>
            <w:r>
              <w:t>4</w:t>
            </w:r>
          </w:p>
        </w:tc>
        <w:tc>
          <w:tcPr>
            <w:tcW w:w="460" w:type="dxa"/>
          </w:tcPr>
          <w:p w:rsidR="00D72839" w:rsidRPr="00AC2544" w:rsidRDefault="00D72839" w:rsidP="004A78D9">
            <w:pPr>
              <w:cnfStyle w:val="100000000000" w:firstRow="1" w:lastRow="0" w:firstColumn="0" w:lastColumn="0" w:oddVBand="0" w:evenVBand="0" w:oddHBand="0" w:evenHBand="0" w:firstRowFirstColumn="0" w:firstRowLastColumn="0" w:lastRowFirstColumn="0" w:lastRowLastColumn="0"/>
            </w:pPr>
            <w:r>
              <w:t>5</w:t>
            </w:r>
          </w:p>
        </w:tc>
        <w:tc>
          <w:tcPr>
            <w:tcW w:w="1552" w:type="dxa"/>
            <w:tcBorders>
              <w:bottom w:val="single" w:sz="8" w:space="0" w:color="8064A2" w:themeColor="accent4"/>
            </w:tcBorders>
          </w:tcPr>
          <w:p w:rsidR="00D72839" w:rsidRPr="00AC2544" w:rsidRDefault="00D72839" w:rsidP="004A78D9">
            <w:pPr>
              <w:spacing w:after="0"/>
              <w:cnfStyle w:val="100000000000" w:firstRow="1" w:lastRow="0" w:firstColumn="0" w:lastColumn="0" w:oddVBand="0" w:evenVBand="0" w:oddHBand="0" w:evenHBand="0" w:firstRowFirstColumn="0" w:firstRowLastColumn="0" w:lastRowFirstColumn="0" w:lastRowLastColumn="0"/>
            </w:pPr>
            <w:r w:rsidRPr="00A932AC">
              <w:t>Product</w:t>
            </w:r>
          </w:p>
        </w:tc>
        <w:tc>
          <w:tcPr>
            <w:tcW w:w="1308" w:type="dxa"/>
            <w:tcBorders>
              <w:bottom w:val="single" w:sz="8" w:space="0" w:color="8064A2" w:themeColor="accent4"/>
            </w:tcBorders>
          </w:tcPr>
          <w:p w:rsidR="00D72839" w:rsidRPr="00AC2544" w:rsidRDefault="00D72839" w:rsidP="004A78D9">
            <w:pPr>
              <w:cnfStyle w:val="100000000000" w:firstRow="1" w:lastRow="0" w:firstColumn="0" w:lastColumn="0" w:oddVBand="0" w:evenVBand="0" w:oddHBand="0" w:evenHBand="0" w:firstRowFirstColumn="0" w:firstRowLastColumn="0" w:lastRowFirstColumn="0" w:lastRowLastColumn="0"/>
            </w:pPr>
            <w:r>
              <w:t>Country 1</w:t>
            </w:r>
          </w:p>
        </w:tc>
        <w:tc>
          <w:tcPr>
            <w:tcW w:w="460" w:type="dxa"/>
            <w:tcBorders>
              <w:bottom w:val="single" w:sz="8" w:space="0" w:color="8064A2" w:themeColor="accent4"/>
            </w:tcBorders>
          </w:tcPr>
          <w:p w:rsidR="00D72839" w:rsidRPr="00AC2544" w:rsidRDefault="00D72839" w:rsidP="004A78D9">
            <w:pPr>
              <w:cnfStyle w:val="100000000000" w:firstRow="1" w:lastRow="0" w:firstColumn="0" w:lastColumn="0" w:oddVBand="0" w:evenVBand="0" w:oddHBand="0" w:evenHBand="0" w:firstRowFirstColumn="0" w:firstRowLastColumn="0" w:lastRowFirstColumn="0" w:lastRowLastColumn="0"/>
            </w:pPr>
            <w:r>
              <w:t>2</w:t>
            </w:r>
          </w:p>
        </w:tc>
        <w:tc>
          <w:tcPr>
            <w:tcW w:w="460" w:type="dxa"/>
            <w:tcBorders>
              <w:bottom w:val="single" w:sz="8" w:space="0" w:color="8064A2" w:themeColor="accent4"/>
            </w:tcBorders>
          </w:tcPr>
          <w:p w:rsidR="00D72839" w:rsidRPr="00AC2544" w:rsidRDefault="00D72839" w:rsidP="004A78D9">
            <w:pPr>
              <w:cnfStyle w:val="100000000000" w:firstRow="1" w:lastRow="0" w:firstColumn="0" w:lastColumn="0" w:oddVBand="0" w:evenVBand="0" w:oddHBand="0" w:evenHBand="0" w:firstRowFirstColumn="0" w:firstRowLastColumn="0" w:lastRowFirstColumn="0" w:lastRowLastColumn="0"/>
            </w:pPr>
            <w:r>
              <w:t>3</w:t>
            </w:r>
          </w:p>
        </w:tc>
        <w:tc>
          <w:tcPr>
            <w:tcW w:w="460" w:type="dxa"/>
          </w:tcPr>
          <w:p w:rsidR="00D72839" w:rsidRPr="00AC2544" w:rsidRDefault="00D72839" w:rsidP="004A78D9">
            <w:pPr>
              <w:cnfStyle w:val="100000000000" w:firstRow="1" w:lastRow="0" w:firstColumn="0" w:lastColumn="0" w:oddVBand="0" w:evenVBand="0" w:oddHBand="0" w:evenHBand="0" w:firstRowFirstColumn="0" w:firstRowLastColumn="0" w:lastRowFirstColumn="0" w:lastRowLastColumn="0"/>
            </w:pPr>
            <w:r>
              <w:t>4</w:t>
            </w:r>
          </w:p>
        </w:tc>
        <w:tc>
          <w:tcPr>
            <w:tcW w:w="460" w:type="dxa"/>
          </w:tcPr>
          <w:p w:rsidR="00D72839" w:rsidRPr="00AC2544" w:rsidRDefault="00D72839" w:rsidP="004A78D9">
            <w:pPr>
              <w:cnfStyle w:val="100000000000" w:firstRow="1" w:lastRow="0" w:firstColumn="0" w:lastColumn="0" w:oddVBand="0" w:evenVBand="0" w:oddHBand="0" w:evenHBand="0" w:firstRowFirstColumn="0" w:firstRowLastColumn="0" w:lastRowFirstColumn="0" w:lastRowLastColumn="0"/>
            </w:pPr>
            <w:r>
              <w:t>5</w:t>
            </w:r>
          </w:p>
        </w:tc>
      </w:tr>
      <w:tr w:rsidR="00B84A3E" w:rsidTr="00D72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 w:type="dxa"/>
          </w:tcPr>
          <w:p w:rsidR="00B84A3E" w:rsidRPr="00AC2544" w:rsidRDefault="00B84A3E" w:rsidP="004A78D9">
            <w:pPr>
              <w:spacing w:after="0"/>
              <w:jc w:val="left"/>
              <w:rPr>
                <w:color w:val="000000"/>
                <w:szCs w:val="22"/>
                <w:lang w:eastAsia="en-GB"/>
              </w:rPr>
            </w:pPr>
            <w:r w:rsidRPr="00AC2544">
              <w:rPr>
                <w:color w:val="000000"/>
                <w:szCs w:val="22"/>
                <w:lang w:eastAsia="en-GB"/>
              </w:rPr>
              <w:t>CPA_C10T12</w:t>
            </w:r>
          </w:p>
        </w:tc>
        <w:tc>
          <w:tcPr>
            <w:tcW w:w="1308"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12</w:t>
            </w:r>
          </w:p>
        </w:tc>
        <w:tc>
          <w:tcPr>
            <w:tcW w:w="460"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19</w:t>
            </w:r>
          </w:p>
        </w:tc>
        <w:tc>
          <w:tcPr>
            <w:tcW w:w="460" w:type="dxa"/>
            <w:shd w:val="clear" w:color="auto" w:fill="F2DBDB" w:themeFill="accent2" w:themeFillTint="33"/>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9C0006"/>
                <w:szCs w:val="22"/>
                <w:lang w:eastAsia="en-GB"/>
              </w:rPr>
            </w:pPr>
            <w:r w:rsidRPr="00AC2544">
              <w:rPr>
                <w:color w:val="9C0006"/>
                <w:szCs w:val="22"/>
                <w:lang w:eastAsia="en-GB"/>
              </w:rPr>
              <w:t>4</w:t>
            </w:r>
          </w:p>
        </w:tc>
        <w:tc>
          <w:tcPr>
            <w:tcW w:w="460"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20</w:t>
            </w:r>
          </w:p>
        </w:tc>
        <w:tc>
          <w:tcPr>
            <w:tcW w:w="460"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13</w:t>
            </w:r>
          </w:p>
        </w:tc>
        <w:tc>
          <w:tcPr>
            <w:tcW w:w="1552" w:type="dxa"/>
            <w:shd w:val="clear" w:color="auto" w:fill="auto"/>
          </w:tcPr>
          <w:p w:rsidR="00B84A3E" w:rsidRPr="00823BAD" w:rsidRDefault="00B84A3E" w:rsidP="004A78D9">
            <w:pPr>
              <w:spacing w:after="0"/>
              <w:jc w:val="left"/>
              <w:cnfStyle w:val="000000100000" w:firstRow="0" w:lastRow="0" w:firstColumn="0" w:lastColumn="0" w:oddVBand="0" w:evenVBand="0" w:oddHBand="1" w:evenHBand="0" w:firstRowFirstColumn="0" w:firstRowLastColumn="0" w:lastRowFirstColumn="0" w:lastRowLastColumn="0"/>
              <w:rPr>
                <w:b/>
                <w:color w:val="000000"/>
                <w:szCs w:val="22"/>
                <w:lang w:eastAsia="en-GB"/>
              </w:rPr>
            </w:pPr>
            <w:r w:rsidRPr="00823BAD">
              <w:rPr>
                <w:b/>
                <w:color w:val="000000"/>
                <w:szCs w:val="22"/>
                <w:lang w:eastAsia="en-GB"/>
              </w:rPr>
              <w:t>CPA_F</w:t>
            </w:r>
          </w:p>
        </w:tc>
        <w:tc>
          <w:tcPr>
            <w:tcW w:w="1308" w:type="dxa"/>
            <w:shd w:val="clear" w:color="auto" w:fill="F2DBDB" w:themeFill="accent2" w:themeFillTint="33"/>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9C0006"/>
                <w:szCs w:val="22"/>
                <w:lang w:eastAsia="en-GB"/>
              </w:rPr>
            </w:pPr>
            <w:r w:rsidRPr="00AC2544">
              <w:rPr>
                <w:color w:val="9C0006"/>
                <w:szCs w:val="22"/>
                <w:lang w:eastAsia="en-GB"/>
              </w:rPr>
              <w:t>5</w:t>
            </w:r>
          </w:p>
        </w:tc>
        <w:tc>
          <w:tcPr>
            <w:tcW w:w="460" w:type="dxa"/>
            <w:shd w:val="clear" w:color="auto" w:fill="F2DBDB" w:themeFill="accent2" w:themeFillTint="33"/>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9C0006"/>
                <w:szCs w:val="22"/>
                <w:lang w:eastAsia="en-GB"/>
              </w:rPr>
            </w:pPr>
            <w:r w:rsidRPr="00AC2544">
              <w:rPr>
                <w:color w:val="9C0006"/>
                <w:szCs w:val="22"/>
                <w:lang w:eastAsia="en-GB"/>
              </w:rPr>
              <w:t>4</w:t>
            </w:r>
          </w:p>
        </w:tc>
        <w:tc>
          <w:tcPr>
            <w:tcW w:w="460" w:type="dxa"/>
            <w:shd w:val="clear" w:color="auto" w:fill="F2DBDB" w:themeFill="accent2" w:themeFillTint="33"/>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9C0006"/>
                <w:szCs w:val="22"/>
                <w:lang w:eastAsia="en-GB"/>
              </w:rPr>
              <w:t>2</w:t>
            </w:r>
          </w:p>
        </w:tc>
        <w:tc>
          <w:tcPr>
            <w:tcW w:w="460"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15</w:t>
            </w:r>
          </w:p>
        </w:tc>
        <w:tc>
          <w:tcPr>
            <w:tcW w:w="460"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9C0006"/>
                <w:szCs w:val="22"/>
                <w:lang w:eastAsia="en-GB"/>
              </w:rPr>
            </w:pPr>
            <w:r w:rsidRPr="00AC2544">
              <w:rPr>
                <w:color w:val="9C0006"/>
                <w:szCs w:val="22"/>
                <w:lang w:eastAsia="en-GB"/>
              </w:rPr>
              <w:t>1</w:t>
            </w:r>
          </w:p>
        </w:tc>
      </w:tr>
      <w:tr w:rsidR="00B84A3E" w:rsidTr="00D72839">
        <w:tc>
          <w:tcPr>
            <w:cnfStyle w:val="001000000000" w:firstRow="0" w:lastRow="0" w:firstColumn="1" w:lastColumn="0" w:oddVBand="0" w:evenVBand="0" w:oddHBand="0" w:evenHBand="0" w:firstRowFirstColumn="0" w:firstRowLastColumn="0" w:lastRowFirstColumn="0" w:lastRowLastColumn="0"/>
            <w:tcW w:w="1469" w:type="dxa"/>
          </w:tcPr>
          <w:p w:rsidR="00B84A3E" w:rsidRPr="00AC2544" w:rsidRDefault="00B84A3E" w:rsidP="004A78D9">
            <w:pPr>
              <w:spacing w:after="0"/>
              <w:jc w:val="left"/>
              <w:rPr>
                <w:color w:val="000000"/>
                <w:szCs w:val="22"/>
                <w:lang w:eastAsia="en-GB"/>
              </w:rPr>
            </w:pPr>
            <w:r w:rsidRPr="00AC2544">
              <w:rPr>
                <w:color w:val="000000"/>
                <w:szCs w:val="22"/>
                <w:lang w:eastAsia="en-GB"/>
              </w:rPr>
              <w:t>CPA_C13T15</w:t>
            </w:r>
          </w:p>
        </w:tc>
        <w:tc>
          <w:tcPr>
            <w:tcW w:w="1308" w:type="dxa"/>
            <w:shd w:val="clear" w:color="auto" w:fill="F2DBDB" w:themeFill="accent2" w:themeFillTint="33"/>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9C0006"/>
                <w:szCs w:val="22"/>
                <w:lang w:eastAsia="en-GB"/>
              </w:rPr>
              <w:t>3</w:t>
            </w:r>
          </w:p>
        </w:tc>
        <w:tc>
          <w:tcPr>
            <w:tcW w:w="460" w:type="dxa"/>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000000"/>
                <w:szCs w:val="22"/>
                <w:lang w:eastAsia="en-GB"/>
              </w:rPr>
              <w:t>10</w:t>
            </w:r>
          </w:p>
        </w:tc>
        <w:tc>
          <w:tcPr>
            <w:tcW w:w="460" w:type="dxa"/>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000000"/>
                <w:szCs w:val="22"/>
                <w:lang w:eastAsia="en-GB"/>
              </w:rPr>
              <w:t>45</w:t>
            </w:r>
          </w:p>
        </w:tc>
        <w:tc>
          <w:tcPr>
            <w:tcW w:w="460" w:type="dxa"/>
            <w:shd w:val="clear" w:color="auto" w:fill="F2DBDB" w:themeFill="accent2" w:themeFillTint="33"/>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9C0006"/>
                <w:szCs w:val="22"/>
                <w:lang w:eastAsia="en-GB"/>
              </w:rPr>
              <w:t>5</w:t>
            </w:r>
          </w:p>
        </w:tc>
        <w:tc>
          <w:tcPr>
            <w:tcW w:w="460" w:type="dxa"/>
            <w:shd w:val="clear" w:color="auto" w:fill="F2DBDB" w:themeFill="accent2" w:themeFillTint="33"/>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9C0006"/>
                <w:szCs w:val="22"/>
                <w:lang w:eastAsia="en-GB"/>
              </w:rPr>
              <w:t>6</w:t>
            </w:r>
          </w:p>
        </w:tc>
        <w:tc>
          <w:tcPr>
            <w:tcW w:w="1552" w:type="dxa"/>
            <w:shd w:val="clear" w:color="auto" w:fill="auto"/>
          </w:tcPr>
          <w:p w:rsidR="00B84A3E" w:rsidRPr="00823BAD" w:rsidRDefault="00B84A3E" w:rsidP="004A78D9">
            <w:pPr>
              <w:spacing w:after="0"/>
              <w:jc w:val="left"/>
              <w:cnfStyle w:val="000000000000" w:firstRow="0" w:lastRow="0" w:firstColumn="0" w:lastColumn="0" w:oddVBand="0" w:evenVBand="0" w:oddHBand="0" w:evenHBand="0" w:firstRowFirstColumn="0" w:firstRowLastColumn="0" w:lastRowFirstColumn="0" w:lastRowLastColumn="0"/>
              <w:rPr>
                <w:b/>
                <w:color w:val="000000"/>
                <w:szCs w:val="22"/>
                <w:lang w:eastAsia="en-GB"/>
              </w:rPr>
            </w:pPr>
            <w:r w:rsidRPr="00823BAD">
              <w:rPr>
                <w:b/>
                <w:color w:val="000000"/>
                <w:szCs w:val="22"/>
                <w:lang w:eastAsia="en-GB"/>
              </w:rPr>
              <w:t>CPA_G46</w:t>
            </w:r>
          </w:p>
        </w:tc>
        <w:tc>
          <w:tcPr>
            <w:tcW w:w="1308" w:type="dxa"/>
            <w:tcBorders>
              <w:bottom w:val="single" w:sz="8" w:space="0" w:color="8064A2" w:themeColor="accent4"/>
            </w:tcBorders>
            <w:shd w:val="clear" w:color="auto" w:fill="F2DBDB" w:themeFill="accent2" w:themeFillTint="33"/>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9C0006"/>
                <w:szCs w:val="22"/>
                <w:lang w:eastAsia="en-GB"/>
              </w:rPr>
              <w:t>9</w:t>
            </w:r>
          </w:p>
        </w:tc>
        <w:tc>
          <w:tcPr>
            <w:tcW w:w="460" w:type="dxa"/>
            <w:tcBorders>
              <w:bottom w:val="single" w:sz="8" w:space="0" w:color="8064A2" w:themeColor="accent4"/>
            </w:tcBorders>
            <w:shd w:val="clear" w:color="auto" w:fill="F2DBDB" w:themeFill="accent2" w:themeFillTint="33"/>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9C0006"/>
                <w:szCs w:val="22"/>
                <w:lang w:eastAsia="en-GB"/>
              </w:rPr>
              <w:t>6</w:t>
            </w:r>
          </w:p>
        </w:tc>
        <w:tc>
          <w:tcPr>
            <w:tcW w:w="460" w:type="dxa"/>
            <w:tcBorders>
              <w:bottom w:val="single" w:sz="8" w:space="0" w:color="8064A2" w:themeColor="accent4"/>
            </w:tcBorders>
            <w:shd w:val="clear" w:color="auto" w:fill="F2DBDB" w:themeFill="accent2" w:themeFillTint="33"/>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9C0006"/>
                <w:szCs w:val="22"/>
                <w:lang w:eastAsia="en-GB"/>
              </w:rPr>
              <w:t>3</w:t>
            </w:r>
          </w:p>
        </w:tc>
        <w:tc>
          <w:tcPr>
            <w:tcW w:w="460" w:type="dxa"/>
            <w:shd w:val="clear" w:color="auto" w:fill="auto"/>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000000"/>
                <w:szCs w:val="22"/>
                <w:lang w:eastAsia="en-GB"/>
              </w:rPr>
              <w:t>13</w:t>
            </w:r>
          </w:p>
        </w:tc>
        <w:tc>
          <w:tcPr>
            <w:tcW w:w="460" w:type="dxa"/>
            <w:shd w:val="clear" w:color="auto" w:fill="F2DBDB" w:themeFill="accent2" w:themeFillTint="33"/>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9C0006"/>
                <w:szCs w:val="22"/>
                <w:lang w:eastAsia="en-GB"/>
              </w:rPr>
              <w:t>4</w:t>
            </w:r>
          </w:p>
        </w:tc>
      </w:tr>
      <w:tr w:rsidR="00B84A3E" w:rsidTr="00D72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 w:type="dxa"/>
          </w:tcPr>
          <w:p w:rsidR="00B84A3E" w:rsidRPr="00AC2544" w:rsidRDefault="00B84A3E" w:rsidP="004A78D9">
            <w:pPr>
              <w:spacing w:after="0"/>
              <w:jc w:val="left"/>
              <w:rPr>
                <w:color w:val="000000"/>
                <w:szCs w:val="22"/>
                <w:lang w:eastAsia="en-GB"/>
              </w:rPr>
            </w:pPr>
            <w:r w:rsidRPr="00AC2544">
              <w:rPr>
                <w:color w:val="000000"/>
                <w:szCs w:val="22"/>
                <w:lang w:eastAsia="en-GB"/>
              </w:rPr>
              <w:t>CPA_C19</w:t>
            </w:r>
          </w:p>
        </w:tc>
        <w:tc>
          <w:tcPr>
            <w:tcW w:w="1308"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54</w:t>
            </w:r>
          </w:p>
        </w:tc>
        <w:tc>
          <w:tcPr>
            <w:tcW w:w="460"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26</w:t>
            </w:r>
          </w:p>
        </w:tc>
        <w:tc>
          <w:tcPr>
            <w:tcW w:w="460"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21</w:t>
            </w:r>
          </w:p>
        </w:tc>
        <w:tc>
          <w:tcPr>
            <w:tcW w:w="460"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28</w:t>
            </w:r>
          </w:p>
        </w:tc>
        <w:tc>
          <w:tcPr>
            <w:tcW w:w="460" w:type="dxa"/>
            <w:shd w:val="clear" w:color="auto" w:fill="F2DBDB" w:themeFill="accent2" w:themeFillTint="33"/>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9C0006"/>
                <w:szCs w:val="22"/>
                <w:lang w:eastAsia="en-GB"/>
              </w:rPr>
            </w:pPr>
            <w:r w:rsidRPr="00AC2544">
              <w:rPr>
                <w:color w:val="9C0006"/>
                <w:szCs w:val="22"/>
                <w:lang w:eastAsia="en-GB"/>
              </w:rPr>
              <w:t>7</w:t>
            </w:r>
          </w:p>
        </w:tc>
        <w:tc>
          <w:tcPr>
            <w:tcW w:w="1552" w:type="dxa"/>
            <w:shd w:val="clear" w:color="auto" w:fill="auto"/>
          </w:tcPr>
          <w:p w:rsidR="00B84A3E" w:rsidRPr="00823BAD" w:rsidRDefault="00B84A3E" w:rsidP="004A78D9">
            <w:pPr>
              <w:spacing w:after="0"/>
              <w:jc w:val="left"/>
              <w:cnfStyle w:val="000000100000" w:firstRow="0" w:lastRow="0" w:firstColumn="0" w:lastColumn="0" w:oddVBand="0" w:evenVBand="0" w:oddHBand="1" w:evenHBand="0" w:firstRowFirstColumn="0" w:firstRowLastColumn="0" w:lastRowFirstColumn="0" w:lastRowLastColumn="0"/>
              <w:rPr>
                <w:b/>
                <w:color w:val="000000"/>
                <w:szCs w:val="22"/>
                <w:lang w:eastAsia="en-GB"/>
              </w:rPr>
            </w:pPr>
            <w:r w:rsidRPr="00823BAD">
              <w:rPr>
                <w:b/>
                <w:color w:val="000000"/>
                <w:szCs w:val="22"/>
                <w:lang w:eastAsia="en-GB"/>
              </w:rPr>
              <w:t>CPA_G47</w:t>
            </w:r>
          </w:p>
        </w:tc>
        <w:tc>
          <w:tcPr>
            <w:tcW w:w="1308" w:type="dxa"/>
            <w:shd w:val="clear" w:color="auto" w:fill="auto"/>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9C0006"/>
                <w:szCs w:val="22"/>
                <w:lang w:eastAsia="en-GB"/>
              </w:rPr>
            </w:pPr>
            <w:r w:rsidRPr="00AC2544">
              <w:rPr>
                <w:color w:val="000000"/>
                <w:szCs w:val="22"/>
                <w:lang w:eastAsia="en-GB"/>
              </w:rPr>
              <w:t>29</w:t>
            </w:r>
          </w:p>
        </w:tc>
        <w:tc>
          <w:tcPr>
            <w:tcW w:w="460" w:type="dxa"/>
            <w:shd w:val="clear" w:color="auto" w:fill="auto"/>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9C0006"/>
                <w:szCs w:val="22"/>
                <w:lang w:eastAsia="en-GB"/>
              </w:rPr>
            </w:pPr>
            <w:r w:rsidRPr="00AC2544">
              <w:rPr>
                <w:color w:val="000000"/>
                <w:szCs w:val="22"/>
                <w:lang w:eastAsia="en-GB"/>
              </w:rPr>
              <w:t>62</w:t>
            </w:r>
          </w:p>
        </w:tc>
        <w:tc>
          <w:tcPr>
            <w:tcW w:w="460" w:type="dxa"/>
            <w:shd w:val="clear" w:color="auto" w:fill="auto"/>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9C0006"/>
                <w:szCs w:val="22"/>
                <w:lang w:eastAsia="en-GB"/>
              </w:rPr>
            </w:pPr>
            <w:r w:rsidRPr="00AC2544">
              <w:rPr>
                <w:color w:val="000000"/>
                <w:szCs w:val="22"/>
                <w:lang w:eastAsia="en-GB"/>
              </w:rPr>
              <w:t>12</w:t>
            </w:r>
          </w:p>
        </w:tc>
        <w:tc>
          <w:tcPr>
            <w:tcW w:w="460" w:type="dxa"/>
            <w:shd w:val="clear" w:color="auto" w:fill="auto"/>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21</w:t>
            </w:r>
          </w:p>
        </w:tc>
        <w:tc>
          <w:tcPr>
            <w:tcW w:w="460" w:type="dxa"/>
            <w:shd w:val="clear" w:color="auto" w:fill="F2DBDB" w:themeFill="accent2" w:themeFillTint="33"/>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9C0006"/>
                <w:szCs w:val="22"/>
                <w:lang w:eastAsia="en-GB"/>
              </w:rPr>
            </w:pPr>
            <w:r w:rsidRPr="00AC2544">
              <w:rPr>
                <w:color w:val="9C0006"/>
                <w:szCs w:val="22"/>
                <w:lang w:eastAsia="en-GB"/>
              </w:rPr>
              <w:t>9</w:t>
            </w:r>
          </w:p>
        </w:tc>
      </w:tr>
      <w:tr w:rsidR="00B84A3E" w:rsidTr="00D72839">
        <w:tc>
          <w:tcPr>
            <w:cnfStyle w:val="001000000000" w:firstRow="0" w:lastRow="0" w:firstColumn="1" w:lastColumn="0" w:oddVBand="0" w:evenVBand="0" w:oddHBand="0" w:evenHBand="0" w:firstRowFirstColumn="0" w:firstRowLastColumn="0" w:lastRowFirstColumn="0" w:lastRowLastColumn="0"/>
            <w:tcW w:w="1469" w:type="dxa"/>
          </w:tcPr>
          <w:p w:rsidR="00B84A3E" w:rsidRPr="00AC2544" w:rsidRDefault="00B84A3E" w:rsidP="004A78D9">
            <w:pPr>
              <w:spacing w:after="0"/>
              <w:jc w:val="left"/>
              <w:rPr>
                <w:color w:val="000000"/>
                <w:szCs w:val="22"/>
                <w:lang w:eastAsia="en-GB"/>
              </w:rPr>
            </w:pPr>
            <w:r w:rsidRPr="00AC2544">
              <w:rPr>
                <w:color w:val="000000"/>
                <w:szCs w:val="22"/>
                <w:lang w:eastAsia="en-GB"/>
              </w:rPr>
              <w:t>CPA_C20</w:t>
            </w:r>
          </w:p>
        </w:tc>
        <w:tc>
          <w:tcPr>
            <w:tcW w:w="1308" w:type="dxa"/>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000000"/>
                <w:szCs w:val="22"/>
                <w:lang w:eastAsia="en-GB"/>
              </w:rPr>
              <w:t>41</w:t>
            </w:r>
          </w:p>
        </w:tc>
        <w:tc>
          <w:tcPr>
            <w:tcW w:w="460" w:type="dxa"/>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000000"/>
                <w:szCs w:val="22"/>
                <w:lang w:eastAsia="en-GB"/>
              </w:rPr>
              <w:t>36</w:t>
            </w:r>
          </w:p>
        </w:tc>
        <w:tc>
          <w:tcPr>
            <w:tcW w:w="460" w:type="dxa"/>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000000"/>
                <w:szCs w:val="22"/>
                <w:lang w:eastAsia="en-GB"/>
              </w:rPr>
              <w:t>11</w:t>
            </w:r>
          </w:p>
        </w:tc>
        <w:tc>
          <w:tcPr>
            <w:tcW w:w="460" w:type="dxa"/>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000000"/>
                <w:szCs w:val="22"/>
                <w:lang w:eastAsia="en-GB"/>
              </w:rPr>
              <w:t>24</w:t>
            </w:r>
          </w:p>
        </w:tc>
        <w:tc>
          <w:tcPr>
            <w:tcW w:w="460" w:type="dxa"/>
            <w:shd w:val="clear" w:color="auto" w:fill="F2DBDB" w:themeFill="accent2" w:themeFillTint="33"/>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9C0006"/>
                <w:szCs w:val="22"/>
                <w:lang w:eastAsia="en-GB"/>
              </w:rPr>
              <w:t>5</w:t>
            </w:r>
          </w:p>
        </w:tc>
        <w:tc>
          <w:tcPr>
            <w:tcW w:w="1552" w:type="dxa"/>
            <w:shd w:val="clear" w:color="auto" w:fill="auto"/>
          </w:tcPr>
          <w:p w:rsidR="00B84A3E" w:rsidRPr="00823BAD" w:rsidRDefault="00B84A3E" w:rsidP="004A78D9">
            <w:pPr>
              <w:spacing w:after="0"/>
              <w:jc w:val="left"/>
              <w:cnfStyle w:val="000000000000" w:firstRow="0" w:lastRow="0" w:firstColumn="0" w:lastColumn="0" w:oddVBand="0" w:evenVBand="0" w:oddHBand="0" w:evenHBand="0" w:firstRowFirstColumn="0" w:firstRowLastColumn="0" w:lastRowFirstColumn="0" w:lastRowLastColumn="0"/>
              <w:rPr>
                <w:b/>
                <w:color w:val="000000"/>
                <w:szCs w:val="22"/>
                <w:lang w:eastAsia="en-GB"/>
              </w:rPr>
            </w:pPr>
            <w:r w:rsidRPr="00823BAD">
              <w:rPr>
                <w:b/>
                <w:color w:val="000000"/>
                <w:szCs w:val="22"/>
                <w:lang w:eastAsia="en-GB"/>
              </w:rPr>
              <w:t>CPA_H49</w:t>
            </w:r>
          </w:p>
        </w:tc>
        <w:tc>
          <w:tcPr>
            <w:tcW w:w="1308" w:type="dxa"/>
            <w:shd w:val="clear" w:color="auto" w:fill="auto"/>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000000"/>
                <w:szCs w:val="22"/>
                <w:lang w:eastAsia="en-GB"/>
              </w:rPr>
              <w:t>13</w:t>
            </w:r>
          </w:p>
        </w:tc>
        <w:tc>
          <w:tcPr>
            <w:tcW w:w="460" w:type="dxa"/>
            <w:shd w:val="clear" w:color="auto" w:fill="auto"/>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000000"/>
                <w:szCs w:val="22"/>
                <w:lang w:eastAsia="en-GB"/>
              </w:rPr>
              <w:t>14</w:t>
            </w:r>
          </w:p>
        </w:tc>
        <w:tc>
          <w:tcPr>
            <w:tcW w:w="460" w:type="dxa"/>
            <w:shd w:val="clear" w:color="auto" w:fill="auto"/>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000000"/>
                <w:szCs w:val="22"/>
                <w:lang w:eastAsia="en-GB"/>
              </w:rPr>
              <w:t>15</w:t>
            </w:r>
          </w:p>
        </w:tc>
        <w:tc>
          <w:tcPr>
            <w:tcW w:w="460" w:type="dxa"/>
            <w:tcBorders>
              <w:bottom w:val="single" w:sz="8" w:space="0" w:color="8064A2" w:themeColor="accent4"/>
            </w:tcBorders>
            <w:shd w:val="clear" w:color="auto" w:fill="auto"/>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000000"/>
                <w:szCs w:val="22"/>
                <w:lang w:eastAsia="en-GB"/>
              </w:rPr>
              <w:t>18</w:t>
            </w:r>
          </w:p>
        </w:tc>
        <w:tc>
          <w:tcPr>
            <w:tcW w:w="460" w:type="dxa"/>
            <w:shd w:val="clear" w:color="auto" w:fill="F2DBDB" w:themeFill="accent2" w:themeFillTint="33"/>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9C0006"/>
                <w:szCs w:val="22"/>
                <w:lang w:eastAsia="en-GB"/>
              </w:rPr>
              <w:t>3</w:t>
            </w:r>
          </w:p>
        </w:tc>
      </w:tr>
      <w:tr w:rsidR="00B84A3E" w:rsidTr="00D72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 w:type="dxa"/>
          </w:tcPr>
          <w:p w:rsidR="00B84A3E" w:rsidRPr="00AC2544" w:rsidRDefault="00B84A3E" w:rsidP="004A78D9">
            <w:pPr>
              <w:spacing w:after="0"/>
              <w:jc w:val="left"/>
              <w:rPr>
                <w:color w:val="000000"/>
                <w:szCs w:val="22"/>
                <w:lang w:eastAsia="en-GB"/>
              </w:rPr>
            </w:pPr>
            <w:r w:rsidRPr="00AC2544">
              <w:rPr>
                <w:color w:val="000000"/>
                <w:szCs w:val="22"/>
                <w:lang w:eastAsia="en-GB"/>
              </w:rPr>
              <w:t>CPA_C25</w:t>
            </w:r>
          </w:p>
        </w:tc>
        <w:tc>
          <w:tcPr>
            <w:tcW w:w="1308" w:type="dxa"/>
            <w:shd w:val="clear" w:color="auto" w:fill="F2DBDB" w:themeFill="accent2" w:themeFillTint="33"/>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9C0006"/>
                <w:szCs w:val="22"/>
                <w:lang w:eastAsia="en-GB"/>
              </w:rPr>
              <w:t>8</w:t>
            </w:r>
          </w:p>
        </w:tc>
        <w:tc>
          <w:tcPr>
            <w:tcW w:w="460" w:type="dxa"/>
            <w:shd w:val="clear" w:color="auto" w:fill="F2DBDB" w:themeFill="accent2" w:themeFillTint="33"/>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9C0006"/>
                <w:szCs w:val="22"/>
                <w:lang w:eastAsia="en-GB"/>
              </w:rPr>
              <w:t>5</w:t>
            </w:r>
          </w:p>
        </w:tc>
        <w:tc>
          <w:tcPr>
            <w:tcW w:w="460"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25</w:t>
            </w:r>
          </w:p>
        </w:tc>
        <w:tc>
          <w:tcPr>
            <w:tcW w:w="460"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9C0006"/>
                <w:szCs w:val="22"/>
                <w:lang w:eastAsia="en-GB"/>
              </w:rPr>
            </w:pPr>
            <w:r w:rsidRPr="00AC2544">
              <w:rPr>
                <w:color w:val="000000"/>
                <w:szCs w:val="22"/>
                <w:lang w:eastAsia="en-GB"/>
              </w:rPr>
              <w:t>23</w:t>
            </w:r>
          </w:p>
        </w:tc>
        <w:tc>
          <w:tcPr>
            <w:tcW w:w="460"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17</w:t>
            </w:r>
          </w:p>
        </w:tc>
        <w:tc>
          <w:tcPr>
            <w:tcW w:w="1552" w:type="dxa"/>
            <w:shd w:val="clear" w:color="auto" w:fill="auto"/>
          </w:tcPr>
          <w:p w:rsidR="00B84A3E" w:rsidRPr="00823BAD" w:rsidRDefault="00B84A3E" w:rsidP="004A78D9">
            <w:pPr>
              <w:spacing w:after="0"/>
              <w:jc w:val="left"/>
              <w:cnfStyle w:val="000000100000" w:firstRow="0" w:lastRow="0" w:firstColumn="0" w:lastColumn="0" w:oddVBand="0" w:evenVBand="0" w:oddHBand="1" w:evenHBand="0" w:firstRowFirstColumn="0" w:firstRowLastColumn="0" w:lastRowFirstColumn="0" w:lastRowLastColumn="0"/>
              <w:rPr>
                <w:b/>
                <w:color w:val="000000"/>
                <w:szCs w:val="22"/>
                <w:lang w:eastAsia="en-GB"/>
              </w:rPr>
            </w:pPr>
            <w:r w:rsidRPr="00823BAD">
              <w:rPr>
                <w:b/>
                <w:color w:val="000000"/>
                <w:szCs w:val="22"/>
                <w:lang w:eastAsia="en-GB"/>
              </w:rPr>
              <w:t>CPA_J62_63</w:t>
            </w:r>
          </w:p>
        </w:tc>
        <w:tc>
          <w:tcPr>
            <w:tcW w:w="1308"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27</w:t>
            </w:r>
          </w:p>
        </w:tc>
        <w:tc>
          <w:tcPr>
            <w:tcW w:w="460"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48</w:t>
            </w:r>
          </w:p>
        </w:tc>
        <w:tc>
          <w:tcPr>
            <w:tcW w:w="460"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36</w:t>
            </w:r>
          </w:p>
        </w:tc>
        <w:tc>
          <w:tcPr>
            <w:tcW w:w="460" w:type="dxa"/>
            <w:shd w:val="clear" w:color="auto" w:fill="F2DBDB" w:themeFill="accent2" w:themeFillTint="33"/>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9C0006"/>
                <w:szCs w:val="22"/>
                <w:lang w:eastAsia="en-GB"/>
              </w:rPr>
              <w:t>6</w:t>
            </w:r>
          </w:p>
        </w:tc>
        <w:tc>
          <w:tcPr>
            <w:tcW w:w="460"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9C0006"/>
                <w:szCs w:val="22"/>
                <w:lang w:eastAsia="en-GB"/>
              </w:rPr>
            </w:pPr>
            <w:r w:rsidRPr="00AC2544">
              <w:rPr>
                <w:color w:val="000000"/>
                <w:szCs w:val="22"/>
                <w:lang w:eastAsia="en-GB"/>
              </w:rPr>
              <w:t>19</w:t>
            </w:r>
          </w:p>
        </w:tc>
      </w:tr>
      <w:tr w:rsidR="00B84A3E" w:rsidTr="00D72839">
        <w:tc>
          <w:tcPr>
            <w:cnfStyle w:val="001000000000" w:firstRow="0" w:lastRow="0" w:firstColumn="1" w:lastColumn="0" w:oddVBand="0" w:evenVBand="0" w:oddHBand="0" w:evenHBand="0" w:firstRowFirstColumn="0" w:firstRowLastColumn="0" w:lastRowFirstColumn="0" w:lastRowLastColumn="0"/>
            <w:tcW w:w="1469" w:type="dxa"/>
          </w:tcPr>
          <w:p w:rsidR="00B84A3E" w:rsidRPr="00AC2544" w:rsidRDefault="00B84A3E" w:rsidP="004A78D9">
            <w:pPr>
              <w:spacing w:after="0"/>
              <w:jc w:val="left"/>
              <w:rPr>
                <w:color w:val="000000"/>
                <w:szCs w:val="22"/>
                <w:lang w:eastAsia="en-GB"/>
              </w:rPr>
            </w:pPr>
            <w:r w:rsidRPr="00AC2544">
              <w:rPr>
                <w:color w:val="000000"/>
                <w:szCs w:val="22"/>
                <w:lang w:eastAsia="en-GB"/>
              </w:rPr>
              <w:t>CPA_C26</w:t>
            </w:r>
          </w:p>
        </w:tc>
        <w:tc>
          <w:tcPr>
            <w:tcW w:w="1308" w:type="dxa"/>
            <w:shd w:val="clear" w:color="auto" w:fill="F2DBDB" w:themeFill="accent2" w:themeFillTint="33"/>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9C0006"/>
                <w:szCs w:val="22"/>
                <w:lang w:eastAsia="en-GB"/>
              </w:rPr>
              <w:t>6</w:t>
            </w:r>
          </w:p>
        </w:tc>
        <w:tc>
          <w:tcPr>
            <w:tcW w:w="460" w:type="dxa"/>
            <w:shd w:val="clear" w:color="auto" w:fill="F2DBDB" w:themeFill="accent2" w:themeFillTint="33"/>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9C0006"/>
                <w:szCs w:val="22"/>
                <w:lang w:eastAsia="en-GB"/>
              </w:rPr>
              <w:t>7</w:t>
            </w:r>
          </w:p>
        </w:tc>
        <w:tc>
          <w:tcPr>
            <w:tcW w:w="460" w:type="dxa"/>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000000"/>
                <w:szCs w:val="22"/>
                <w:lang w:eastAsia="en-GB"/>
              </w:rPr>
              <w:t>27</w:t>
            </w:r>
          </w:p>
        </w:tc>
        <w:tc>
          <w:tcPr>
            <w:tcW w:w="460" w:type="dxa"/>
            <w:shd w:val="clear" w:color="auto" w:fill="F2DBDB" w:themeFill="accent2" w:themeFillTint="33"/>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9C0006"/>
                <w:szCs w:val="22"/>
                <w:lang w:eastAsia="en-GB"/>
              </w:rPr>
              <w:t>4</w:t>
            </w:r>
          </w:p>
        </w:tc>
        <w:tc>
          <w:tcPr>
            <w:tcW w:w="460" w:type="dxa"/>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000000"/>
                <w:szCs w:val="22"/>
                <w:lang w:eastAsia="en-GB"/>
              </w:rPr>
              <w:t>39</w:t>
            </w:r>
          </w:p>
        </w:tc>
        <w:tc>
          <w:tcPr>
            <w:tcW w:w="1552" w:type="dxa"/>
            <w:shd w:val="clear" w:color="auto" w:fill="auto"/>
          </w:tcPr>
          <w:p w:rsidR="00B84A3E" w:rsidRPr="00823BAD" w:rsidRDefault="00B84A3E" w:rsidP="004A78D9">
            <w:pPr>
              <w:spacing w:after="0"/>
              <w:jc w:val="left"/>
              <w:cnfStyle w:val="000000000000" w:firstRow="0" w:lastRow="0" w:firstColumn="0" w:lastColumn="0" w:oddVBand="0" w:evenVBand="0" w:oddHBand="0" w:evenHBand="0" w:firstRowFirstColumn="0" w:firstRowLastColumn="0" w:lastRowFirstColumn="0" w:lastRowLastColumn="0"/>
              <w:rPr>
                <w:b/>
                <w:color w:val="000000"/>
                <w:szCs w:val="22"/>
                <w:lang w:eastAsia="en-GB"/>
              </w:rPr>
            </w:pPr>
            <w:r w:rsidRPr="00823BAD">
              <w:rPr>
                <w:b/>
                <w:color w:val="000000"/>
                <w:szCs w:val="22"/>
                <w:lang w:eastAsia="en-GB"/>
              </w:rPr>
              <w:t>CPA_L68B</w:t>
            </w:r>
          </w:p>
        </w:tc>
        <w:tc>
          <w:tcPr>
            <w:tcW w:w="1308" w:type="dxa"/>
            <w:shd w:val="clear" w:color="auto" w:fill="F2DBDB" w:themeFill="accent2" w:themeFillTint="33"/>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9C0006"/>
                <w:szCs w:val="22"/>
                <w:lang w:eastAsia="en-GB"/>
              </w:rPr>
              <w:t>7</w:t>
            </w:r>
          </w:p>
        </w:tc>
        <w:tc>
          <w:tcPr>
            <w:tcW w:w="460" w:type="dxa"/>
            <w:shd w:val="clear" w:color="auto" w:fill="F2DBDB" w:themeFill="accent2" w:themeFillTint="33"/>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9C0006"/>
                <w:szCs w:val="22"/>
                <w:lang w:eastAsia="en-GB"/>
              </w:rPr>
              <w:t>2</w:t>
            </w:r>
          </w:p>
        </w:tc>
        <w:tc>
          <w:tcPr>
            <w:tcW w:w="460" w:type="dxa"/>
            <w:tcBorders>
              <w:bottom w:val="single" w:sz="8" w:space="0" w:color="8064A2" w:themeColor="accent4"/>
            </w:tcBorders>
            <w:shd w:val="clear" w:color="auto" w:fill="F2DBDB" w:themeFill="accent2" w:themeFillTint="33"/>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9C0006"/>
                <w:szCs w:val="22"/>
                <w:lang w:eastAsia="en-GB"/>
              </w:rPr>
              <w:t>1</w:t>
            </w:r>
          </w:p>
        </w:tc>
        <w:tc>
          <w:tcPr>
            <w:tcW w:w="460" w:type="dxa"/>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000000"/>
                <w:szCs w:val="22"/>
                <w:lang w:eastAsia="en-GB"/>
              </w:rPr>
              <w:t>14</w:t>
            </w:r>
          </w:p>
        </w:tc>
        <w:tc>
          <w:tcPr>
            <w:tcW w:w="460" w:type="dxa"/>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000000"/>
                <w:szCs w:val="22"/>
                <w:lang w:eastAsia="en-GB"/>
              </w:rPr>
              <w:t>20</w:t>
            </w:r>
          </w:p>
        </w:tc>
      </w:tr>
      <w:tr w:rsidR="00B84A3E" w:rsidTr="00D72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 w:type="dxa"/>
          </w:tcPr>
          <w:p w:rsidR="00B84A3E" w:rsidRPr="00AC2544" w:rsidRDefault="00B84A3E" w:rsidP="004A78D9">
            <w:pPr>
              <w:spacing w:after="0"/>
              <w:jc w:val="left"/>
              <w:rPr>
                <w:color w:val="000000"/>
                <w:szCs w:val="22"/>
                <w:lang w:eastAsia="en-GB"/>
              </w:rPr>
            </w:pPr>
            <w:r w:rsidRPr="00AC2544">
              <w:rPr>
                <w:color w:val="000000"/>
                <w:szCs w:val="22"/>
                <w:lang w:eastAsia="en-GB"/>
              </w:rPr>
              <w:t>CPA_C27</w:t>
            </w:r>
          </w:p>
        </w:tc>
        <w:tc>
          <w:tcPr>
            <w:tcW w:w="1308" w:type="dxa"/>
            <w:shd w:val="clear" w:color="auto" w:fill="F2DBDB" w:themeFill="accent2" w:themeFillTint="33"/>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9C0006"/>
                <w:szCs w:val="22"/>
                <w:lang w:eastAsia="en-GB"/>
              </w:rPr>
            </w:pPr>
            <w:r w:rsidRPr="00AC2544">
              <w:rPr>
                <w:color w:val="9C0006"/>
                <w:szCs w:val="22"/>
                <w:lang w:eastAsia="en-GB"/>
              </w:rPr>
              <w:t>1</w:t>
            </w:r>
          </w:p>
        </w:tc>
        <w:tc>
          <w:tcPr>
            <w:tcW w:w="460" w:type="dxa"/>
            <w:shd w:val="clear" w:color="auto" w:fill="F2DBDB" w:themeFill="accent2" w:themeFillTint="33"/>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9C0006"/>
                <w:szCs w:val="22"/>
                <w:lang w:eastAsia="en-GB"/>
              </w:rPr>
            </w:pPr>
            <w:r w:rsidRPr="00AC2544">
              <w:rPr>
                <w:color w:val="9C0006"/>
                <w:szCs w:val="22"/>
                <w:lang w:eastAsia="en-GB"/>
              </w:rPr>
              <w:t>9</w:t>
            </w:r>
          </w:p>
        </w:tc>
        <w:tc>
          <w:tcPr>
            <w:tcW w:w="460"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31</w:t>
            </w:r>
          </w:p>
        </w:tc>
        <w:tc>
          <w:tcPr>
            <w:tcW w:w="460" w:type="dxa"/>
            <w:shd w:val="clear" w:color="auto" w:fill="F2DBDB" w:themeFill="accent2" w:themeFillTint="33"/>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9C0006"/>
                <w:szCs w:val="22"/>
                <w:lang w:eastAsia="en-GB"/>
              </w:rPr>
            </w:pPr>
            <w:r w:rsidRPr="00AC2544">
              <w:rPr>
                <w:color w:val="9C0006"/>
                <w:szCs w:val="22"/>
                <w:lang w:eastAsia="en-GB"/>
              </w:rPr>
              <w:t>2</w:t>
            </w:r>
          </w:p>
        </w:tc>
        <w:tc>
          <w:tcPr>
            <w:tcW w:w="460"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42</w:t>
            </w:r>
          </w:p>
        </w:tc>
        <w:tc>
          <w:tcPr>
            <w:tcW w:w="1552" w:type="dxa"/>
            <w:shd w:val="clear" w:color="auto" w:fill="auto"/>
          </w:tcPr>
          <w:p w:rsidR="00B84A3E" w:rsidRPr="00823BAD" w:rsidRDefault="00B84A3E" w:rsidP="004A78D9">
            <w:pPr>
              <w:spacing w:after="0"/>
              <w:jc w:val="left"/>
              <w:cnfStyle w:val="000000100000" w:firstRow="0" w:lastRow="0" w:firstColumn="0" w:lastColumn="0" w:oddVBand="0" w:evenVBand="0" w:oddHBand="1" w:evenHBand="0" w:firstRowFirstColumn="0" w:firstRowLastColumn="0" w:lastRowFirstColumn="0" w:lastRowLastColumn="0"/>
              <w:rPr>
                <w:b/>
                <w:color w:val="000000"/>
                <w:szCs w:val="22"/>
                <w:lang w:eastAsia="en-GB"/>
              </w:rPr>
            </w:pPr>
            <w:r w:rsidRPr="00823BAD">
              <w:rPr>
                <w:b/>
                <w:color w:val="000000"/>
                <w:szCs w:val="22"/>
                <w:lang w:eastAsia="en-GB"/>
              </w:rPr>
              <w:t>CPA_M69_70</w:t>
            </w:r>
          </w:p>
        </w:tc>
        <w:tc>
          <w:tcPr>
            <w:tcW w:w="1308"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30</w:t>
            </w:r>
          </w:p>
        </w:tc>
        <w:tc>
          <w:tcPr>
            <w:tcW w:w="460"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37</w:t>
            </w:r>
          </w:p>
        </w:tc>
        <w:tc>
          <w:tcPr>
            <w:tcW w:w="460" w:type="dxa"/>
            <w:shd w:val="clear" w:color="auto" w:fill="F2DBDB" w:themeFill="accent2" w:themeFillTint="33"/>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9C0006"/>
                <w:szCs w:val="22"/>
                <w:lang w:eastAsia="en-GB"/>
              </w:rPr>
              <w:t>6</w:t>
            </w:r>
          </w:p>
        </w:tc>
        <w:tc>
          <w:tcPr>
            <w:tcW w:w="460"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9C0006"/>
                <w:szCs w:val="22"/>
                <w:lang w:eastAsia="en-GB"/>
              </w:rPr>
            </w:pPr>
            <w:r w:rsidRPr="00AC2544">
              <w:rPr>
                <w:color w:val="000000"/>
                <w:szCs w:val="22"/>
                <w:lang w:eastAsia="en-GB"/>
              </w:rPr>
              <w:t>12</w:t>
            </w:r>
          </w:p>
        </w:tc>
        <w:tc>
          <w:tcPr>
            <w:tcW w:w="460"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18</w:t>
            </w:r>
          </w:p>
        </w:tc>
      </w:tr>
      <w:tr w:rsidR="00B84A3E" w:rsidTr="00D72839">
        <w:tc>
          <w:tcPr>
            <w:cnfStyle w:val="001000000000" w:firstRow="0" w:lastRow="0" w:firstColumn="1" w:lastColumn="0" w:oddVBand="0" w:evenVBand="0" w:oddHBand="0" w:evenHBand="0" w:firstRowFirstColumn="0" w:firstRowLastColumn="0" w:lastRowFirstColumn="0" w:lastRowLastColumn="0"/>
            <w:tcW w:w="1469" w:type="dxa"/>
          </w:tcPr>
          <w:p w:rsidR="00B84A3E" w:rsidRPr="00AC2544" w:rsidRDefault="00B84A3E" w:rsidP="004A78D9">
            <w:pPr>
              <w:spacing w:after="0"/>
              <w:jc w:val="left"/>
              <w:rPr>
                <w:color w:val="000000"/>
                <w:szCs w:val="22"/>
                <w:lang w:eastAsia="en-GB"/>
              </w:rPr>
            </w:pPr>
            <w:r w:rsidRPr="00AC2544">
              <w:rPr>
                <w:color w:val="000000"/>
                <w:szCs w:val="22"/>
                <w:lang w:eastAsia="en-GB"/>
              </w:rPr>
              <w:t>CPA_C29</w:t>
            </w:r>
          </w:p>
        </w:tc>
        <w:tc>
          <w:tcPr>
            <w:tcW w:w="1308" w:type="dxa"/>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000000"/>
                <w:szCs w:val="22"/>
                <w:lang w:eastAsia="en-GB"/>
              </w:rPr>
              <w:t>23</w:t>
            </w:r>
          </w:p>
        </w:tc>
        <w:tc>
          <w:tcPr>
            <w:tcW w:w="460" w:type="dxa"/>
            <w:shd w:val="clear" w:color="auto" w:fill="F2DBDB" w:themeFill="accent2" w:themeFillTint="33"/>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9C0006"/>
                <w:szCs w:val="22"/>
                <w:lang w:eastAsia="en-GB"/>
              </w:rPr>
              <w:t>1</w:t>
            </w:r>
          </w:p>
        </w:tc>
        <w:tc>
          <w:tcPr>
            <w:tcW w:w="460" w:type="dxa"/>
            <w:shd w:val="clear" w:color="auto" w:fill="F2DBDB" w:themeFill="accent2" w:themeFillTint="33"/>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9C0006"/>
                <w:szCs w:val="22"/>
                <w:lang w:eastAsia="en-GB"/>
              </w:rPr>
              <w:t>8</w:t>
            </w:r>
          </w:p>
        </w:tc>
        <w:tc>
          <w:tcPr>
            <w:tcW w:w="460" w:type="dxa"/>
            <w:shd w:val="clear" w:color="auto" w:fill="F2DBDB" w:themeFill="accent2" w:themeFillTint="33"/>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9C0006"/>
                <w:szCs w:val="22"/>
                <w:lang w:eastAsia="en-GB"/>
              </w:rPr>
              <w:t>1</w:t>
            </w:r>
          </w:p>
        </w:tc>
        <w:tc>
          <w:tcPr>
            <w:tcW w:w="460" w:type="dxa"/>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000000"/>
                <w:szCs w:val="22"/>
                <w:lang w:eastAsia="en-GB"/>
              </w:rPr>
              <w:t>29</w:t>
            </w:r>
          </w:p>
        </w:tc>
        <w:tc>
          <w:tcPr>
            <w:tcW w:w="1552" w:type="dxa"/>
            <w:shd w:val="clear" w:color="auto" w:fill="auto"/>
          </w:tcPr>
          <w:p w:rsidR="00B84A3E" w:rsidRPr="00823BAD" w:rsidRDefault="00B84A3E" w:rsidP="004A78D9">
            <w:pPr>
              <w:spacing w:after="0"/>
              <w:jc w:val="left"/>
              <w:cnfStyle w:val="000000000000" w:firstRow="0" w:lastRow="0" w:firstColumn="0" w:lastColumn="0" w:oddVBand="0" w:evenVBand="0" w:oddHBand="0" w:evenHBand="0" w:firstRowFirstColumn="0" w:firstRowLastColumn="0" w:lastRowFirstColumn="0" w:lastRowLastColumn="0"/>
              <w:rPr>
                <w:b/>
                <w:color w:val="000000"/>
                <w:szCs w:val="22"/>
                <w:lang w:eastAsia="en-GB"/>
              </w:rPr>
            </w:pPr>
            <w:r w:rsidRPr="00823BAD">
              <w:rPr>
                <w:b/>
                <w:color w:val="000000"/>
                <w:szCs w:val="22"/>
                <w:lang w:eastAsia="en-GB"/>
              </w:rPr>
              <w:t>CPA_M72</w:t>
            </w:r>
          </w:p>
        </w:tc>
        <w:tc>
          <w:tcPr>
            <w:tcW w:w="1308" w:type="dxa"/>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000000"/>
                <w:szCs w:val="22"/>
                <w:lang w:eastAsia="en-GB"/>
              </w:rPr>
              <w:t>18</w:t>
            </w:r>
          </w:p>
        </w:tc>
        <w:tc>
          <w:tcPr>
            <w:tcW w:w="460" w:type="dxa"/>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000000"/>
                <w:szCs w:val="22"/>
                <w:lang w:eastAsia="en-GB"/>
              </w:rPr>
              <w:t>51</w:t>
            </w:r>
          </w:p>
        </w:tc>
        <w:tc>
          <w:tcPr>
            <w:tcW w:w="460" w:type="dxa"/>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000000"/>
                <w:szCs w:val="22"/>
                <w:lang w:eastAsia="en-GB"/>
              </w:rPr>
              <w:t>33</w:t>
            </w:r>
          </w:p>
        </w:tc>
        <w:tc>
          <w:tcPr>
            <w:tcW w:w="460" w:type="dxa"/>
            <w:tcBorders>
              <w:bottom w:val="nil"/>
            </w:tcBorders>
            <w:shd w:val="clear" w:color="auto" w:fill="F2DBDB" w:themeFill="accent2" w:themeFillTint="33"/>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9C0006"/>
                <w:szCs w:val="22"/>
                <w:lang w:eastAsia="en-GB"/>
              </w:rPr>
              <w:t>9</w:t>
            </w:r>
          </w:p>
        </w:tc>
        <w:tc>
          <w:tcPr>
            <w:tcW w:w="460" w:type="dxa"/>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000000"/>
                <w:szCs w:val="22"/>
                <w:lang w:eastAsia="en-GB"/>
              </w:rPr>
              <w:t>43</w:t>
            </w:r>
          </w:p>
        </w:tc>
      </w:tr>
      <w:tr w:rsidR="00B84A3E" w:rsidTr="00D72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 w:type="dxa"/>
          </w:tcPr>
          <w:p w:rsidR="00B84A3E" w:rsidRPr="00AC2544" w:rsidRDefault="00B84A3E" w:rsidP="004A78D9">
            <w:pPr>
              <w:spacing w:after="0"/>
              <w:jc w:val="left"/>
              <w:rPr>
                <w:color w:val="000000"/>
                <w:szCs w:val="22"/>
                <w:lang w:eastAsia="en-GB"/>
              </w:rPr>
            </w:pPr>
            <w:r w:rsidRPr="00AC2544">
              <w:rPr>
                <w:color w:val="000000"/>
                <w:szCs w:val="22"/>
                <w:lang w:eastAsia="en-GB"/>
              </w:rPr>
              <w:t>CPA_C30</w:t>
            </w:r>
          </w:p>
        </w:tc>
        <w:tc>
          <w:tcPr>
            <w:tcW w:w="1308"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44</w:t>
            </w:r>
          </w:p>
        </w:tc>
        <w:tc>
          <w:tcPr>
            <w:tcW w:w="460"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25</w:t>
            </w:r>
          </w:p>
        </w:tc>
        <w:tc>
          <w:tcPr>
            <w:tcW w:w="460" w:type="dxa"/>
            <w:shd w:val="clear" w:color="auto" w:fill="F2DBDB" w:themeFill="accent2" w:themeFillTint="33"/>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9C0006"/>
                <w:szCs w:val="22"/>
                <w:lang w:eastAsia="en-GB"/>
              </w:rPr>
              <w:t>5</w:t>
            </w:r>
          </w:p>
        </w:tc>
        <w:tc>
          <w:tcPr>
            <w:tcW w:w="460"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9C0006"/>
                <w:szCs w:val="22"/>
                <w:lang w:eastAsia="en-GB"/>
              </w:rPr>
            </w:pPr>
            <w:r w:rsidRPr="00AC2544">
              <w:rPr>
                <w:color w:val="000000"/>
                <w:szCs w:val="22"/>
                <w:lang w:eastAsia="en-GB"/>
              </w:rPr>
              <w:t>42</w:t>
            </w:r>
          </w:p>
        </w:tc>
        <w:tc>
          <w:tcPr>
            <w:tcW w:w="460"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33</w:t>
            </w:r>
          </w:p>
        </w:tc>
        <w:tc>
          <w:tcPr>
            <w:tcW w:w="1552" w:type="dxa"/>
            <w:shd w:val="clear" w:color="auto" w:fill="auto"/>
          </w:tcPr>
          <w:p w:rsidR="00B84A3E" w:rsidRPr="00823BAD" w:rsidRDefault="00B84A3E" w:rsidP="004A78D9">
            <w:pPr>
              <w:spacing w:after="0"/>
              <w:jc w:val="left"/>
              <w:cnfStyle w:val="000000100000" w:firstRow="0" w:lastRow="0" w:firstColumn="0" w:lastColumn="0" w:oddVBand="0" w:evenVBand="0" w:oddHBand="1" w:evenHBand="0" w:firstRowFirstColumn="0" w:firstRowLastColumn="0" w:lastRowFirstColumn="0" w:lastRowLastColumn="0"/>
              <w:rPr>
                <w:b/>
                <w:color w:val="000000"/>
                <w:szCs w:val="22"/>
                <w:lang w:eastAsia="en-GB"/>
              </w:rPr>
            </w:pPr>
            <w:r w:rsidRPr="00823BAD">
              <w:rPr>
                <w:b/>
                <w:color w:val="000000"/>
                <w:szCs w:val="22"/>
                <w:lang w:eastAsia="en-GB"/>
              </w:rPr>
              <w:t>CPA_N77</w:t>
            </w:r>
          </w:p>
        </w:tc>
        <w:tc>
          <w:tcPr>
            <w:tcW w:w="1308"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9C0006"/>
                <w:szCs w:val="22"/>
                <w:lang w:eastAsia="en-GB"/>
              </w:rPr>
            </w:pPr>
            <w:r w:rsidRPr="00AC2544">
              <w:rPr>
                <w:color w:val="000000"/>
                <w:szCs w:val="22"/>
                <w:lang w:eastAsia="en-GB"/>
              </w:rPr>
              <w:t>11</w:t>
            </w:r>
          </w:p>
        </w:tc>
        <w:tc>
          <w:tcPr>
            <w:tcW w:w="460"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9C0006"/>
                <w:szCs w:val="22"/>
                <w:lang w:eastAsia="en-GB"/>
              </w:rPr>
            </w:pPr>
            <w:r w:rsidRPr="00AC2544">
              <w:rPr>
                <w:color w:val="000000"/>
                <w:szCs w:val="22"/>
                <w:lang w:eastAsia="en-GB"/>
              </w:rPr>
              <w:t>54</w:t>
            </w:r>
          </w:p>
        </w:tc>
        <w:tc>
          <w:tcPr>
            <w:tcW w:w="460"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9C0006"/>
                <w:szCs w:val="22"/>
                <w:lang w:eastAsia="en-GB"/>
              </w:rPr>
            </w:pPr>
            <w:r w:rsidRPr="00AC2544">
              <w:rPr>
                <w:color w:val="000000"/>
                <w:szCs w:val="22"/>
                <w:lang w:eastAsia="en-GB"/>
              </w:rPr>
              <w:t>28</w:t>
            </w:r>
          </w:p>
        </w:tc>
        <w:tc>
          <w:tcPr>
            <w:tcW w:w="460" w:type="dxa"/>
            <w:tcBorders>
              <w:top w:val="nil"/>
            </w:tcBorders>
            <w:shd w:val="clear" w:color="auto" w:fill="F2DBDB" w:themeFill="accent2" w:themeFillTint="33"/>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9C0006"/>
                <w:szCs w:val="22"/>
                <w:lang w:eastAsia="en-GB"/>
              </w:rPr>
              <w:t>3</w:t>
            </w:r>
          </w:p>
        </w:tc>
        <w:tc>
          <w:tcPr>
            <w:tcW w:w="460"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47</w:t>
            </w:r>
          </w:p>
        </w:tc>
      </w:tr>
      <w:tr w:rsidR="00B84A3E" w:rsidTr="00D72839">
        <w:tc>
          <w:tcPr>
            <w:cnfStyle w:val="001000000000" w:firstRow="0" w:lastRow="0" w:firstColumn="1" w:lastColumn="0" w:oddVBand="0" w:evenVBand="0" w:oddHBand="0" w:evenHBand="0" w:firstRowFirstColumn="0" w:firstRowLastColumn="0" w:lastRowFirstColumn="0" w:lastRowLastColumn="0"/>
            <w:tcW w:w="1469" w:type="dxa"/>
          </w:tcPr>
          <w:p w:rsidR="00B84A3E" w:rsidRPr="00AC2544" w:rsidRDefault="00B84A3E" w:rsidP="004A78D9">
            <w:pPr>
              <w:spacing w:after="0"/>
              <w:jc w:val="left"/>
              <w:rPr>
                <w:color w:val="000000"/>
                <w:szCs w:val="22"/>
                <w:lang w:eastAsia="en-GB"/>
              </w:rPr>
            </w:pPr>
            <w:r w:rsidRPr="00AC2544">
              <w:rPr>
                <w:color w:val="000000"/>
                <w:szCs w:val="22"/>
                <w:lang w:eastAsia="en-GB"/>
              </w:rPr>
              <w:t>CPA_D35</w:t>
            </w:r>
          </w:p>
        </w:tc>
        <w:tc>
          <w:tcPr>
            <w:tcW w:w="1308" w:type="dxa"/>
            <w:shd w:val="clear" w:color="auto" w:fill="F2DBDB" w:themeFill="accent2" w:themeFillTint="33"/>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9C0006"/>
                <w:szCs w:val="22"/>
                <w:lang w:eastAsia="en-GB"/>
              </w:rPr>
              <w:t>2</w:t>
            </w:r>
          </w:p>
        </w:tc>
        <w:tc>
          <w:tcPr>
            <w:tcW w:w="460" w:type="dxa"/>
            <w:shd w:val="clear" w:color="auto" w:fill="F2DBDB" w:themeFill="accent2" w:themeFillTint="33"/>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9C0006"/>
                <w:szCs w:val="22"/>
                <w:lang w:eastAsia="en-GB"/>
              </w:rPr>
              <w:t>3</w:t>
            </w:r>
          </w:p>
        </w:tc>
        <w:tc>
          <w:tcPr>
            <w:tcW w:w="460" w:type="dxa"/>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000000"/>
                <w:szCs w:val="22"/>
                <w:lang w:eastAsia="en-GB"/>
              </w:rPr>
              <w:t>24</w:t>
            </w:r>
          </w:p>
        </w:tc>
        <w:tc>
          <w:tcPr>
            <w:tcW w:w="460" w:type="dxa"/>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000000"/>
                <w:szCs w:val="22"/>
                <w:lang w:eastAsia="en-GB"/>
              </w:rPr>
              <w:t>11</w:t>
            </w:r>
          </w:p>
        </w:tc>
        <w:tc>
          <w:tcPr>
            <w:tcW w:w="460" w:type="dxa"/>
            <w:shd w:val="clear" w:color="auto" w:fill="F2DBDB" w:themeFill="accent2" w:themeFillTint="33"/>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9C0006"/>
                <w:szCs w:val="22"/>
                <w:lang w:eastAsia="en-GB"/>
              </w:rPr>
              <w:t>2</w:t>
            </w:r>
          </w:p>
        </w:tc>
        <w:tc>
          <w:tcPr>
            <w:tcW w:w="1552" w:type="dxa"/>
            <w:shd w:val="clear" w:color="auto" w:fill="auto"/>
          </w:tcPr>
          <w:p w:rsidR="00B84A3E" w:rsidRPr="00823BAD" w:rsidRDefault="00B84A3E" w:rsidP="004A78D9">
            <w:pPr>
              <w:spacing w:after="0"/>
              <w:jc w:val="left"/>
              <w:cnfStyle w:val="000000000000" w:firstRow="0" w:lastRow="0" w:firstColumn="0" w:lastColumn="0" w:oddVBand="0" w:evenVBand="0" w:oddHBand="0" w:evenHBand="0" w:firstRowFirstColumn="0" w:firstRowLastColumn="0" w:lastRowFirstColumn="0" w:lastRowLastColumn="0"/>
              <w:rPr>
                <w:b/>
                <w:color w:val="000000"/>
                <w:szCs w:val="22"/>
                <w:lang w:eastAsia="en-GB"/>
              </w:rPr>
            </w:pPr>
            <w:r w:rsidRPr="00823BAD">
              <w:rPr>
                <w:b/>
                <w:color w:val="000000"/>
                <w:szCs w:val="22"/>
                <w:lang w:eastAsia="en-GB"/>
              </w:rPr>
              <w:t>CPA_O84</w:t>
            </w:r>
          </w:p>
        </w:tc>
        <w:tc>
          <w:tcPr>
            <w:tcW w:w="1308" w:type="dxa"/>
            <w:shd w:val="clear" w:color="auto" w:fill="F2DBDB" w:themeFill="accent2" w:themeFillTint="33"/>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9C0006"/>
                <w:szCs w:val="22"/>
                <w:lang w:eastAsia="en-GB"/>
              </w:rPr>
              <w:t>4</w:t>
            </w:r>
          </w:p>
        </w:tc>
        <w:tc>
          <w:tcPr>
            <w:tcW w:w="460" w:type="dxa"/>
            <w:shd w:val="clear" w:color="auto" w:fill="auto"/>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000000"/>
                <w:szCs w:val="22"/>
                <w:lang w:eastAsia="en-GB"/>
              </w:rPr>
              <w:t>11</w:t>
            </w:r>
          </w:p>
        </w:tc>
        <w:tc>
          <w:tcPr>
            <w:tcW w:w="460" w:type="dxa"/>
            <w:shd w:val="clear" w:color="auto" w:fill="F2DBDB" w:themeFill="accent2" w:themeFillTint="33"/>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9C0006"/>
                <w:szCs w:val="22"/>
                <w:lang w:eastAsia="en-GB"/>
              </w:rPr>
              <w:t>7</w:t>
            </w:r>
          </w:p>
        </w:tc>
        <w:tc>
          <w:tcPr>
            <w:tcW w:w="460" w:type="dxa"/>
            <w:shd w:val="clear" w:color="auto" w:fill="auto"/>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000000"/>
                <w:szCs w:val="22"/>
                <w:lang w:eastAsia="en-GB"/>
              </w:rPr>
              <w:t>10</w:t>
            </w:r>
          </w:p>
        </w:tc>
        <w:tc>
          <w:tcPr>
            <w:tcW w:w="460" w:type="dxa"/>
            <w:shd w:val="clear" w:color="auto" w:fill="auto"/>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000000"/>
                <w:szCs w:val="22"/>
                <w:lang w:eastAsia="en-GB"/>
              </w:rPr>
              <w:t>10</w:t>
            </w:r>
          </w:p>
        </w:tc>
      </w:tr>
    </w:tbl>
    <w:p w:rsidR="00B84A3E" w:rsidRDefault="00B84A3E" w:rsidP="00B84A3E"/>
    <w:p w:rsidR="00B84A3E" w:rsidRDefault="00B84A3E" w:rsidP="00B84A3E">
      <w:r>
        <w:t>The output multipliers (Leontief inverse matrix) are impacted as well. Research and development services are one of the largest impacted (considering WAPE) across countries. Real estate's services are also quite often one the most impacted. For the Manufacturing products, Textiles products (C13-15), Basic pharmaceuticals (C21), Basic metals (C24), Electrical equipment (C27), Energy products (D and E) are in the top list of products for which the output multipliers will be changed.</w:t>
      </w:r>
    </w:p>
    <w:p w:rsidR="00B84A3E" w:rsidRDefault="00B84A3E" w:rsidP="00B84A3E">
      <w:r>
        <w:t>Looking at the industries, the same industries impacted for the input coefficients are the same with an impact on the output multipliers: Real estate's activities K64, Research and development activities M72, Wholesale trade G46, electricity and gas industry D35.</w:t>
      </w:r>
    </w:p>
    <w:p w:rsidR="00B84A3E" w:rsidRPr="00962F91" w:rsidRDefault="00B84A3E" w:rsidP="00962F91">
      <w:pPr>
        <w:rPr>
          <w:u w:val="single"/>
        </w:rPr>
      </w:pPr>
      <w:r w:rsidRPr="00962F91">
        <w:rPr>
          <w:u w:val="single"/>
        </w:rPr>
        <w:t>Table 1</w:t>
      </w:r>
      <w:r w:rsidR="00962F91" w:rsidRPr="00962F91">
        <w:rPr>
          <w:u w:val="single"/>
        </w:rPr>
        <w:t>0</w:t>
      </w:r>
      <w:r w:rsidRPr="00962F91">
        <w:rPr>
          <w:u w:val="single"/>
        </w:rPr>
        <w:t>: Ranking of most changing (WAPE) for output coefficients by products</w:t>
      </w:r>
    </w:p>
    <w:tbl>
      <w:tblPr>
        <w:tblStyle w:val="LightList-Accent4"/>
        <w:tblW w:w="8757" w:type="dxa"/>
        <w:tblInd w:w="892" w:type="dxa"/>
        <w:tblLook w:val="04A0" w:firstRow="1" w:lastRow="0" w:firstColumn="1" w:lastColumn="0" w:noHBand="0" w:noVBand="1"/>
      </w:tblPr>
      <w:tblGrid>
        <w:gridCol w:w="1044"/>
        <w:gridCol w:w="1308"/>
        <w:gridCol w:w="549"/>
        <w:gridCol w:w="551"/>
        <w:gridCol w:w="608"/>
        <w:gridCol w:w="549"/>
        <w:gridCol w:w="1000"/>
        <w:gridCol w:w="1308"/>
        <w:gridCol w:w="460"/>
        <w:gridCol w:w="460"/>
        <w:gridCol w:w="460"/>
        <w:gridCol w:w="460"/>
      </w:tblGrid>
      <w:tr w:rsidR="002A3A27" w:rsidRPr="0031785F" w:rsidTr="007F371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4" w:type="dxa"/>
            <w:tcBorders>
              <w:bottom w:val="single" w:sz="8" w:space="0" w:color="8064A2" w:themeColor="accent4"/>
            </w:tcBorders>
            <w:noWrap/>
          </w:tcPr>
          <w:p w:rsidR="002A3A27" w:rsidRPr="00AC2544" w:rsidRDefault="002A3A27" w:rsidP="004A78D9">
            <w:pPr>
              <w:spacing w:after="0"/>
            </w:pPr>
            <w:r w:rsidRPr="00A932AC">
              <w:t>Product</w:t>
            </w:r>
          </w:p>
        </w:tc>
        <w:tc>
          <w:tcPr>
            <w:tcW w:w="1308" w:type="dxa"/>
            <w:tcBorders>
              <w:bottom w:val="single" w:sz="8" w:space="0" w:color="8064A2" w:themeColor="accent4"/>
            </w:tcBorders>
            <w:noWrap/>
          </w:tcPr>
          <w:p w:rsidR="002A3A27" w:rsidRPr="00AC2544" w:rsidRDefault="002A3A27" w:rsidP="004A78D9">
            <w:pPr>
              <w:cnfStyle w:val="100000000000" w:firstRow="1" w:lastRow="0" w:firstColumn="0" w:lastColumn="0" w:oddVBand="0" w:evenVBand="0" w:oddHBand="0" w:evenHBand="0" w:firstRowFirstColumn="0" w:firstRowLastColumn="0" w:lastRowFirstColumn="0" w:lastRowLastColumn="0"/>
            </w:pPr>
            <w:r>
              <w:t>Country 1</w:t>
            </w:r>
          </w:p>
        </w:tc>
        <w:tc>
          <w:tcPr>
            <w:tcW w:w="549" w:type="dxa"/>
            <w:tcBorders>
              <w:bottom w:val="single" w:sz="8" w:space="0" w:color="8064A2" w:themeColor="accent4"/>
            </w:tcBorders>
            <w:noWrap/>
          </w:tcPr>
          <w:p w:rsidR="002A3A27" w:rsidRPr="00AC2544" w:rsidRDefault="002A3A27" w:rsidP="004A78D9">
            <w:pPr>
              <w:cnfStyle w:val="100000000000" w:firstRow="1" w:lastRow="0" w:firstColumn="0" w:lastColumn="0" w:oddVBand="0" w:evenVBand="0" w:oddHBand="0" w:evenHBand="0" w:firstRowFirstColumn="0" w:firstRowLastColumn="0" w:lastRowFirstColumn="0" w:lastRowLastColumn="0"/>
            </w:pPr>
            <w:r>
              <w:t>2</w:t>
            </w:r>
          </w:p>
        </w:tc>
        <w:tc>
          <w:tcPr>
            <w:tcW w:w="551" w:type="dxa"/>
            <w:tcBorders>
              <w:bottom w:val="single" w:sz="8" w:space="0" w:color="8064A2" w:themeColor="accent4"/>
            </w:tcBorders>
            <w:noWrap/>
          </w:tcPr>
          <w:p w:rsidR="002A3A27" w:rsidRPr="00AC2544" w:rsidRDefault="002A3A27" w:rsidP="004A78D9">
            <w:pPr>
              <w:cnfStyle w:val="100000000000" w:firstRow="1" w:lastRow="0" w:firstColumn="0" w:lastColumn="0" w:oddVBand="0" w:evenVBand="0" w:oddHBand="0" w:evenHBand="0" w:firstRowFirstColumn="0" w:firstRowLastColumn="0" w:lastRowFirstColumn="0" w:lastRowLastColumn="0"/>
            </w:pPr>
            <w:r>
              <w:t>3</w:t>
            </w:r>
          </w:p>
        </w:tc>
        <w:tc>
          <w:tcPr>
            <w:tcW w:w="608" w:type="dxa"/>
            <w:tcBorders>
              <w:bottom w:val="single" w:sz="8" w:space="0" w:color="8064A2" w:themeColor="accent4"/>
            </w:tcBorders>
            <w:noWrap/>
          </w:tcPr>
          <w:p w:rsidR="002A3A27" w:rsidRPr="00AC2544" w:rsidRDefault="002A3A27" w:rsidP="004A78D9">
            <w:pPr>
              <w:cnfStyle w:val="100000000000" w:firstRow="1" w:lastRow="0" w:firstColumn="0" w:lastColumn="0" w:oddVBand="0" w:evenVBand="0" w:oddHBand="0" w:evenHBand="0" w:firstRowFirstColumn="0" w:firstRowLastColumn="0" w:lastRowFirstColumn="0" w:lastRowLastColumn="0"/>
            </w:pPr>
            <w:r>
              <w:t>4</w:t>
            </w:r>
          </w:p>
        </w:tc>
        <w:tc>
          <w:tcPr>
            <w:tcW w:w="549" w:type="dxa"/>
            <w:tcBorders>
              <w:bottom w:val="single" w:sz="8" w:space="0" w:color="8064A2" w:themeColor="accent4"/>
            </w:tcBorders>
            <w:noWrap/>
          </w:tcPr>
          <w:p w:rsidR="002A3A27" w:rsidRPr="00AC2544" w:rsidRDefault="002A3A27" w:rsidP="004A78D9">
            <w:pPr>
              <w:cnfStyle w:val="100000000000" w:firstRow="1" w:lastRow="0" w:firstColumn="0" w:lastColumn="0" w:oddVBand="0" w:evenVBand="0" w:oddHBand="0" w:evenHBand="0" w:firstRowFirstColumn="0" w:firstRowLastColumn="0" w:lastRowFirstColumn="0" w:lastRowLastColumn="0"/>
            </w:pPr>
            <w:r>
              <w:t>5</w:t>
            </w:r>
          </w:p>
        </w:tc>
        <w:tc>
          <w:tcPr>
            <w:tcW w:w="1000" w:type="dxa"/>
            <w:tcBorders>
              <w:bottom w:val="single" w:sz="8" w:space="0" w:color="8064A2" w:themeColor="accent4"/>
            </w:tcBorders>
          </w:tcPr>
          <w:p w:rsidR="002A3A27" w:rsidRPr="00AC2544" w:rsidRDefault="002A3A27" w:rsidP="004A78D9">
            <w:pPr>
              <w:spacing w:after="0"/>
              <w:cnfStyle w:val="100000000000" w:firstRow="1" w:lastRow="0" w:firstColumn="0" w:lastColumn="0" w:oddVBand="0" w:evenVBand="0" w:oddHBand="0" w:evenHBand="0" w:firstRowFirstColumn="0" w:firstRowLastColumn="0" w:lastRowFirstColumn="0" w:lastRowLastColumn="0"/>
            </w:pPr>
            <w:r w:rsidRPr="00A932AC">
              <w:t>Product</w:t>
            </w:r>
          </w:p>
        </w:tc>
        <w:tc>
          <w:tcPr>
            <w:tcW w:w="1308" w:type="dxa"/>
            <w:tcBorders>
              <w:bottom w:val="single" w:sz="8" w:space="0" w:color="8064A2" w:themeColor="accent4"/>
            </w:tcBorders>
          </w:tcPr>
          <w:p w:rsidR="002A3A27" w:rsidRPr="00AC2544" w:rsidRDefault="002A3A27" w:rsidP="004A78D9">
            <w:pPr>
              <w:cnfStyle w:val="100000000000" w:firstRow="1" w:lastRow="0" w:firstColumn="0" w:lastColumn="0" w:oddVBand="0" w:evenVBand="0" w:oddHBand="0" w:evenHBand="0" w:firstRowFirstColumn="0" w:firstRowLastColumn="0" w:lastRowFirstColumn="0" w:lastRowLastColumn="0"/>
            </w:pPr>
            <w:r>
              <w:t>Country 1</w:t>
            </w:r>
          </w:p>
        </w:tc>
        <w:tc>
          <w:tcPr>
            <w:tcW w:w="460" w:type="dxa"/>
            <w:tcBorders>
              <w:bottom w:val="single" w:sz="8" w:space="0" w:color="8064A2" w:themeColor="accent4"/>
            </w:tcBorders>
          </w:tcPr>
          <w:p w:rsidR="002A3A27" w:rsidRPr="00AC2544" w:rsidRDefault="002A3A27" w:rsidP="004A78D9">
            <w:pPr>
              <w:cnfStyle w:val="100000000000" w:firstRow="1" w:lastRow="0" w:firstColumn="0" w:lastColumn="0" w:oddVBand="0" w:evenVBand="0" w:oddHBand="0" w:evenHBand="0" w:firstRowFirstColumn="0" w:firstRowLastColumn="0" w:lastRowFirstColumn="0" w:lastRowLastColumn="0"/>
            </w:pPr>
            <w:r>
              <w:t>2</w:t>
            </w:r>
          </w:p>
        </w:tc>
        <w:tc>
          <w:tcPr>
            <w:tcW w:w="460" w:type="dxa"/>
            <w:tcBorders>
              <w:bottom w:val="single" w:sz="8" w:space="0" w:color="8064A2" w:themeColor="accent4"/>
            </w:tcBorders>
          </w:tcPr>
          <w:p w:rsidR="002A3A27" w:rsidRPr="00AC2544" w:rsidRDefault="002A3A27" w:rsidP="004A78D9">
            <w:pPr>
              <w:cnfStyle w:val="100000000000" w:firstRow="1" w:lastRow="0" w:firstColumn="0" w:lastColumn="0" w:oddVBand="0" w:evenVBand="0" w:oddHBand="0" w:evenHBand="0" w:firstRowFirstColumn="0" w:firstRowLastColumn="0" w:lastRowFirstColumn="0" w:lastRowLastColumn="0"/>
            </w:pPr>
            <w:r>
              <w:t>3</w:t>
            </w:r>
          </w:p>
        </w:tc>
        <w:tc>
          <w:tcPr>
            <w:tcW w:w="460" w:type="dxa"/>
            <w:tcBorders>
              <w:bottom w:val="single" w:sz="8" w:space="0" w:color="8064A2" w:themeColor="accent4"/>
            </w:tcBorders>
          </w:tcPr>
          <w:p w:rsidR="002A3A27" w:rsidRPr="00AC2544" w:rsidRDefault="002A3A27" w:rsidP="004A78D9">
            <w:pPr>
              <w:cnfStyle w:val="100000000000" w:firstRow="1" w:lastRow="0" w:firstColumn="0" w:lastColumn="0" w:oddVBand="0" w:evenVBand="0" w:oddHBand="0" w:evenHBand="0" w:firstRowFirstColumn="0" w:firstRowLastColumn="0" w:lastRowFirstColumn="0" w:lastRowLastColumn="0"/>
            </w:pPr>
            <w:r>
              <w:t>4</w:t>
            </w:r>
          </w:p>
        </w:tc>
        <w:tc>
          <w:tcPr>
            <w:tcW w:w="460" w:type="dxa"/>
            <w:tcBorders>
              <w:bottom w:val="single" w:sz="8" w:space="0" w:color="8064A2" w:themeColor="accent4"/>
            </w:tcBorders>
          </w:tcPr>
          <w:p w:rsidR="002A3A27" w:rsidRPr="00AC2544" w:rsidRDefault="002A3A27" w:rsidP="004A78D9">
            <w:pPr>
              <w:cnfStyle w:val="100000000000" w:firstRow="1" w:lastRow="0" w:firstColumn="0" w:lastColumn="0" w:oddVBand="0" w:evenVBand="0" w:oddHBand="0" w:evenHBand="0" w:firstRowFirstColumn="0" w:firstRowLastColumn="0" w:lastRowFirstColumn="0" w:lastRowLastColumn="0"/>
            </w:pPr>
            <w:r>
              <w:t>5</w:t>
            </w:r>
          </w:p>
        </w:tc>
      </w:tr>
      <w:tr w:rsidR="00B84A3E" w:rsidRPr="0031785F" w:rsidTr="007F3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4" w:type="dxa"/>
            <w:noWrap/>
            <w:hideMark/>
          </w:tcPr>
          <w:p w:rsidR="00B84A3E" w:rsidRPr="00AC2544" w:rsidRDefault="00B84A3E" w:rsidP="004A78D9">
            <w:pPr>
              <w:spacing w:after="0"/>
              <w:jc w:val="left"/>
              <w:rPr>
                <w:color w:val="000000"/>
                <w:szCs w:val="22"/>
                <w:lang w:eastAsia="en-GB"/>
              </w:rPr>
            </w:pPr>
            <w:r w:rsidRPr="00AC2544">
              <w:rPr>
                <w:color w:val="000000"/>
                <w:szCs w:val="22"/>
                <w:lang w:eastAsia="en-GB"/>
              </w:rPr>
              <w:t>C13T15</w:t>
            </w:r>
          </w:p>
        </w:tc>
        <w:tc>
          <w:tcPr>
            <w:tcW w:w="1308" w:type="dxa"/>
            <w:shd w:val="clear" w:color="auto" w:fill="F2DBDB" w:themeFill="accent2" w:themeFillTint="33"/>
            <w:noWrap/>
            <w:hideMark/>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9C0006"/>
                <w:szCs w:val="22"/>
                <w:lang w:eastAsia="en-GB"/>
              </w:rPr>
            </w:pPr>
            <w:r w:rsidRPr="00AC2544">
              <w:rPr>
                <w:color w:val="9C0006"/>
                <w:szCs w:val="22"/>
                <w:lang w:eastAsia="en-GB"/>
              </w:rPr>
              <w:t>4</w:t>
            </w:r>
          </w:p>
        </w:tc>
        <w:tc>
          <w:tcPr>
            <w:tcW w:w="549" w:type="dxa"/>
            <w:noWrap/>
            <w:hideMark/>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10</w:t>
            </w:r>
          </w:p>
        </w:tc>
        <w:tc>
          <w:tcPr>
            <w:tcW w:w="551" w:type="dxa"/>
            <w:noWrap/>
            <w:hideMark/>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31</w:t>
            </w:r>
          </w:p>
        </w:tc>
        <w:tc>
          <w:tcPr>
            <w:tcW w:w="608" w:type="dxa"/>
            <w:shd w:val="clear" w:color="auto" w:fill="F2DBDB" w:themeFill="accent2" w:themeFillTint="33"/>
            <w:noWrap/>
            <w:hideMark/>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9C0006"/>
                <w:szCs w:val="22"/>
                <w:lang w:eastAsia="en-GB"/>
              </w:rPr>
            </w:pPr>
            <w:r w:rsidRPr="00AC2544">
              <w:rPr>
                <w:color w:val="9C0006"/>
                <w:szCs w:val="22"/>
                <w:lang w:eastAsia="en-GB"/>
              </w:rPr>
              <w:t>2</w:t>
            </w:r>
          </w:p>
        </w:tc>
        <w:tc>
          <w:tcPr>
            <w:tcW w:w="549" w:type="dxa"/>
            <w:noWrap/>
            <w:hideMark/>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42</w:t>
            </w:r>
          </w:p>
        </w:tc>
        <w:tc>
          <w:tcPr>
            <w:tcW w:w="1000" w:type="dxa"/>
            <w:shd w:val="clear" w:color="auto" w:fill="auto"/>
          </w:tcPr>
          <w:p w:rsidR="00B84A3E" w:rsidRPr="00823BAD" w:rsidRDefault="00B84A3E" w:rsidP="004A78D9">
            <w:pPr>
              <w:spacing w:after="0"/>
              <w:jc w:val="left"/>
              <w:cnfStyle w:val="000000100000" w:firstRow="0" w:lastRow="0" w:firstColumn="0" w:lastColumn="0" w:oddVBand="0" w:evenVBand="0" w:oddHBand="1" w:evenHBand="0" w:firstRowFirstColumn="0" w:firstRowLastColumn="0" w:lastRowFirstColumn="0" w:lastRowLastColumn="0"/>
              <w:rPr>
                <w:b/>
                <w:color w:val="000000"/>
                <w:szCs w:val="22"/>
                <w:lang w:eastAsia="en-GB"/>
              </w:rPr>
            </w:pPr>
            <w:r w:rsidRPr="00823BAD">
              <w:rPr>
                <w:b/>
                <w:color w:val="000000"/>
                <w:szCs w:val="22"/>
                <w:lang w:eastAsia="en-GB"/>
              </w:rPr>
              <w:t>E36</w:t>
            </w:r>
          </w:p>
        </w:tc>
        <w:tc>
          <w:tcPr>
            <w:tcW w:w="1308"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28</w:t>
            </w:r>
          </w:p>
        </w:tc>
        <w:tc>
          <w:tcPr>
            <w:tcW w:w="460" w:type="dxa"/>
            <w:shd w:val="clear" w:color="auto" w:fill="F2DBDB" w:themeFill="accent2" w:themeFillTint="33"/>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9C0006"/>
                <w:szCs w:val="22"/>
                <w:lang w:eastAsia="en-GB"/>
              </w:rPr>
            </w:pPr>
            <w:r w:rsidRPr="00AC2544">
              <w:rPr>
                <w:color w:val="9C0006"/>
                <w:szCs w:val="22"/>
                <w:lang w:eastAsia="en-GB"/>
              </w:rPr>
              <w:t>3</w:t>
            </w:r>
          </w:p>
        </w:tc>
        <w:tc>
          <w:tcPr>
            <w:tcW w:w="460"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16</w:t>
            </w:r>
          </w:p>
        </w:tc>
        <w:tc>
          <w:tcPr>
            <w:tcW w:w="460"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60</w:t>
            </w:r>
          </w:p>
        </w:tc>
        <w:tc>
          <w:tcPr>
            <w:tcW w:w="460" w:type="dxa"/>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14</w:t>
            </w:r>
          </w:p>
        </w:tc>
      </w:tr>
      <w:tr w:rsidR="00B84A3E" w:rsidRPr="0031785F" w:rsidTr="007F371A">
        <w:trPr>
          <w:trHeight w:val="300"/>
        </w:trPr>
        <w:tc>
          <w:tcPr>
            <w:cnfStyle w:val="001000000000" w:firstRow="0" w:lastRow="0" w:firstColumn="1" w:lastColumn="0" w:oddVBand="0" w:evenVBand="0" w:oddHBand="0" w:evenHBand="0" w:firstRowFirstColumn="0" w:firstRowLastColumn="0" w:lastRowFirstColumn="0" w:lastRowLastColumn="0"/>
            <w:tcW w:w="1044" w:type="dxa"/>
            <w:tcBorders>
              <w:top w:val="single" w:sz="8" w:space="0" w:color="8064A2" w:themeColor="accent4"/>
              <w:bottom w:val="single" w:sz="8" w:space="0" w:color="8064A2" w:themeColor="accent4"/>
              <w:right w:val="nil"/>
            </w:tcBorders>
            <w:noWrap/>
            <w:hideMark/>
          </w:tcPr>
          <w:p w:rsidR="00B84A3E" w:rsidRPr="00AC2544" w:rsidRDefault="00B84A3E" w:rsidP="004A78D9">
            <w:pPr>
              <w:spacing w:after="0"/>
              <w:jc w:val="left"/>
              <w:rPr>
                <w:color w:val="000000"/>
                <w:szCs w:val="22"/>
                <w:lang w:eastAsia="en-GB"/>
              </w:rPr>
            </w:pPr>
            <w:r w:rsidRPr="00AC2544">
              <w:rPr>
                <w:color w:val="000000"/>
                <w:szCs w:val="22"/>
                <w:lang w:eastAsia="en-GB"/>
              </w:rPr>
              <w:t>C21</w:t>
            </w:r>
          </w:p>
        </w:tc>
        <w:tc>
          <w:tcPr>
            <w:tcW w:w="1308" w:type="dxa"/>
            <w:tcBorders>
              <w:top w:val="single" w:sz="8" w:space="0" w:color="8064A2" w:themeColor="accent4"/>
              <w:left w:val="nil"/>
              <w:bottom w:val="single" w:sz="8" w:space="0" w:color="8064A2" w:themeColor="accent4"/>
              <w:right w:val="nil"/>
            </w:tcBorders>
            <w:shd w:val="clear" w:color="auto" w:fill="auto"/>
            <w:noWrap/>
            <w:hideMark/>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000000"/>
                <w:szCs w:val="22"/>
                <w:lang w:eastAsia="en-GB"/>
              </w:rPr>
              <w:t>44</w:t>
            </w:r>
          </w:p>
        </w:tc>
        <w:tc>
          <w:tcPr>
            <w:tcW w:w="549" w:type="dxa"/>
            <w:tcBorders>
              <w:top w:val="single" w:sz="8" w:space="0" w:color="8064A2" w:themeColor="accent4"/>
              <w:left w:val="nil"/>
              <w:bottom w:val="single" w:sz="8" w:space="0" w:color="8064A2" w:themeColor="accent4"/>
              <w:right w:val="nil"/>
            </w:tcBorders>
            <w:noWrap/>
            <w:hideMark/>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000000"/>
                <w:szCs w:val="22"/>
                <w:lang w:eastAsia="en-GB"/>
              </w:rPr>
              <w:t>14</w:t>
            </w:r>
          </w:p>
        </w:tc>
        <w:tc>
          <w:tcPr>
            <w:tcW w:w="551" w:type="dxa"/>
            <w:tcBorders>
              <w:top w:val="single" w:sz="8" w:space="0" w:color="8064A2" w:themeColor="accent4"/>
              <w:left w:val="nil"/>
              <w:bottom w:val="single" w:sz="8" w:space="0" w:color="8064A2" w:themeColor="accent4"/>
              <w:right w:val="nil"/>
            </w:tcBorders>
            <w:shd w:val="clear" w:color="auto" w:fill="F2DBDB" w:themeFill="accent2" w:themeFillTint="33"/>
            <w:noWrap/>
            <w:hideMark/>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9C0006"/>
                <w:szCs w:val="22"/>
                <w:lang w:eastAsia="en-GB"/>
              </w:rPr>
              <w:t>2</w:t>
            </w:r>
          </w:p>
        </w:tc>
        <w:tc>
          <w:tcPr>
            <w:tcW w:w="608" w:type="dxa"/>
            <w:tcBorders>
              <w:top w:val="single" w:sz="8" w:space="0" w:color="8064A2" w:themeColor="accent4"/>
              <w:left w:val="nil"/>
              <w:bottom w:val="single" w:sz="8" w:space="0" w:color="8064A2" w:themeColor="accent4"/>
              <w:right w:val="nil"/>
            </w:tcBorders>
            <w:shd w:val="clear" w:color="auto" w:fill="F2DBDB" w:themeFill="accent2" w:themeFillTint="33"/>
            <w:noWrap/>
            <w:hideMark/>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9C0006"/>
                <w:szCs w:val="22"/>
                <w:lang w:eastAsia="en-GB"/>
              </w:rPr>
              <w:t>6</w:t>
            </w:r>
          </w:p>
        </w:tc>
        <w:tc>
          <w:tcPr>
            <w:tcW w:w="549" w:type="dxa"/>
            <w:tcBorders>
              <w:top w:val="single" w:sz="8" w:space="0" w:color="8064A2" w:themeColor="accent4"/>
              <w:left w:val="nil"/>
              <w:bottom w:val="single" w:sz="8" w:space="0" w:color="8064A2" w:themeColor="accent4"/>
              <w:right w:val="nil"/>
            </w:tcBorders>
            <w:noWrap/>
            <w:hideMark/>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000000"/>
                <w:szCs w:val="22"/>
                <w:lang w:eastAsia="en-GB"/>
              </w:rPr>
              <w:t>17</w:t>
            </w:r>
          </w:p>
        </w:tc>
        <w:tc>
          <w:tcPr>
            <w:tcW w:w="1000" w:type="dxa"/>
            <w:tcBorders>
              <w:top w:val="single" w:sz="8" w:space="0" w:color="8064A2" w:themeColor="accent4"/>
              <w:left w:val="nil"/>
              <w:bottom w:val="single" w:sz="8" w:space="0" w:color="8064A2" w:themeColor="accent4"/>
              <w:right w:val="nil"/>
            </w:tcBorders>
            <w:shd w:val="clear" w:color="auto" w:fill="auto"/>
          </w:tcPr>
          <w:p w:rsidR="00B84A3E" w:rsidRPr="00823BAD" w:rsidRDefault="00B84A3E" w:rsidP="004A78D9">
            <w:pPr>
              <w:spacing w:after="0"/>
              <w:jc w:val="left"/>
              <w:cnfStyle w:val="000000000000" w:firstRow="0" w:lastRow="0" w:firstColumn="0" w:lastColumn="0" w:oddVBand="0" w:evenVBand="0" w:oddHBand="0" w:evenHBand="0" w:firstRowFirstColumn="0" w:firstRowLastColumn="0" w:lastRowFirstColumn="0" w:lastRowLastColumn="0"/>
              <w:rPr>
                <w:b/>
                <w:color w:val="000000"/>
                <w:szCs w:val="22"/>
                <w:lang w:eastAsia="en-GB"/>
              </w:rPr>
            </w:pPr>
            <w:r w:rsidRPr="00823BAD">
              <w:rPr>
                <w:b/>
                <w:color w:val="000000"/>
                <w:szCs w:val="22"/>
                <w:lang w:eastAsia="en-GB"/>
              </w:rPr>
              <w:t>H51</w:t>
            </w:r>
          </w:p>
        </w:tc>
        <w:tc>
          <w:tcPr>
            <w:tcW w:w="1308" w:type="dxa"/>
            <w:tcBorders>
              <w:top w:val="single" w:sz="8" w:space="0" w:color="8064A2" w:themeColor="accent4"/>
              <w:left w:val="nil"/>
              <w:bottom w:val="single" w:sz="8" w:space="0" w:color="8064A2" w:themeColor="accent4"/>
              <w:right w:val="nil"/>
            </w:tcBorders>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000000"/>
                <w:szCs w:val="22"/>
                <w:lang w:eastAsia="en-GB"/>
              </w:rPr>
              <w:t>53</w:t>
            </w:r>
          </w:p>
        </w:tc>
        <w:tc>
          <w:tcPr>
            <w:tcW w:w="460" w:type="dxa"/>
            <w:tcBorders>
              <w:top w:val="single" w:sz="8" w:space="0" w:color="8064A2" w:themeColor="accent4"/>
              <w:left w:val="nil"/>
              <w:bottom w:val="single" w:sz="8" w:space="0" w:color="8064A2" w:themeColor="accent4"/>
              <w:right w:val="nil"/>
            </w:tcBorders>
            <w:shd w:val="clear" w:color="auto" w:fill="F2DBDB" w:themeFill="accent2" w:themeFillTint="33"/>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9C0006"/>
                <w:szCs w:val="22"/>
                <w:lang w:eastAsia="en-GB"/>
              </w:rPr>
              <w:t>6</w:t>
            </w:r>
          </w:p>
        </w:tc>
        <w:tc>
          <w:tcPr>
            <w:tcW w:w="460" w:type="dxa"/>
            <w:tcBorders>
              <w:top w:val="single" w:sz="8" w:space="0" w:color="8064A2" w:themeColor="accent4"/>
              <w:left w:val="nil"/>
              <w:bottom w:val="single" w:sz="8" w:space="0" w:color="8064A2" w:themeColor="accent4"/>
              <w:right w:val="nil"/>
            </w:tcBorders>
            <w:shd w:val="clear" w:color="auto" w:fill="F2DBDB" w:themeFill="accent2" w:themeFillTint="33"/>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9C0006"/>
                <w:szCs w:val="22"/>
                <w:lang w:eastAsia="en-GB"/>
              </w:rPr>
              <w:t>9</w:t>
            </w:r>
          </w:p>
        </w:tc>
        <w:tc>
          <w:tcPr>
            <w:tcW w:w="460" w:type="dxa"/>
            <w:tcBorders>
              <w:top w:val="single" w:sz="8" w:space="0" w:color="8064A2" w:themeColor="accent4"/>
              <w:left w:val="nil"/>
              <w:bottom w:val="single" w:sz="8" w:space="0" w:color="8064A2" w:themeColor="accent4"/>
              <w:right w:val="nil"/>
            </w:tcBorders>
            <w:shd w:val="clear" w:color="auto" w:fill="F2DBDB" w:themeFill="accent2" w:themeFillTint="33"/>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9C0006"/>
                <w:szCs w:val="22"/>
                <w:lang w:eastAsia="en-GB"/>
              </w:rPr>
              <w:t>3</w:t>
            </w:r>
          </w:p>
        </w:tc>
        <w:tc>
          <w:tcPr>
            <w:tcW w:w="460" w:type="dxa"/>
            <w:tcBorders>
              <w:top w:val="single" w:sz="8" w:space="0" w:color="8064A2" w:themeColor="accent4"/>
              <w:left w:val="nil"/>
              <w:bottom w:val="single" w:sz="8" w:space="0" w:color="8064A2" w:themeColor="accent4"/>
              <w:right w:val="single" w:sz="8" w:space="0" w:color="8064A2" w:themeColor="accent4"/>
            </w:tcBorders>
            <w:shd w:val="clear" w:color="auto" w:fill="F2DBDB" w:themeFill="accent2" w:themeFillTint="33"/>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9C0006"/>
                <w:szCs w:val="22"/>
                <w:lang w:eastAsia="en-GB"/>
              </w:rPr>
              <w:t>7</w:t>
            </w:r>
          </w:p>
        </w:tc>
      </w:tr>
      <w:tr w:rsidR="00B84A3E" w:rsidRPr="0031785F" w:rsidTr="007F3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4" w:type="dxa"/>
            <w:tcBorders>
              <w:right w:val="nil"/>
            </w:tcBorders>
            <w:noWrap/>
            <w:hideMark/>
          </w:tcPr>
          <w:p w:rsidR="00B84A3E" w:rsidRPr="00AC2544" w:rsidRDefault="00B84A3E" w:rsidP="004A78D9">
            <w:pPr>
              <w:spacing w:after="0"/>
              <w:jc w:val="left"/>
              <w:rPr>
                <w:color w:val="000000"/>
                <w:szCs w:val="22"/>
                <w:lang w:eastAsia="en-GB"/>
              </w:rPr>
            </w:pPr>
            <w:r w:rsidRPr="00AC2544">
              <w:rPr>
                <w:color w:val="000000"/>
                <w:szCs w:val="22"/>
                <w:lang w:eastAsia="en-GB"/>
              </w:rPr>
              <w:t>C26</w:t>
            </w:r>
          </w:p>
        </w:tc>
        <w:tc>
          <w:tcPr>
            <w:tcW w:w="1308" w:type="dxa"/>
            <w:tcBorders>
              <w:left w:val="nil"/>
              <w:right w:val="nil"/>
            </w:tcBorders>
            <w:noWrap/>
            <w:hideMark/>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26</w:t>
            </w:r>
          </w:p>
        </w:tc>
        <w:tc>
          <w:tcPr>
            <w:tcW w:w="549" w:type="dxa"/>
            <w:tcBorders>
              <w:left w:val="nil"/>
              <w:right w:val="nil"/>
            </w:tcBorders>
            <w:shd w:val="clear" w:color="auto" w:fill="auto"/>
            <w:noWrap/>
            <w:hideMark/>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12</w:t>
            </w:r>
          </w:p>
        </w:tc>
        <w:tc>
          <w:tcPr>
            <w:tcW w:w="551" w:type="dxa"/>
            <w:tcBorders>
              <w:left w:val="nil"/>
              <w:right w:val="nil"/>
            </w:tcBorders>
            <w:shd w:val="clear" w:color="auto" w:fill="F2DBDB" w:themeFill="accent2" w:themeFillTint="33"/>
            <w:noWrap/>
            <w:hideMark/>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9C0006"/>
                <w:szCs w:val="22"/>
                <w:lang w:eastAsia="en-GB"/>
              </w:rPr>
            </w:pPr>
            <w:r w:rsidRPr="00AC2544">
              <w:rPr>
                <w:color w:val="9C0006"/>
                <w:szCs w:val="22"/>
                <w:lang w:eastAsia="en-GB"/>
              </w:rPr>
              <w:t>4</w:t>
            </w:r>
          </w:p>
        </w:tc>
        <w:tc>
          <w:tcPr>
            <w:tcW w:w="608" w:type="dxa"/>
            <w:tcBorders>
              <w:left w:val="nil"/>
              <w:right w:val="nil"/>
            </w:tcBorders>
            <w:noWrap/>
            <w:hideMark/>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35</w:t>
            </w:r>
          </w:p>
        </w:tc>
        <w:tc>
          <w:tcPr>
            <w:tcW w:w="549" w:type="dxa"/>
            <w:tcBorders>
              <w:left w:val="nil"/>
              <w:right w:val="nil"/>
            </w:tcBorders>
            <w:noWrap/>
            <w:hideMark/>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27</w:t>
            </w:r>
          </w:p>
        </w:tc>
        <w:tc>
          <w:tcPr>
            <w:tcW w:w="1000" w:type="dxa"/>
            <w:tcBorders>
              <w:left w:val="nil"/>
              <w:right w:val="nil"/>
            </w:tcBorders>
            <w:shd w:val="clear" w:color="auto" w:fill="auto"/>
          </w:tcPr>
          <w:p w:rsidR="00B84A3E" w:rsidRPr="00823BAD" w:rsidRDefault="00B84A3E" w:rsidP="004A78D9">
            <w:pPr>
              <w:spacing w:after="0"/>
              <w:jc w:val="left"/>
              <w:cnfStyle w:val="000000100000" w:firstRow="0" w:lastRow="0" w:firstColumn="0" w:lastColumn="0" w:oddVBand="0" w:evenVBand="0" w:oddHBand="1" w:evenHBand="0" w:firstRowFirstColumn="0" w:firstRowLastColumn="0" w:lastRowFirstColumn="0" w:lastRowLastColumn="0"/>
              <w:rPr>
                <w:b/>
                <w:color w:val="000000"/>
                <w:szCs w:val="22"/>
                <w:lang w:eastAsia="en-GB"/>
              </w:rPr>
            </w:pPr>
            <w:r w:rsidRPr="00823BAD">
              <w:rPr>
                <w:b/>
                <w:color w:val="000000"/>
                <w:szCs w:val="22"/>
                <w:lang w:eastAsia="en-GB"/>
              </w:rPr>
              <w:t>J59_60</w:t>
            </w:r>
          </w:p>
        </w:tc>
        <w:tc>
          <w:tcPr>
            <w:tcW w:w="1308" w:type="dxa"/>
            <w:tcBorders>
              <w:left w:val="nil"/>
              <w:right w:val="nil"/>
            </w:tcBorders>
            <w:shd w:val="clear" w:color="auto" w:fill="F2DBDB" w:themeFill="accent2" w:themeFillTint="33"/>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9C0006"/>
                <w:szCs w:val="22"/>
                <w:lang w:eastAsia="en-GB"/>
              </w:rPr>
            </w:pPr>
            <w:r w:rsidRPr="00AC2544">
              <w:rPr>
                <w:color w:val="9C0006"/>
                <w:szCs w:val="22"/>
                <w:lang w:eastAsia="en-GB"/>
              </w:rPr>
              <w:t>9</w:t>
            </w:r>
          </w:p>
        </w:tc>
        <w:tc>
          <w:tcPr>
            <w:tcW w:w="460" w:type="dxa"/>
            <w:tcBorders>
              <w:left w:val="nil"/>
              <w:right w:val="nil"/>
            </w:tcBorders>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54</w:t>
            </w:r>
          </w:p>
        </w:tc>
        <w:tc>
          <w:tcPr>
            <w:tcW w:w="460" w:type="dxa"/>
            <w:tcBorders>
              <w:left w:val="nil"/>
              <w:right w:val="nil"/>
            </w:tcBorders>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19</w:t>
            </w:r>
          </w:p>
        </w:tc>
        <w:tc>
          <w:tcPr>
            <w:tcW w:w="460" w:type="dxa"/>
            <w:tcBorders>
              <w:left w:val="nil"/>
              <w:right w:val="nil"/>
            </w:tcBorders>
            <w:shd w:val="clear" w:color="auto" w:fill="F2DBDB" w:themeFill="accent2" w:themeFillTint="33"/>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9C0006"/>
                <w:szCs w:val="22"/>
                <w:lang w:eastAsia="en-GB"/>
              </w:rPr>
            </w:pPr>
            <w:r w:rsidRPr="00AC2544">
              <w:rPr>
                <w:color w:val="9C0006"/>
                <w:szCs w:val="22"/>
                <w:lang w:eastAsia="en-GB"/>
              </w:rPr>
              <w:t>4</w:t>
            </w:r>
          </w:p>
        </w:tc>
        <w:tc>
          <w:tcPr>
            <w:tcW w:w="460" w:type="dxa"/>
            <w:tcBorders>
              <w:left w:val="nil"/>
            </w:tcBorders>
            <w:shd w:val="clear" w:color="auto" w:fill="F2DBDB" w:themeFill="accent2" w:themeFillTint="33"/>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9C0006"/>
                <w:szCs w:val="22"/>
                <w:lang w:eastAsia="en-GB"/>
              </w:rPr>
            </w:pPr>
            <w:r w:rsidRPr="00AC2544">
              <w:rPr>
                <w:color w:val="9C0006"/>
                <w:szCs w:val="22"/>
                <w:lang w:eastAsia="en-GB"/>
              </w:rPr>
              <w:t>5</w:t>
            </w:r>
          </w:p>
        </w:tc>
      </w:tr>
      <w:tr w:rsidR="00B84A3E" w:rsidRPr="0031785F" w:rsidTr="007F371A">
        <w:trPr>
          <w:trHeight w:val="300"/>
        </w:trPr>
        <w:tc>
          <w:tcPr>
            <w:cnfStyle w:val="001000000000" w:firstRow="0" w:lastRow="0" w:firstColumn="1" w:lastColumn="0" w:oddVBand="0" w:evenVBand="0" w:oddHBand="0" w:evenHBand="0" w:firstRowFirstColumn="0" w:firstRowLastColumn="0" w:lastRowFirstColumn="0" w:lastRowLastColumn="0"/>
            <w:tcW w:w="1044" w:type="dxa"/>
            <w:tcBorders>
              <w:top w:val="single" w:sz="8" w:space="0" w:color="8064A2" w:themeColor="accent4"/>
              <w:bottom w:val="single" w:sz="8" w:space="0" w:color="8064A2" w:themeColor="accent4"/>
              <w:right w:val="nil"/>
            </w:tcBorders>
            <w:noWrap/>
            <w:hideMark/>
          </w:tcPr>
          <w:p w:rsidR="00B84A3E" w:rsidRPr="00AC2544" w:rsidRDefault="00B84A3E" w:rsidP="004A78D9">
            <w:pPr>
              <w:spacing w:after="0"/>
              <w:jc w:val="left"/>
              <w:rPr>
                <w:color w:val="000000"/>
                <w:szCs w:val="22"/>
                <w:lang w:eastAsia="en-GB"/>
              </w:rPr>
            </w:pPr>
            <w:r w:rsidRPr="00AC2544">
              <w:rPr>
                <w:color w:val="000000"/>
                <w:szCs w:val="22"/>
                <w:lang w:eastAsia="en-GB"/>
              </w:rPr>
              <w:t>C27</w:t>
            </w:r>
          </w:p>
        </w:tc>
        <w:tc>
          <w:tcPr>
            <w:tcW w:w="1308" w:type="dxa"/>
            <w:tcBorders>
              <w:top w:val="single" w:sz="8" w:space="0" w:color="8064A2" w:themeColor="accent4"/>
              <w:left w:val="nil"/>
              <w:bottom w:val="single" w:sz="8" w:space="0" w:color="8064A2" w:themeColor="accent4"/>
              <w:right w:val="nil"/>
            </w:tcBorders>
            <w:shd w:val="clear" w:color="auto" w:fill="F2DBDB" w:themeFill="accent2" w:themeFillTint="33"/>
            <w:noWrap/>
            <w:hideMark/>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9C0006"/>
                <w:szCs w:val="22"/>
                <w:lang w:eastAsia="en-GB"/>
              </w:rPr>
              <w:t>3</w:t>
            </w:r>
          </w:p>
        </w:tc>
        <w:tc>
          <w:tcPr>
            <w:tcW w:w="549" w:type="dxa"/>
            <w:tcBorders>
              <w:top w:val="single" w:sz="8" w:space="0" w:color="8064A2" w:themeColor="accent4"/>
              <w:left w:val="nil"/>
              <w:bottom w:val="single" w:sz="8" w:space="0" w:color="8064A2" w:themeColor="accent4"/>
              <w:right w:val="nil"/>
            </w:tcBorders>
            <w:shd w:val="clear" w:color="auto" w:fill="auto"/>
            <w:noWrap/>
            <w:hideMark/>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000000"/>
                <w:szCs w:val="22"/>
                <w:lang w:eastAsia="en-GB"/>
              </w:rPr>
              <w:t>18</w:t>
            </w:r>
          </w:p>
        </w:tc>
        <w:tc>
          <w:tcPr>
            <w:tcW w:w="551" w:type="dxa"/>
            <w:tcBorders>
              <w:top w:val="single" w:sz="8" w:space="0" w:color="8064A2" w:themeColor="accent4"/>
              <w:left w:val="nil"/>
              <w:bottom w:val="single" w:sz="8" w:space="0" w:color="8064A2" w:themeColor="accent4"/>
              <w:right w:val="nil"/>
            </w:tcBorders>
            <w:shd w:val="clear" w:color="auto" w:fill="auto"/>
            <w:noWrap/>
            <w:hideMark/>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000000"/>
                <w:szCs w:val="22"/>
                <w:lang w:eastAsia="en-GB"/>
              </w:rPr>
              <w:t>14</w:t>
            </w:r>
          </w:p>
        </w:tc>
        <w:tc>
          <w:tcPr>
            <w:tcW w:w="608" w:type="dxa"/>
            <w:tcBorders>
              <w:top w:val="single" w:sz="8" w:space="0" w:color="8064A2" w:themeColor="accent4"/>
              <w:left w:val="nil"/>
              <w:bottom w:val="single" w:sz="8" w:space="0" w:color="8064A2" w:themeColor="accent4"/>
              <w:right w:val="nil"/>
            </w:tcBorders>
            <w:shd w:val="clear" w:color="auto" w:fill="auto"/>
            <w:noWrap/>
            <w:hideMark/>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000000"/>
                <w:szCs w:val="22"/>
                <w:lang w:eastAsia="en-GB"/>
              </w:rPr>
              <w:t>11</w:t>
            </w:r>
          </w:p>
        </w:tc>
        <w:tc>
          <w:tcPr>
            <w:tcW w:w="549" w:type="dxa"/>
            <w:tcBorders>
              <w:top w:val="single" w:sz="8" w:space="0" w:color="8064A2" w:themeColor="accent4"/>
              <w:left w:val="nil"/>
              <w:bottom w:val="single" w:sz="8" w:space="0" w:color="8064A2" w:themeColor="accent4"/>
              <w:right w:val="nil"/>
            </w:tcBorders>
            <w:shd w:val="clear" w:color="auto" w:fill="auto"/>
            <w:noWrap/>
            <w:hideMark/>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000000"/>
                <w:szCs w:val="22"/>
                <w:lang w:eastAsia="en-GB"/>
              </w:rPr>
              <w:t>59</w:t>
            </w:r>
          </w:p>
        </w:tc>
        <w:tc>
          <w:tcPr>
            <w:tcW w:w="1000" w:type="dxa"/>
            <w:tcBorders>
              <w:top w:val="single" w:sz="8" w:space="0" w:color="8064A2" w:themeColor="accent4"/>
              <w:left w:val="nil"/>
              <w:bottom w:val="single" w:sz="8" w:space="0" w:color="8064A2" w:themeColor="accent4"/>
              <w:right w:val="nil"/>
            </w:tcBorders>
            <w:shd w:val="clear" w:color="auto" w:fill="auto"/>
          </w:tcPr>
          <w:p w:rsidR="00B84A3E" w:rsidRPr="00823BAD" w:rsidRDefault="00B84A3E" w:rsidP="004A78D9">
            <w:pPr>
              <w:spacing w:after="0"/>
              <w:jc w:val="left"/>
              <w:cnfStyle w:val="000000000000" w:firstRow="0" w:lastRow="0" w:firstColumn="0" w:lastColumn="0" w:oddVBand="0" w:evenVBand="0" w:oddHBand="0" w:evenHBand="0" w:firstRowFirstColumn="0" w:firstRowLastColumn="0" w:lastRowFirstColumn="0" w:lastRowLastColumn="0"/>
              <w:rPr>
                <w:b/>
                <w:color w:val="000000"/>
                <w:szCs w:val="22"/>
                <w:lang w:eastAsia="en-GB"/>
              </w:rPr>
            </w:pPr>
            <w:r w:rsidRPr="00823BAD">
              <w:rPr>
                <w:b/>
                <w:color w:val="000000"/>
                <w:szCs w:val="22"/>
                <w:lang w:eastAsia="en-GB"/>
              </w:rPr>
              <w:t>J62_63</w:t>
            </w:r>
          </w:p>
        </w:tc>
        <w:tc>
          <w:tcPr>
            <w:tcW w:w="1308" w:type="dxa"/>
            <w:tcBorders>
              <w:top w:val="single" w:sz="8" w:space="0" w:color="8064A2" w:themeColor="accent4"/>
              <w:left w:val="nil"/>
              <w:bottom w:val="single" w:sz="8" w:space="0" w:color="8064A2" w:themeColor="accent4"/>
              <w:right w:val="nil"/>
            </w:tcBorders>
            <w:shd w:val="clear" w:color="auto" w:fill="F2DBDB" w:themeFill="accent2" w:themeFillTint="33"/>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9C0006"/>
                <w:szCs w:val="22"/>
                <w:lang w:eastAsia="en-GB"/>
              </w:rPr>
              <w:t>7</w:t>
            </w:r>
          </w:p>
        </w:tc>
        <w:tc>
          <w:tcPr>
            <w:tcW w:w="460" w:type="dxa"/>
            <w:tcBorders>
              <w:top w:val="single" w:sz="8" w:space="0" w:color="8064A2" w:themeColor="accent4"/>
              <w:left w:val="nil"/>
              <w:bottom w:val="single" w:sz="8" w:space="0" w:color="8064A2" w:themeColor="accent4"/>
              <w:right w:val="nil"/>
            </w:tcBorders>
            <w:shd w:val="clear" w:color="auto" w:fill="auto"/>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000000"/>
                <w:szCs w:val="22"/>
                <w:lang w:eastAsia="en-GB"/>
              </w:rPr>
              <w:t>45</w:t>
            </w:r>
          </w:p>
        </w:tc>
        <w:tc>
          <w:tcPr>
            <w:tcW w:w="460" w:type="dxa"/>
            <w:tcBorders>
              <w:top w:val="single" w:sz="8" w:space="0" w:color="8064A2" w:themeColor="accent4"/>
              <w:left w:val="nil"/>
              <w:bottom w:val="single" w:sz="8" w:space="0" w:color="8064A2" w:themeColor="accent4"/>
              <w:right w:val="nil"/>
            </w:tcBorders>
            <w:shd w:val="clear" w:color="auto" w:fill="auto"/>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000000"/>
                <w:szCs w:val="22"/>
                <w:lang w:eastAsia="en-GB"/>
              </w:rPr>
              <w:t>36</w:t>
            </w:r>
          </w:p>
        </w:tc>
        <w:tc>
          <w:tcPr>
            <w:tcW w:w="460" w:type="dxa"/>
            <w:tcBorders>
              <w:top w:val="single" w:sz="8" w:space="0" w:color="8064A2" w:themeColor="accent4"/>
              <w:left w:val="nil"/>
              <w:bottom w:val="single" w:sz="8" w:space="0" w:color="8064A2" w:themeColor="accent4"/>
              <w:right w:val="nil"/>
            </w:tcBorders>
            <w:shd w:val="clear" w:color="auto" w:fill="F2DBDB" w:themeFill="accent2" w:themeFillTint="33"/>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9C0006"/>
                <w:szCs w:val="22"/>
                <w:lang w:eastAsia="en-GB"/>
              </w:rPr>
            </w:pPr>
            <w:r w:rsidRPr="00AC2544">
              <w:rPr>
                <w:color w:val="9C0006"/>
                <w:szCs w:val="22"/>
                <w:lang w:eastAsia="en-GB"/>
              </w:rPr>
              <w:t>8</w:t>
            </w:r>
          </w:p>
        </w:tc>
        <w:tc>
          <w:tcPr>
            <w:tcW w:w="460" w:type="dxa"/>
            <w:tcBorders>
              <w:top w:val="single" w:sz="8" w:space="0" w:color="8064A2" w:themeColor="accent4"/>
              <w:left w:val="nil"/>
              <w:bottom w:val="single" w:sz="8" w:space="0" w:color="8064A2" w:themeColor="accent4"/>
            </w:tcBorders>
            <w:shd w:val="clear" w:color="auto" w:fill="auto"/>
          </w:tcPr>
          <w:p w:rsidR="00B84A3E" w:rsidRPr="00AC2544" w:rsidRDefault="00B84A3E" w:rsidP="004A78D9">
            <w:pPr>
              <w:spacing w:after="0"/>
              <w:jc w:val="right"/>
              <w:cnfStyle w:val="000000000000" w:firstRow="0" w:lastRow="0" w:firstColumn="0" w:lastColumn="0" w:oddVBand="0" w:evenVBand="0" w:oddHBand="0" w:evenHBand="0" w:firstRowFirstColumn="0" w:firstRowLastColumn="0" w:lastRowFirstColumn="0" w:lastRowLastColumn="0"/>
              <w:rPr>
                <w:color w:val="000000"/>
                <w:szCs w:val="22"/>
                <w:lang w:eastAsia="en-GB"/>
              </w:rPr>
            </w:pPr>
            <w:r w:rsidRPr="00AC2544">
              <w:rPr>
                <w:color w:val="000000"/>
                <w:szCs w:val="22"/>
                <w:lang w:eastAsia="en-GB"/>
              </w:rPr>
              <w:t>33</w:t>
            </w:r>
          </w:p>
        </w:tc>
      </w:tr>
      <w:tr w:rsidR="00B84A3E" w:rsidRPr="0031785F" w:rsidTr="007F3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4" w:type="dxa"/>
            <w:tcBorders>
              <w:right w:val="nil"/>
            </w:tcBorders>
            <w:noWrap/>
            <w:hideMark/>
          </w:tcPr>
          <w:p w:rsidR="00B84A3E" w:rsidRPr="00AC2544" w:rsidRDefault="00B84A3E" w:rsidP="004A78D9">
            <w:pPr>
              <w:spacing w:after="0"/>
              <w:jc w:val="left"/>
              <w:rPr>
                <w:color w:val="000000"/>
                <w:szCs w:val="22"/>
                <w:lang w:eastAsia="en-GB"/>
              </w:rPr>
            </w:pPr>
            <w:r w:rsidRPr="00AC2544">
              <w:rPr>
                <w:color w:val="000000"/>
                <w:szCs w:val="22"/>
                <w:lang w:eastAsia="en-GB"/>
              </w:rPr>
              <w:t>D35</w:t>
            </w:r>
          </w:p>
        </w:tc>
        <w:tc>
          <w:tcPr>
            <w:tcW w:w="1308" w:type="dxa"/>
            <w:tcBorders>
              <w:left w:val="nil"/>
              <w:right w:val="nil"/>
            </w:tcBorders>
            <w:shd w:val="clear" w:color="auto" w:fill="auto"/>
            <w:noWrap/>
            <w:hideMark/>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13</w:t>
            </w:r>
          </w:p>
        </w:tc>
        <w:tc>
          <w:tcPr>
            <w:tcW w:w="549" w:type="dxa"/>
            <w:tcBorders>
              <w:left w:val="nil"/>
              <w:right w:val="nil"/>
            </w:tcBorders>
            <w:noWrap/>
            <w:hideMark/>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21</w:t>
            </w:r>
          </w:p>
        </w:tc>
        <w:tc>
          <w:tcPr>
            <w:tcW w:w="551" w:type="dxa"/>
            <w:tcBorders>
              <w:left w:val="nil"/>
              <w:right w:val="nil"/>
            </w:tcBorders>
            <w:noWrap/>
            <w:hideMark/>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59</w:t>
            </w:r>
          </w:p>
        </w:tc>
        <w:tc>
          <w:tcPr>
            <w:tcW w:w="608" w:type="dxa"/>
            <w:tcBorders>
              <w:left w:val="nil"/>
              <w:right w:val="nil"/>
            </w:tcBorders>
            <w:shd w:val="clear" w:color="auto" w:fill="auto"/>
            <w:noWrap/>
            <w:hideMark/>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37</w:t>
            </w:r>
          </w:p>
        </w:tc>
        <w:tc>
          <w:tcPr>
            <w:tcW w:w="549" w:type="dxa"/>
            <w:tcBorders>
              <w:left w:val="nil"/>
              <w:right w:val="nil"/>
            </w:tcBorders>
            <w:shd w:val="clear" w:color="auto" w:fill="F2DBDB" w:themeFill="accent2" w:themeFillTint="33"/>
            <w:noWrap/>
            <w:hideMark/>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9C0006"/>
                <w:szCs w:val="22"/>
                <w:lang w:eastAsia="en-GB"/>
              </w:rPr>
            </w:pPr>
            <w:r w:rsidRPr="00AC2544">
              <w:rPr>
                <w:color w:val="9C0006"/>
                <w:szCs w:val="22"/>
                <w:lang w:eastAsia="en-GB"/>
              </w:rPr>
              <w:t>3</w:t>
            </w:r>
          </w:p>
        </w:tc>
        <w:tc>
          <w:tcPr>
            <w:tcW w:w="1000" w:type="dxa"/>
            <w:tcBorders>
              <w:left w:val="nil"/>
              <w:right w:val="nil"/>
            </w:tcBorders>
            <w:shd w:val="clear" w:color="auto" w:fill="auto"/>
          </w:tcPr>
          <w:p w:rsidR="00B84A3E" w:rsidRPr="00823BAD" w:rsidRDefault="00B84A3E" w:rsidP="004A78D9">
            <w:pPr>
              <w:spacing w:after="0"/>
              <w:jc w:val="left"/>
              <w:cnfStyle w:val="000000100000" w:firstRow="0" w:lastRow="0" w:firstColumn="0" w:lastColumn="0" w:oddVBand="0" w:evenVBand="0" w:oddHBand="1" w:evenHBand="0" w:firstRowFirstColumn="0" w:firstRowLastColumn="0" w:lastRowFirstColumn="0" w:lastRowLastColumn="0"/>
              <w:rPr>
                <w:b/>
                <w:color w:val="000000"/>
                <w:szCs w:val="22"/>
                <w:lang w:eastAsia="en-GB"/>
              </w:rPr>
            </w:pPr>
            <w:r w:rsidRPr="00823BAD">
              <w:rPr>
                <w:b/>
                <w:color w:val="000000"/>
                <w:szCs w:val="22"/>
                <w:lang w:eastAsia="en-GB"/>
              </w:rPr>
              <w:t>K64</w:t>
            </w:r>
          </w:p>
        </w:tc>
        <w:tc>
          <w:tcPr>
            <w:tcW w:w="1308" w:type="dxa"/>
            <w:tcBorders>
              <w:left w:val="nil"/>
              <w:right w:val="nil"/>
            </w:tcBorders>
            <w:shd w:val="clear" w:color="auto" w:fill="F2DBDB" w:themeFill="accent2" w:themeFillTint="33"/>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9C0006"/>
                <w:szCs w:val="22"/>
                <w:lang w:eastAsia="en-GB"/>
              </w:rPr>
            </w:pPr>
            <w:r w:rsidRPr="00AC2544">
              <w:rPr>
                <w:color w:val="9C0006"/>
                <w:szCs w:val="22"/>
                <w:lang w:eastAsia="en-GB"/>
              </w:rPr>
              <w:t>2</w:t>
            </w:r>
          </w:p>
        </w:tc>
        <w:tc>
          <w:tcPr>
            <w:tcW w:w="460" w:type="dxa"/>
            <w:tcBorders>
              <w:left w:val="nil"/>
              <w:right w:val="nil"/>
            </w:tcBorders>
            <w:shd w:val="clear" w:color="auto" w:fill="auto"/>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25</w:t>
            </w:r>
          </w:p>
        </w:tc>
        <w:tc>
          <w:tcPr>
            <w:tcW w:w="460" w:type="dxa"/>
            <w:tcBorders>
              <w:left w:val="nil"/>
              <w:right w:val="nil"/>
            </w:tcBorders>
            <w:shd w:val="clear" w:color="auto" w:fill="auto"/>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48</w:t>
            </w:r>
          </w:p>
        </w:tc>
        <w:tc>
          <w:tcPr>
            <w:tcW w:w="460" w:type="dxa"/>
            <w:tcBorders>
              <w:left w:val="nil"/>
              <w:right w:val="nil"/>
            </w:tcBorders>
            <w:shd w:val="clear" w:color="auto" w:fill="F2DBDB" w:themeFill="accent2" w:themeFillTint="33"/>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9C0006"/>
                <w:szCs w:val="22"/>
                <w:lang w:eastAsia="en-GB"/>
              </w:rPr>
            </w:pPr>
            <w:r w:rsidRPr="00AC2544">
              <w:rPr>
                <w:color w:val="9C0006"/>
                <w:szCs w:val="22"/>
                <w:lang w:eastAsia="en-GB"/>
              </w:rPr>
              <w:t>5</w:t>
            </w:r>
          </w:p>
        </w:tc>
        <w:tc>
          <w:tcPr>
            <w:tcW w:w="460" w:type="dxa"/>
            <w:tcBorders>
              <w:left w:val="nil"/>
            </w:tcBorders>
            <w:shd w:val="clear" w:color="auto" w:fill="auto"/>
          </w:tcPr>
          <w:p w:rsidR="00B84A3E" w:rsidRPr="00AC2544" w:rsidRDefault="00B84A3E" w:rsidP="004A78D9">
            <w:pPr>
              <w:spacing w:after="0"/>
              <w:jc w:val="right"/>
              <w:cnfStyle w:val="000000100000" w:firstRow="0" w:lastRow="0" w:firstColumn="0" w:lastColumn="0" w:oddVBand="0" w:evenVBand="0" w:oddHBand="1" w:evenHBand="0" w:firstRowFirstColumn="0" w:firstRowLastColumn="0" w:lastRowFirstColumn="0" w:lastRowLastColumn="0"/>
              <w:rPr>
                <w:color w:val="000000"/>
                <w:szCs w:val="22"/>
                <w:lang w:eastAsia="en-GB"/>
              </w:rPr>
            </w:pPr>
            <w:r w:rsidRPr="00AC2544">
              <w:rPr>
                <w:color w:val="000000"/>
                <w:szCs w:val="22"/>
                <w:lang w:eastAsia="en-GB"/>
              </w:rPr>
              <w:t>52</w:t>
            </w:r>
          </w:p>
        </w:tc>
      </w:tr>
    </w:tbl>
    <w:p w:rsidR="00D961D3" w:rsidRDefault="00D961D3" w:rsidP="00D961D3">
      <w:pPr>
        <w:pStyle w:val="Heading1"/>
      </w:pPr>
      <w:bookmarkStart w:id="5" w:name="_Toc413850154"/>
      <w:r>
        <w:t>Changes in meth</w:t>
      </w:r>
      <w:r w:rsidR="00E03861">
        <w:t xml:space="preserve">odology and data sources beyond </w:t>
      </w:r>
      <w:r>
        <w:t>ESA 2010 implementation</w:t>
      </w:r>
      <w:bookmarkEnd w:id="5"/>
    </w:p>
    <w:p w:rsidR="00D961D3" w:rsidRDefault="00D961D3" w:rsidP="00D961D3">
      <w:r w:rsidRPr="00F423F0">
        <w:t>Together with the changes in</w:t>
      </w:r>
      <w:r>
        <w:t>trodu</w:t>
      </w:r>
      <w:r w:rsidRPr="00F423F0">
        <w:t>ced by the methodological update of ESA 2010,</w:t>
      </w:r>
      <w:r>
        <w:t xml:space="preserve"> t</w:t>
      </w:r>
      <w:r w:rsidRPr="00F423F0">
        <w:t>he Member States also took the opportunity to re</w:t>
      </w:r>
      <w:r>
        <w:t>-</w:t>
      </w:r>
      <w:r w:rsidRPr="00F423F0">
        <w:t xml:space="preserve">benchmark their </w:t>
      </w:r>
      <w:r>
        <w:t>N</w:t>
      </w:r>
      <w:r w:rsidRPr="00F423F0">
        <w:t xml:space="preserve">ational </w:t>
      </w:r>
      <w:r>
        <w:t>A</w:t>
      </w:r>
      <w:r w:rsidRPr="00F423F0">
        <w:t xml:space="preserve">ccounts, review their data sources and introduce new or improved ones. </w:t>
      </w:r>
      <w:r>
        <w:t xml:space="preserve">For example, </w:t>
      </w:r>
      <w:r w:rsidRPr="00F423F0">
        <w:t>new sources</w:t>
      </w:r>
      <w:r>
        <w:t xml:space="preserve"> such as </w:t>
      </w:r>
      <w:r w:rsidR="00E03861">
        <w:t>a w</w:t>
      </w:r>
      <w:r w:rsidRPr="00F423F0">
        <w:t xml:space="preserve">age declaration database </w:t>
      </w:r>
      <w:r w:rsidR="00E03861">
        <w:t xml:space="preserve">or </w:t>
      </w:r>
      <w:r w:rsidRPr="00F423F0">
        <w:t>the VAT database compiled by the tax authorities, new statistics compiled by</w:t>
      </w:r>
      <w:r w:rsidR="00E03861">
        <w:t xml:space="preserve"> partners</w:t>
      </w:r>
      <w:r w:rsidRPr="00F423F0">
        <w:t xml:space="preserve"> </w:t>
      </w:r>
      <w:r w:rsidR="00E03861">
        <w:t>organisations, revised registers are used in some countries</w:t>
      </w:r>
      <w:r>
        <w:rPr>
          <w:rStyle w:val="FootnoteReference"/>
        </w:rPr>
        <w:footnoteReference w:id="8"/>
      </w:r>
      <w:r w:rsidRPr="001B5D03">
        <w:t>.</w:t>
      </w:r>
    </w:p>
    <w:p w:rsidR="00D961D3" w:rsidRDefault="00D961D3" w:rsidP="00D961D3">
      <w:r>
        <w:t xml:space="preserve">The data on hours worked illustrate this phenomena. Comparison between ESA 95 and ESA 2010 of employment data (hours worked) shows there have been revisions quite large for some countries. </w:t>
      </w:r>
    </w:p>
    <w:p w:rsidR="007F371A" w:rsidRDefault="007F371A" w:rsidP="00D961D3"/>
    <w:p w:rsidR="00D961D3" w:rsidRDefault="00D961D3" w:rsidP="00D961D3">
      <w:pPr>
        <w:spacing w:after="200" w:line="276" w:lineRule="auto"/>
        <w:jc w:val="left"/>
        <w:rPr>
          <w:rFonts w:asciiTheme="majorHAnsi" w:eastAsiaTheme="majorEastAsia" w:hAnsiTheme="majorHAnsi" w:cstheme="majorBidi"/>
          <w:i/>
          <w:iCs/>
          <w:color w:val="4F81BD" w:themeColor="accent1"/>
          <w:spacing w:val="15"/>
        </w:rPr>
      </w:pPr>
      <w:r>
        <w:br w:type="page"/>
      </w:r>
    </w:p>
    <w:p w:rsidR="00D961D3" w:rsidRPr="007F371A" w:rsidRDefault="00D961D3" w:rsidP="007F371A">
      <w:pPr>
        <w:rPr>
          <w:u w:val="single"/>
        </w:rPr>
      </w:pPr>
      <w:r w:rsidRPr="007F371A">
        <w:rPr>
          <w:u w:val="single"/>
        </w:rPr>
        <w:lastRenderedPageBreak/>
        <w:t>Table 1</w:t>
      </w:r>
      <w:r w:rsidR="007F371A" w:rsidRPr="007F371A">
        <w:rPr>
          <w:u w:val="single"/>
        </w:rPr>
        <w:t>1</w:t>
      </w:r>
      <w:r w:rsidRPr="007F371A">
        <w:rPr>
          <w:u w:val="single"/>
        </w:rPr>
        <w:t>: Percentage revision for hours worked by industries (A64 breakdown level)</w:t>
      </w:r>
    </w:p>
    <w:tbl>
      <w:tblPr>
        <w:tblStyle w:val="LightList-Accent4"/>
        <w:tblW w:w="5832" w:type="dxa"/>
        <w:tblInd w:w="2354" w:type="dxa"/>
        <w:tblLook w:val="04A0" w:firstRow="1" w:lastRow="0" w:firstColumn="1" w:lastColumn="0" w:noHBand="0" w:noVBand="1"/>
      </w:tblPr>
      <w:tblGrid>
        <w:gridCol w:w="1126"/>
        <w:gridCol w:w="1826"/>
        <w:gridCol w:w="960"/>
        <w:gridCol w:w="960"/>
        <w:gridCol w:w="1013"/>
      </w:tblGrid>
      <w:tr w:rsidR="00D961D3" w:rsidRPr="00A932AC" w:rsidTr="007F371A">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26" w:type="dxa"/>
            <w:noWrap/>
            <w:hideMark/>
          </w:tcPr>
          <w:p w:rsidR="00D961D3" w:rsidRPr="00AC2544" w:rsidRDefault="00D961D3" w:rsidP="004A78D9">
            <w:pPr>
              <w:spacing w:after="0"/>
              <w:jc w:val="left"/>
              <w:rPr>
                <w:sz w:val="20"/>
                <w:lang w:eastAsia="en-GB"/>
              </w:rPr>
            </w:pPr>
            <w:r w:rsidRPr="00A932AC">
              <w:rPr>
                <w:sz w:val="20"/>
                <w:lang w:eastAsia="en-GB"/>
              </w:rPr>
              <w:t>Country</w:t>
            </w:r>
          </w:p>
        </w:tc>
        <w:tc>
          <w:tcPr>
            <w:tcW w:w="1826" w:type="dxa"/>
            <w:noWrap/>
            <w:hideMark/>
          </w:tcPr>
          <w:p w:rsidR="00D961D3" w:rsidRPr="00AC2544" w:rsidRDefault="00D961D3" w:rsidP="004A78D9">
            <w:pPr>
              <w:spacing w:after="0"/>
              <w:jc w:val="center"/>
              <w:cnfStyle w:val="100000000000" w:firstRow="1" w:lastRow="0" w:firstColumn="0" w:lastColumn="0" w:oddVBand="0" w:evenVBand="0" w:oddHBand="0" w:evenHBand="0" w:firstRowFirstColumn="0" w:firstRowLastColumn="0" w:lastRowFirstColumn="0" w:lastRowLastColumn="0"/>
              <w:rPr>
                <w:sz w:val="20"/>
                <w:lang w:eastAsia="en-GB"/>
              </w:rPr>
            </w:pPr>
            <w:r w:rsidRPr="00A932AC">
              <w:rPr>
                <w:sz w:val="20"/>
                <w:lang w:eastAsia="en-GB"/>
              </w:rPr>
              <w:t>All NACE activities</w:t>
            </w:r>
          </w:p>
        </w:tc>
        <w:tc>
          <w:tcPr>
            <w:tcW w:w="960" w:type="dxa"/>
            <w:noWrap/>
            <w:hideMark/>
          </w:tcPr>
          <w:p w:rsidR="00D961D3" w:rsidRPr="00AC2544" w:rsidRDefault="00D961D3" w:rsidP="004A78D9">
            <w:pPr>
              <w:spacing w:after="0"/>
              <w:jc w:val="center"/>
              <w:cnfStyle w:val="100000000000" w:firstRow="1" w:lastRow="0" w:firstColumn="0" w:lastColumn="0" w:oddVBand="0" w:evenVBand="0" w:oddHBand="0" w:evenHBand="0" w:firstRowFirstColumn="0" w:firstRowLastColumn="0" w:lastRowFirstColumn="0" w:lastRowLastColumn="0"/>
              <w:rPr>
                <w:sz w:val="20"/>
                <w:lang w:eastAsia="en-GB"/>
              </w:rPr>
            </w:pPr>
            <w:r w:rsidRPr="00A932AC">
              <w:rPr>
                <w:sz w:val="20"/>
                <w:lang w:eastAsia="en-GB"/>
              </w:rPr>
              <w:t>min</w:t>
            </w:r>
          </w:p>
        </w:tc>
        <w:tc>
          <w:tcPr>
            <w:tcW w:w="960" w:type="dxa"/>
            <w:noWrap/>
            <w:hideMark/>
          </w:tcPr>
          <w:p w:rsidR="00D961D3" w:rsidRPr="00AC2544" w:rsidRDefault="00D961D3" w:rsidP="004A78D9">
            <w:pPr>
              <w:spacing w:after="0"/>
              <w:jc w:val="center"/>
              <w:cnfStyle w:val="100000000000" w:firstRow="1" w:lastRow="0" w:firstColumn="0" w:lastColumn="0" w:oddVBand="0" w:evenVBand="0" w:oddHBand="0" w:evenHBand="0" w:firstRowFirstColumn="0" w:firstRowLastColumn="0" w:lastRowFirstColumn="0" w:lastRowLastColumn="0"/>
              <w:rPr>
                <w:sz w:val="20"/>
                <w:lang w:eastAsia="en-GB"/>
              </w:rPr>
            </w:pPr>
            <w:r w:rsidRPr="00A932AC">
              <w:rPr>
                <w:sz w:val="20"/>
                <w:lang w:eastAsia="en-GB"/>
              </w:rPr>
              <w:t>median</w:t>
            </w:r>
          </w:p>
        </w:tc>
        <w:tc>
          <w:tcPr>
            <w:tcW w:w="960" w:type="dxa"/>
            <w:noWrap/>
            <w:hideMark/>
          </w:tcPr>
          <w:p w:rsidR="00D961D3" w:rsidRPr="00AC2544" w:rsidRDefault="00D961D3" w:rsidP="004A78D9">
            <w:pPr>
              <w:spacing w:after="0"/>
              <w:jc w:val="center"/>
              <w:cnfStyle w:val="100000000000" w:firstRow="1" w:lastRow="0" w:firstColumn="0" w:lastColumn="0" w:oddVBand="0" w:evenVBand="0" w:oddHBand="0" w:evenHBand="0" w:firstRowFirstColumn="0" w:firstRowLastColumn="0" w:lastRowFirstColumn="0" w:lastRowLastColumn="0"/>
              <w:rPr>
                <w:sz w:val="20"/>
                <w:lang w:eastAsia="en-GB"/>
              </w:rPr>
            </w:pPr>
            <w:r w:rsidRPr="00A932AC">
              <w:rPr>
                <w:sz w:val="20"/>
                <w:lang w:eastAsia="en-GB"/>
              </w:rPr>
              <w:t>max</w:t>
            </w:r>
          </w:p>
        </w:tc>
      </w:tr>
      <w:tr w:rsidR="00D961D3" w:rsidRPr="001E27B4" w:rsidTr="007F371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26" w:type="dxa"/>
            <w:noWrap/>
            <w:hideMark/>
          </w:tcPr>
          <w:p w:rsidR="00D961D3" w:rsidRPr="001E27B4" w:rsidRDefault="007F371A" w:rsidP="004A78D9">
            <w:pPr>
              <w:spacing w:after="0"/>
              <w:jc w:val="left"/>
              <w:rPr>
                <w:sz w:val="20"/>
                <w:lang w:eastAsia="en-GB"/>
              </w:rPr>
            </w:pPr>
            <w:r>
              <w:rPr>
                <w:sz w:val="20"/>
                <w:lang w:eastAsia="en-GB"/>
              </w:rPr>
              <w:t>Country 1</w:t>
            </w:r>
          </w:p>
        </w:tc>
        <w:tc>
          <w:tcPr>
            <w:tcW w:w="1826" w:type="dxa"/>
            <w:noWrap/>
            <w:hideMark/>
          </w:tcPr>
          <w:p w:rsidR="00D961D3" w:rsidRPr="001E27B4" w:rsidRDefault="00D961D3" w:rsidP="004A78D9">
            <w:pPr>
              <w:spacing w:after="0"/>
              <w:jc w:val="center"/>
              <w:cnfStyle w:val="000000100000" w:firstRow="0" w:lastRow="0" w:firstColumn="0" w:lastColumn="0" w:oddVBand="0" w:evenVBand="0" w:oddHBand="1" w:evenHBand="0" w:firstRowFirstColumn="0" w:firstRowLastColumn="0" w:lastRowFirstColumn="0" w:lastRowLastColumn="0"/>
              <w:rPr>
                <w:sz w:val="20"/>
                <w:lang w:eastAsia="en-GB"/>
              </w:rPr>
            </w:pPr>
            <w:r w:rsidRPr="001E27B4">
              <w:rPr>
                <w:sz w:val="20"/>
                <w:lang w:eastAsia="en-GB"/>
              </w:rPr>
              <w:t>-0.3%</w:t>
            </w:r>
          </w:p>
        </w:tc>
        <w:tc>
          <w:tcPr>
            <w:tcW w:w="960" w:type="dxa"/>
            <w:noWrap/>
            <w:hideMark/>
          </w:tcPr>
          <w:p w:rsidR="00D961D3" w:rsidRPr="001E27B4" w:rsidRDefault="00D961D3" w:rsidP="004A78D9">
            <w:pPr>
              <w:spacing w:after="0"/>
              <w:jc w:val="center"/>
              <w:cnfStyle w:val="000000100000" w:firstRow="0" w:lastRow="0" w:firstColumn="0" w:lastColumn="0" w:oddVBand="0" w:evenVBand="0" w:oddHBand="1" w:evenHBand="0" w:firstRowFirstColumn="0" w:firstRowLastColumn="0" w:lastRowFirstColumn="0" w:lastRowLastColumn="0"/>
              <w:rPr>
                <w:sz w:val="20"/>
                <w:lang w:eastAsia="en-GB"/>
              </w:rPr>
            </w:pPr>
            <w:r w:rsidRPr="001E27B4">
              <w:rPr>
                <w:sz w:val="20"/>
                <w:lang w:eastAsia="en-GB"/>
              </w:rPr>
              <w:t>-12.8%</w:t>
            </w:r>
            <w:r w:rsidR="007F371A">
              <w:rPr>
                <w:sz w:val="20"/>
                <w:lang w:eastAsia="en-GB"/>
              </w:rPr>
              <w:t>*</w:t>
            </w:r>
          </w:p>
        </w:tc>
        <w:tc>
          <w:tcPr>
            <w:tcW w:w="960" w:type="dxa"/>
            <w:noWrap/>
            <w:hideMark/>
          </w:tcPr>
          <w:p w:rsidR="00D961D3" w:rsidRPr="001E27B4" w:rsidRDefault="00D961D3" w:rsidP="004A78D9">
            <w:pPr>
              <w:spacing w:after="0"/>
              <w:jc w:val="center"/>
              <w:cnfStyle w:val="000000100000" w:firstRow="0" w:lastRow="0" w:firstColumn="0" w:lastColumn="0" w:oddVBand="0" w:evenVBand="0" w:oddHBand="1" w:evenHBand="0" w:firstRowFirstColumn="0" w:firstRowLastColumn="0" w:lastRowFirstColumn="0" w:lastRowLastColumn="0"/>
              <w:rPr>
                <w:sz w:val="20"/>
                <w:lang w:eastAsia="en-GB"/>
              </w:rPr>
            </w:pPr>
            <w:r w:rsidRPr="001E27B4">
              <w:rPr>
                <w:sz w:val="20"/>
                <w:lang w:eastAsia="en-GB"/>
              </w:rPr>
              <w:t>0.0%</w:t>
            </w:r>
          </w:p>
        </w:tc>
        <w:tc>
          <w:tcPr>
            <w:tcW w:w="960" w:type="dxa"/>
            <w:noWrap/>
            <w:hideMark/>
          </w:tcPr>
          <w:p w:rsidR="00D961D3" w:rsidRPr="001E27B4" w:rsidRDefault="00D961D3" w:rsidP="004A78D9">
            <w:pPr>
              <w:spacing w:after="0"/>
              <w:jc w:val="center"/>
              <w:cnfStyle w:val="000000100000" w:firstRow="0" w:lastRow="0" w:firstColumn="0" w:lastColumn="0" w:oddVBand="0" w:evenVBand="0" w:oddHBand="1" w:evenHBand="0" w:firstRowFirstColumn="0" w:firstRowLastColumn="0" w:lastRowFirstColumn="0" w:lastRowLastColumn="0"/>
              <w:rPr>
                <w:sz w:val="20"/>
                <w:lang w:eastAsia="en-GB"/>
              </w:rPr>
            </w:pPr>
            <w:r w:rsidRPr="001E27B4">
              <w:rPr>
                <w:sz w:val="20"/>
                <w:lang w:eastAsia="en-GB"/>
              </w:rPr>
              <w:t>1.0%</w:t>
            </w:r>
          </w:p>
        </w:tc>
      </w:tr>
      <w:tr w:rsidR="00D961D3" w:rsidRPr="001E27B4" w:rsidTr="007F371A">
        <w:trPr>
          <w:trHeight w:val="255"/>
        </w:trPr>
        <w:tc>
          <w:tcPr>
            <w:cnfStyle w:val="001000000000" w:firstRow="0" w:lastRow="0" w:firstColumn="1" w:lastColumn="0" w:oddVBand="0" w:evenVBand="0" w:oddHBand="0" w:evenHBand="0" w:firstRowFirstColumn="0" w:firstRowLastColumn="0" w:lastRowFirstColumn="0" w:lastRowLastColumn="0"/>
            <w:tcW w:w="1126" w:type="dxa"/>
            <w:noWrap/>
            <w:hideMark/>
          </w:tcPr>
          <w:p w:rsidR="00D961D3" w:rsidRPr="001E27B4" w:rsidRDefault="007F371A" w:rsidP="004A78D9">
            <w:pPr>
              <w:spacing w:after="0"/>
              <w:jc w:val="left"/>
              <w:rPr>
                <w:sz w:val="20"/>
                <w:lang w:eastAsia="en-GB"/>
              </w:rPr>
            </w:pPr>
            <w:r>
              <w:rPr>
                <w:sz w:val="20"/>
                <w:lang w:eastAsia="en-GB"/>
              </w:rPr>
              <w:t xml:space="preserve">Country </w:t>
            </w:r>
            <w:r>
              <w:rPr>
                <w:sz w:val="20"/>
                <w:lang w:eastAsia="en-GB"/>
              </w:rPr>
              <w:t>2</w:t>
            </w:r>
          </w:p>
        </w:tc>
        <w:tc>
          <w:tcPr>
            <w:tcW w:w="1826" w:type="dxa"/>
            <w:noWrap/>
            <w:hideMark/>
          </w:tcPr>
          <w:p w:rsidR="00D961D3" w:rsidRPr="001E27B4" w:rsidRDefault="00D961D3" w:rsidP="004A78D9">
            <w:pPr>
              <w:spacing w:after="0"/>
              <w:jc w:val="center"/>
              <w:cnfStyle w:val="000000000000" w:firstRow="0" w:lastRow="0" w:firstColumn="0" w:lastColumn="0" w:oddVBand="0" w:evenVBand="0" w:oddHBand="0" w:evenHBand="0" w:firstRowFirstColumn="0" w:firstRowLastColumn="0" w:lastRowFirstColumn="0" w:lastRowLastColumn="0"/>
              <w:rPr>
                <w:sz w:val="20"/>
                <w:lang w:eastAsia="en-GB"/>
              </w:rPr>
            </w:pPr>
            <w:r w:rsidRPr="001E27B4">
              <w:rPr>
                <w:sz w:val="20"/>
                <w:lang w:eastAsia="en-GB"/>
              </w:rPr>
              <w:t>-0.8%</w:t>
            </w:r>
          </w:p>
        </w:tc>
        <w:tc>
          <w:tcPr>
            <w:tcW w:w="960" w:type="dxa"/>
            <w:noWrap/>
            <w:hideMark/>
          </w:tcPr>
          <w:p w:rsidR="00D961D3" w:rsidRPr="001E27B4" w:rsidRDefault="00D961D3" w:rsidP="004A78D9">
            <w:pPr>
              <w:spacing w:after="0"/>
              <w:jc w:val="center"/>
              <w:cnfStyle w:val="000000000000" w:firstRow="0" w:lastRow="0" w:firstColumn="0" w:lastColumn="0" w:oddVBand="0" w:evenVBand="0" w:oddHBand="0" w:evenHBand="0" w:firstRowFirstColumn="0" w:firstRowLastColumn="0" w:lastRowFirstColumn="0" w:lastRowLastColumn="0"/>
              <w:rPr>
                <w:sz w:val="20"/>
                <w:lang w:eastAsia="en-GB"/>
              </w:rPr>
            </w:pPr>
            <w:r w:rsidRPr="001E27B4">
              <w:rPr>
                <w:sz w:val="20"/>
                <w:lang w:eastAsia="en-GB"/>
              </w:rPr>
              <w:t>-5.5%</w:t>
            </w:r>
          </w:p>
        </w:tc>
        <w:tc>
          <w:tcPr>
            <w:tcW w:w="960" w:type="dxa"/>
            <w:noWrap/>
            <w:hideMark/>
          </w:tcPr>
          <w:p w:rsidR="00D961D3" w:rsidRPr="001E27B4" w:rsidRDefault="00D961D3" w:rsidP="004A78D9">
            <w:pPr>
              <w:spacing w:after="0"/>
              <w:jc w:val="center"/>
              <w:cnfStyle w:val="000000000000" w:firstRow="0" w:lastRow="0" w:firstColumn="0" w:lastColumn="0" w:oddVBand="0" w:evenVBand="0" w:oddHBand="0" w:evenHBand="0" w:firstRowFirstColumn="0" w:firstRowLastColumn="0" w:lastRowFirstColumn="0" w:lastRowLastColumn="0"/>
              <w:rPr>
                <w:sz w:val="20"/>
                <w:lang w:eastAsia="en-GB"/>
              </w:rPr>
            </w:pPr>
            <w:r w:rsidRPr="001E27B4">
              <w:rPr>
                <w:sz w:val="20"/>
                <w:lang w:eastAsia="en-GB"/>
              </w:rPr>
              <w:t>-0.6%</w:t>
            </w:r>
          </w:p>
        </w:tc>
        <w:tc>
          <w:tcPr>
            <w:tcW w:w="960" w:type="dxa"/>
            <w:noWrap/>
            <w:hideMark/>
          </w:tcPr>
          <w:p w:rsidR="00D961D3" w:rsidRPr="001E27B4" w:rsidRDefault="00D961D3" w:rsidP="004A78D9">
            <w:pPr>
              <w:spacing w:after="0"/>
              <w:jc w:val="center"/>
              <w:cnfStyle w:val="000000000000" w:firstRow="0" w:lastRow="0" w:firstColumn="0" w:lastColumn="0" w:oddVBand="0" w:evenVBand="0" w:oddHBand="0" w:evenHBand="0" w:firstRowFirstColumn="0" w:firstRowLastColumn="0" w:lastRowFirstColumn="0" w:lastRowLastColumn="0"/>
              <w:rPr>
                <w:sz w:val="20"/>
                <w:lang w:eastAsia="en-GB"/>
              </w:rPr>
            </w:pPr>
            <w:r w:rsidRPr="001E27B4">
              <w:rPr>
                <w:sz w:val="20"/>
                <w:lang w:eastAsia="en-GB"/>
              </w:rPr>
              <w:t>51.6%</w:t>
            </w:r>
            <w:r w:rsidR="007F371A">
              <w:rPr>
                <w:sz w:val="20"/>
                <w:lang w:eastAsia="en-GB"/>
              </w:rPr>
              <w:t>**</w:t>
            </w:r>
          </w:p>
        </w:tc>
      </w:tr>
      <w:tr w:rsidR="00D961D3" w:rsidRPr="001E27B4" w:rsidTr="007F371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26" w:type="dxa"/>
            <w:noWrap/>
            <w:hideMark/>
          </w:tcPr>
          <w:p w:rsidR="00D961D3" w:rsidRPr="001E27B4" w:rsidRDefault="007F371A" w:rsidP="004A78D9">
            <w:pPr>
              <w:spacing w:after="0"/>
              <w:jc w:val="left"/>
              <w:rPr>
                <w:sz w:val="20"/>
                <w:lang w:eastAsia="en-GB"/>
              </w:rPr>
            </w:pPr>
            <w:r>
              <w:rPr>
                <w:sz w:val="20"/>
                <w:lang w:eastAsia="en-GB"/>
              </w:rPr>
              <w:t xml:space="preserve">Country </w:t>
            </w:r>
            <w:r>
              <w:rPr>
                <w:sz w:val="20"/>
                <w:lang w:eastAsia="en-GB"/>
              </w:rPr>
              <w:t>3</w:t>
            </w:r>
          </w:p>
        </w:tc>
        <w:tc>
          <w:tcPr>
            <w:tcW w:w="1826" w:type="dxa"/>
            <w:noWrap/>
            <w:hideMark/>
          </w:tcPr>
          <w:p w:rsidR="00D961D3" w:rsidRPr="001E27B4" w:rsidRDefault="00D961D3" w:rsidP="004A78D9">
            <w:pPr>
              <w:spacing w:after="0"/>
              <w:jc w:val="center"/>
              <w:cnfStyle w:val="000000100000" w:firstRow="0" w:lastRow="0" w:firstColumn="0" w:lastColumn="0" w:oddVBand="0" w:evenVBand="0" w:oddHBand="1" w:evenHBand="0" w:firstRowFirstColumn="0" w:firstRowLastColumn="0" w:lastRowFirstColumn="0" w:lastRowLastColumn="0"/>
              <w:rPr>
                <w:sz w:val="20"/>
                <w:lang w:eastAsia="en-GB"/>
              </w:rPr>
            </w:pPr>
            <w:r w:rsidRPr="001E27B4">
              <w:rPr>
                <w:sz w:val="20"/>
                <w:lang w:eastAsia="en-GB"/>
              </w:rPr>
              <w:t>1.2%</w:t>
            </w:r>
          </w:p>
        </w:tc>
        <w:tc>
          <w:tcPr>
            <w:tcW w:w="960" w:type="dxa"/>
            <w:noWrap/>
            <w:hideMark/>
          </w:tcPr>
          <w:p w:rsidR="00D961D3" w:rsidRPr="001E27B4" w:rsidRDefault="00D961D3" w:rsidP="004A78D9">
            <w:pPr>
              <w:spacing w:after="0"/>
              <w:jc w:val="center"/>
              <w:cnfStyle w:val="000000100000" w:firstRow="0" w:lastRow="0" w:firstColumn="0" w:lastColumn="0" w:oddVBand="0" w:evenVBand="0" w:oddHBand="1" w:evenHBand="0" w:firstRowFirstColumn="0" w:firstRowLastColumn="0" w:lastRowFirstColumn="0" w:lastRowLastColumn="0"/>
              <w:rPr>
                <w:sz w:val="20"/>
                <w:lang w:eastAsia="en-GB"/>
              </w:rPr>
            </w:pPr>
            <w:r w:rsidRPr="001E27B4">
              <w:rPr>
                <w:sz w:val="20"/>
                <w:lang w:eastAsia="en-GB"/>
              </w:rPr>
              <w:t>-32.9%</w:t>
            </w:r>
          </w:p>
        </w:tc>
        <w:tc>
          <w:tcPr>
            <w:tcW w:w="960" w:type="dxa"/>
            <w:noWrap/>
            <w:hideMark/>
          </w:tcPr>
          <w:p w:rsidR="00D961D3" w:rsidRPr="001E27B4" w:rsidRDefault="00D961D3" w:rsidP="004A78D9">
            <w:pPr>
              <w:spacing w:after="0"/>
              <w:jc w:val="center"/>
              <w:cnfStyle w:val="000000100000" w:firstRow="0" w:lastRow="0" w:firstColumn="0" w:lastColumn="0" w:oddVBand="0" w:evenVBand="0" w:oddHBand="1" w:evenHBand="0" w:firstRowFirstColumn="0" w:firstRowLastColumn="0" w:lastRowFirstColumn="0" w:lastRowLastColumn="0"/>
              <w:rPr>
                <w:sz w:val="20"/>
                <w:lang w:eastAsia="en-GB"/>
              </w:rPr>
            </w:pPr>
            <w:r w:rsidRPr="001E27B4">
              <w:rPr>
                <w:sz w:val="20"/>
                <w:lang w:eastAsia="en-GB"/>
              </w:rPr>
              <w:t>1.1%</w:t>
            </w:r>
          </w:p>
        </w:tc>
        <w:tc>
          <w:tcPr>
            <w:tcW w:w="960" w:type="dxa"/>
            <w:noWrap/>
            <w:hideMark/>
          </w:tcPr>
          <w:p w:rsidR="00D961D3" w:rsidRPr="001E27B4" w:rsidRDefault="00D961D3" w:rsidP="004A78D9">
            <w:pPr>
              <w:spacing w:after="0"/>
              <w:jc w:val="center"/>
              <w:cnfStyle w:val="000000100000" w:firstRow="0" w:lastRow="0" w:firstColumn="0" w:lastColumn="0" w:oddVBand="0" w:evenVBand="0" w:oddHBand="1" w:evenHBand="0" w:firstRowFirstColumn="0" w:firstRowLastColumn="0" w:lastRowFirstColumn="0" w:lastRowLastColumn="0"/>
              <w:rPr>
                <w:sz w:val="20"/>
                <w:lang w:eastAsia="en-GB"/>
              </w:rPr>
            </w:pPr>
            <w:r w:rsidRPr="001E27B4">
              <w:rPr>
                <w:sz w:val="20"/>
                <w:lang w:eastAsia="en-GB"/>
              </w:rPr>
              <w:t>97.5%</w:t>
            </w:r>
            <w:r w:rsidR="007F371A">
              <w:rPr>
                <w:sz w:val="20"/>
                <w:lang w:eastAsia="en-GB"/>
              </w:rPr>
              <w:t>***</w:t>
            </w:r>
          </w:p>
        </w:tc>
      </w:tr>
      <w:tr w:rsidR="00D961D3" w:rsidRPr="001E27B4" w:rsidTr="007F371A">
        <w:trPr>
          <w:trHeight w:val="255"/>
        </w:trPr>
        <w:tc>
          <w:tcPr>
            <w:cnfStyle w:val="001000000000" w:firstRow="0" w:lastRow="0" w:firstColumn="1" w:lastColumn="0" w:oddVBand="0" w:evenVBand="0" w:oddHBand="0" w:evenHBand="0" w:firstRowFirstColumn="0" w:firstRowLastColumn="0" w:lastRowFirstColumn="0" w:lastRowLastColumn="0"/>
            <w:tcW w:w="1126" w:type="dxa"/>
            <w:noWrap/>
            <w:hideMark/>
          </w:tcPr>
          <w:p w:rsidR="00D961D3" w:rsidRPr="001E27B4" w:rsidRDefault="007F371A" w:rsidP="004A78D9">
            <w:pPr>
              <w:spacing w:after="0"/>
              <w:jc w:val="left"/>
              <w:rPr>
                <w:sz w:val="20"/>
                <w:lang w:eastAsia="en-GB"/>
              </w:rPr>
            </w:pPr>
            <w:r>
              <w:rPr>
                <w:sz w:val="20"/>
                <w:lang w:eastAsia="en-GB"/>
              </w:rPr>
              <w:t xml:space="preserve">Country </w:t>
            </w:r>
            <w:r>
              <w:rPr>
                <w:sz w:val="20"/>
                <w:lang w:eastAsia="en-GB"/>
              </w:rPr>
              <w:t>4</w:t>
            </w:r>
          </w:p>
        </w:tc>
        <w:tc>
          <w:tcPr>
            <w:tcW w:w="1826" w:type="dxa"/>
            <w:noWrap/>
            <w:hideMark/>
          </w:tcPr>
          <w:p w:rsidR="00D961D3" w:rsidRPr="001E27B4" w:rsidRDefault="00D961D3" w:rsidP="004A78D9">
            <w:pPr>
              <w:spacing w:after="0"/>
              <w:jc w:val="center"/>
              <w:cnfStyle w:val="000000000000" w:firstRow="0" w:lastRow="0" w:firstColumn="0" w:lastColumn="0" w:oddVBand="0" w:evenVBand="0" w:oddHBand="0" w:evenHBand="0" w:firstRowFirstColumn="0" w:firstRowLastColumn="0" w:lastRowFirstColumn="0" w:lastRowLastColumn="0"/>
              <w:rPr>
                <w:sz w:val="20"/>
                <w:lang w:eastAsia="en-GB"/>
              </w:rPr>
            </w:pPr>
            <w:r w:rsidRPr="001E27B4">
              <w:rPr>
                <w:sz w:val="20"/>
                <w:lang w:eastAsia="en-GB"/>
              </w:rPr>
              <w:t>0.7%</w:t>
            </w:r>
          </w:p>
        </w:tc>
        <w:tc>
          <w:tcPr>
            <w:tcW w:w="960" w:type="dxa"/>
            <w:noWrap/>
            <w:hideMark/>
          </w:tcPr>
          <w:p w:rsidR="00D961D3" w:rsidRPr="001E27B4" w:rsidRDefault="00D961D3" w:rsidP="004A78D9">
            <w:pPr>
              <w:spacing w:after="0"/>
              <w:jc w:val="center"/>
              <w:cnfStyle w:val="000000000000" w:firstRow="0" w:lastRow="0" w:firstColumn="0" w:lastColumn="0" w:oddVBand="0" w:evenVBand="0" w:oddHBand="0" w:evenHBand="0" w:firstRowFirstColumn="0" w:firstRowLastColumn="0" w:lastRowFirstColumn="0" w:lastRowLastColumn="0"/>
              <w:rPr>
                <w:sz w:val="20"/>
                <w:lang w:eastAsia="en-GB"/>
              </w:rPr>
            </w:pPr>
            <w:r w:rsidRPr="001E27B4">
              <w:rPr>
                <w:sz w:val="20"/>
                <w:lang w:eastAsia="en-GB"/>
              </w:rPr>
              <w:t>-18.1%</w:t>
            </w:r>
          </w:p>
        </w:tc>
        <w:tc>
          <w:tcPr>
            <w:tcW w:w="960" w:type="dxa"/>
            <w:noWrap/>
            <w:hideMark/>
          </w:tcPr>
          <w:p w:rsidR="00D961D3" w:rsidRPr="001E27B4" w:rsidRDefault="00D961D3" w:rsidP="004A78D9">
            <w:pPr>
              <w:spacing w:after="0"/>
              <w:jc w:val="center"/>
              <w:cnfStyle w:val="000000000000" w:firstRow="0" w:lastRow="0" w:firstColumn="0" w:lastColumn="0" w:oddVBand="0" w:evenVBand="0" w:oddHBand="0" w:evenHBand="0" w:firstRowFirstColumn="0" w:firstRowLastColumn="0" w:lastRowFirstColumn="0" w:lastRowLastColumn="0"/>
              <w:rPr>
                <w:sz w:val="20"/>
                <w:lang w:eastAsia="en-GB"/>
              </w:rPr>
            </w:pPr>
            <w:r w:rsidRPr="001E27B4">
              <w:rPr>
                <w:sz w:val="20"/>
                <w:lang w:eastAsia="en-GB"/>
              </w:rPr>
              <w:t>-3.6%</w:t>
            </w:r>
          </w:p>
        </w:tc>
        <w:tc>
          <w:tcPr>
            <w:tcW w:w="960" w:type="dxa"/>
            <w:noWrap/>
            <w:hideMark/>
          </w:tcPr>
          <w:p w:rsidR="00D961D3" w:rsidRPr="001E27B4" w:rsidRDefault="00D961D3" w:rsidP="004A78D9">
            <w:pPr>
              <w:spacing w:after="0"/>
              <w:jc w:val="center"/>
              <w:cnfStyle w:val="000000000000" w:firstRow="0" w:lastRow="0" w:firstColumn="0" w:lastColumn="0" w:oddVBand="0" w:evenVBand="0" w:oddHBand="0" w:evenHBand="0" w:firstRowFirstColumn="0" w:firstRowLastColumn="0" w:lastRowFirstColumn="0" w:lastRowLastColumn="0"/>
              <w:rPr>
                <w:sz w:val="20"/>
                <w:lang w:eastAsia="en-GB"/>
              </w:rPr>
            </w:pPr>
            <w:r w:rsidRPr="001E27B4">
              <w:rPr>
                <w:sz w:val="20"/>
                <w:lang w:eastAsia="en-GB"/>
              </w:rPr>
              <w:t>53.3%</w:t>
            </w:r>
          </w:p>
        </w:tc>
      </w:tr>
      <w:tr w:rsidR="00D961D3" w:rsidRPr="001E27B4" w:rsidTr="007F371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26" w:type="dxa"/>
            <w:noWrap/>
            <w:hideMark/>
          </w:tcPr>
          <w:p w:rsidR="00D961D3" w:rsidRPr="001E27B4" w:rsidRDefault="007F371A" w:rsidP="004A78D9">
            <w:pPr>
              <w:spacing w:after="0"/>
              <w:jc w:val="left"/>
              <w:rPr>
                <w:sz w:val="20"/>
                <w:lang w:eastAsia="en-GB"/>
              </w:rPr>
            </w:pPr>
            <w:r>
              <w:rPr>
                <w:sz w:val="20"/>
                <w:lang w:eastAsia="en-GB"/>
              </w:rPr>
              <w:t xml:space="preserve">Country </w:t>
            </w:r>
            <w:r>
              <w:rPr>
                <w:sz w:val="20"/>
                <w:lang w:eastAsia="en-GB"/>
              </w:rPr>
              <w:t>5</w:t>
            </w:r>
          </w:p>
        </w:tc>
        <w:tc>
          <w:tcPr>
            <w:tcW w:w="1826" w:type="dxa"/>
            <w:noWrap/>
            <w:hideMark/>
          </w:tcPr>
          <w:p w:rsidR="00D961D3" w:rsidRPr="001E27B4" w:rsidRDefault="00D961D3" w:rsidP="004A78D9">
            <w:pPr>
              <w:spacing w:after="0"/>
              <w:jc w:val="center"/>
              <w:cnfStyle w:val="000000100000" w:firstRow="0" w:lastRow="0" w:firstColumn="0" w:lastColumn="0" w:oddVBand="0" w:evenVBand="0" w:oddHBand="1" w:evenHBand="0" w:firstRowFirstColumn="0" w:firstRowLastColumn="0" w:lastRowFirstColumn="0" w:lastRowLastColumn="0"/>
              <w:rPr>
                <w:sz w:val="20"/>
                <w:lang w:eastAsia="en-GB"/>
              </w:rPr>
            </w:pPr>
            <w:r w:rsidRPr="001E27B4">
              <w:rPr>
                <w:sz w:val="20"/>
                <w:lang w:eastAsia="en-GB"/>
              </w:rPr>
              <w:t>0.0%</w:t>
            </w:r>
          </w:p>
        </w:tc>
        <w:tc>
          <w:tcPr>
            <w:tcW w:w="960" w:type="dxa"/>
            <w:noWrap/>
            <w:hideMark/>
          </w:tcPr>
          <w:p w:rsidR="00D961D3" w:rsidRPr="001E27B4" w:rsidRDefault="00D961D3" w:rsidP="004A78D9">
            <w:pPr>
              <w:spacing w:after="0"/>
              <w:jc w:val="center"/>
              <w:cnfStyle w:val="000000100000" w:firstRow="0" w:lastRow="0" w:firstColumn="0" w:lastColumn="0" w:oddVBand="0" w:evenVBand="0" w:oddHBand="1" w:evenHBand="0" w:firstRowFirstColumn="0" w:firstRowLastColumn="0" w:lastRowFirstColumn="0" w:lastRowLastColumn="0"/>
              <w:rPr>
                <w:sz w:val="20"/>
                <w:lang w:eastAsia="en-GB"/>
              </w:rPr>
            </w:pPr>
            <w:r w:rsidRPr="001E27B4">
              <w:rPr>
                <w:sz w:val="20"/>
                <w:lang w:eastAsia="en-GB"/>
              </w:rPr>
              <w:t>0.0%</w:t>
            </w:r>
          </w:p>
        </w:tc>
        <w:tc>
          <w:tcPr>
            <w:tcW w:w="960" w:type="dxa"/>
            <w:noWrap/>
            <w:hideMark/>
          </w:tcPr>
          <w:p w:rsidR="00D961D3" w:rsidRPr="001E27B4" w:rsidRDefault="00D961D3" w:rsidP="004A78D9">
            <w:pPr>
              <w:spacing w:after="0"/>
              <w:jc w:val="center"/>
              <w:cnfStyle w:val="000000100000" w:firstRow="0" w:lastRow="0" w:firstColumn="0" w:lastColumn="0" w:oddVBand="0" w:evenVBand="0" w:oddHBand="1" w:evenHBand="0" w:firstRowFirstColumn="0" w:firstRowLastColumn="0" w:lastRowFirstColumn="0" w:lastRowLastColumn="0"/>
              <w:rPr>
                <w:sz w:val="20"/>
                <w:lang w:eastAsia="en-GB"/>
              </w:rPr>
            </w:pPr>
            <w:r w:rsidRPr="001E27B4">
              <w:rPr>
                <w:sz w:val="20"/>
                <w:lang w:eastAsia="en-GB"/>
              </w:rPr>
              <w:t>0.0%</w:t>
            </w:r>
          </w:p>
        </w:tc>
        <w:tc>
          <w:tcPr>
            <w:tcW w:w="960" w:type="dxa"/>
            <w:noWrap/>
            <w:hideMark/>
          </w:tcPr>
          <w:p w:rsidR="00D961D3" w:rsidRPr="001E27B4" w:rsidRDefault="00D961D3" w:rsidP="004A78D9">
            <w:pPr>
              <w:spacing w:after="0"/>
              <w:jc w:val="center"/>
              <w:cnfStyle w:val="000000100000" w:firstRow="0" w:lastRow="0" w:firstColumn="0" w:lastColumn="0" w:oddVBand="0" w:evenVBand="0" w:oddHBand="1" w:evenHBand="0" w:firstRowFirstColumn="0" w:firstRowLastColumn="0" w:lastRowFirstColumn="0" w:lastRowLastColumn="0"/>
              <w:rPr>
                <w:sz w:val="20"/>
                <w:lang w:eastAsia="en-GB"/>
              </w:rPr>
            </w:pPr>
            <w:r w:rsidRPr="001E27B4">
              <w:rPr>
                <w:sz w:val="20"/>
                <w:lang w:eastAsia="en-GB"/>
              </w:rPr>
              <w:t>0.0%</w:t>
            </w:r>
          </w:p>
        </w:tc>
      </w:tr>
    </w:tbl>
    <w:p w:rsidR="00D961D3" w:rsidRDefault="00D961D3" w:rsidP="00D961D3"/>
    <w:p w:rsidR="00D961D3" w:rsidRDefault="007F371A" w:rsidP="00D961D3">
      <w:r>
        <w:t xml:space="preserve">* Here the </w:t>
      </w:r>
      <w:r w:rsidR="00D961D3">
        <w:t>Telecommunications industry registers a decrease of -13% of level of hours worked.</w:t>
      </w:r>
    </w:p>
    <w:p w:rsidR="00D961D3" w:rsidRDefault="007F371A" w:rsidP="00D961D3">
      <w:r>
        <w:t>**</w:t>
      </w:r>
      <w:r w:rsidR="00D961D3">
        <w:t xml:space="preserve"> Legal activities M69-70 records a revision of 51% for the hours worked.</w:t>
      </w:r>
    </w:p>
    <w:p w:rsidR="007F371A" w:rsidRDefault="007F371A" w:rsidP="007F371A">
      <w:r>
        <w:t>***</w:t>
      </w:r>
      <w:r w:rsidR="00D961D3">
        <w:t xml:space="preserve">Research and development activity with a doubling of the hours worked value for 2010. </w:t>
      </w:r>
    </w:p>
    <w:p w:rsidR="00D961D3" w:rsidRDefault="00D961D3" w:rsidP="007F371A">
      <w:pPr>
        <w:pStyle w:val="Heading1"/>
      </w:pPr>
      <w:bookmarkStart w:id="6" w:name="_Toc413850155"/>
      <w:r>
        <w:t>Comparison framework</w:t>
      </w:r>
      <w:bookmarkEnd w:id="6"/>
    </w:p>
    <w:p w:rsidR="00D961D3" w:rsidRDefault="007F371A" w:rsidP="00D961D3">
      <w:r>
        <w:t>Eurostat will</w:t>
      </w:r>
      <w:r w:rsidR="00D961D3">
        <w:t xml:space="preserve"> generalise the compilation of such comparison indicators and disseminate a summary of the changes' impacts in Supply, Use and Input-Output Tables. The comparison would serve as metadata to the new dataset in ESA 2010 disseminated on Eurostat website in the form of a document and article to be published with the European consolidated tables disseminated in </w:t>
      </w:r>
      <w:r>
        <w:t>fall</w:t>
      </w:r>
      <w:r w:rsidR="00D961D3">
        <w:t xml:space="preserve"> 2015. The comparison would benefit from comments at national level.</w:t>
      </w:r>
    </w:p>
    <w:p w:rsidR="00D961D3" w:rsidRDefault="00D961D3" w:rsidP="00D961D3">
      <w:r>
        <w:t xml:space="preserve">The advantage of the SUIOTs framework is to have the detailed breakdown to 64 products and industries. Other tables in the </w:t>
      </w:r>
      <w:r w:rsidR="007F371A">
        <w:t xml:space="preserve">European National Accounts </w:t>
      </w:r>
      <w:r>
        <w:t>transmission program would give information on the same detailed industry level but the SUIOTs would complement it with information on the products level.</w:t>
      </w:r>
    </w:p>
    <w:p w:rsidR="00D961D3" w:rsidRDefault="00D961D3" w:rsidP="007F371A">
      <w:pPr>
        <w:pStyle w:val="Heading2"/>
      </w:pPr>
      <w:bookmarkStart w:id="7" w:name="_Toc413850156"/>
      <w:r>
        <w:t>What to compare?</w:t>
      </w:r>
      <w:bookmarkEnd w:id="7"/>
    </w:p>
    <w:p w:rsidR="00D961D3" w:rsidRDefault="00D961D3" w:rsidP="00D961D3">
      <w:r>
        <w:t>Eurostat's proposal is to compare at the 64 breakdown level:</w:t>
      </w:r>
      <w:r>
        <w:tab/>
      </w:r>
    </w:p>
    <w:p w:rsidR="00D961D3" w:rsidRDefault="00D961D3" w:rsidP="00E03861">
      <w:pPr>
        <w:pStyle w:val="ListParagraph"/>
        <w:numPr>
          <w:ilvl w:val="0"/>
          <w:numId w:val="7"/>
        </w:numPr>
        <w:spacing w:line="240" w:lineRule="auto"/>
      </w:pPr>
      <w:r>
        <w:t>The gross value added giving some statistical indicators (average, moments) of the distribution of the revision changes, the WAPE to highlight changes at industry level;</w:t>
      </w:r>
    </w:p>
    <w:p w:rsidR="00D961D3" w:rsidRDefault="00D961D3" w:rsidP="00E03861">
      <w:pPr>
        <w:pStyle w:val="ListParagraph"/>
        <w:numPr>
          <w:ilvl w:val="0"/>
          <w:numId w:val="7"/>
        </w:numPr>
        <w:spacing w:line="240" w:lineRule="auto"/>
      </w:pPr>
      <w:r>
        <w:t>The intermediate consumption with indicators such as average, moments of the distribution of the revision, WAPE at product and industry level;</w:t>
      </w:r>
    </w:p>
    <w:p w:rsidR="00D961D3" w:rsidRDefault="00D961D3" w:rsidP="00E03861">
      <w:pPr>
        <w:pStyle w:val="ListParagraph"/>
        <w:numPr>
          <w:ilvl w:val="0"/>
          <w:numId w:val="7"/>
        </w:numPr>
        <w:spacing w:line="240" w:lineRule="auto"/>
      </w:pPr>
      <w:r>
        <w:t>The final consumption and investment by products with the revision changes in the consumption and investment ratios;</w:t>
      </w:r>
    </w:p>
    <w:p w:rsidR="00D961D3" w:rsidRDefault="00D961D3" w:rsidP="00E03861">
      <w:pPr>
        <w:pStyle w:val="ListParagraph"/>
        <w:numPr>
          <w:ilvl w:val="0"/>
          <w:numId w:val="7"/>
        </w:numPr>
        <w:spacing w:line="240" w:lineRule="auto"/>
      </w:pPr>
      <w:r>
        <w:t>The trade components (exports and imports) by products; the intra/extra EU split may give an additional clue regarding the internal market relevance of processing trade;</w:t>
      </w:r>
    </w:p>
    <w:p w:rsidR="00D961D3" w:rsidRDefault="00D961D3" w:rsidP="00E03861">
      <w:pPr>
        <w:pStyle w:val="ListParagraph"/>
        <w:numPr>
          <w:ilvl w:val="0"/>
          <w:numId w:val="7"/>
        </w:numPr>
        <w:spacing w:line="240" w:lineRule="auto"/>
      </w:pPr>
      <w:r>
        <w:t>The components of the gross value added by industry;</w:t>
      </w:r>
    </w:p>
    <w:p w:rsidR="00D961D3" w:rsidRDefault="00D961D3" w:rsidP="00E03861">
      <w:pPr>
        <w:pStyle w:val="ListParagraph"/>
        <w:numPr>
          <w:ilvl w:val="0"/>
          <w:numId w:val="7"/>
        </w:numPr>
        <w:spacing w:line="240" w:lineRule="auto"/>
      </w:pPr>
      <w:r>
        <w:t>The input coefficients.</w:t>
      </w:r>
    </w:p>
    <w:p w:rsidR="00D961D3" w:rsidRDefault="00D961D3" w:rsidP="007F371A">
      <w:pPr>
        <w:pStyle w:val="Heading2"/>
      </w:pPr>
      <w:bookmarkStart w:id="8" w:name="_Toc413850157"/>
      <w:r>
        <w:t>How to compare?</w:t>
      </w:r>
      <w:bookmarkEnd w:id="8"/>
    </w:p>
    <w:p w:rsidR="00D961D3" w:rsidRDefault="00D961D3" w:rsidP="00D961D3">
      <w:r>
        <w:t>The comparison will consist of the compilation of revision percentages one side and on the WAPE compilation on the other side, stressing on the products and industries with the largest revisions.</w:t>
      </w:r>
    </w:p>
    <w:p w:rsidR="00D961D3" w:rsidRDefault="00D961D3" w:rsidP="00D961D3">
      <w:r>
        <w:t xml:space="preserve">The data for comparison will be </w:t>
      </w:r>
      <w:r w:rsidR="007F371A">
        <w:t xml:space="preserve">the two datasets for the </w:t>
      </w:r>
      <w:r>
        <w:t>year 2010.</w:t>
      </w:r>
    </w:p>
    <w:p w:rsidR="00D961D3" w:rsidRDefault="00D961D3" w:rsidP="007F371A">
      <w:pPr>
        <w:pStyle w:val="Heading2"/>
      </w:pPr>
      <w:bookmarkStart w:id="9" w:name="_Toc413850158"/>
      <w:r>
        <w:t>Dissemination</w:t>
      </w:r>
      <w:bookmarkEnd w:id="9"/>
    </w:p>
    <w:p w:rsidR="00E11CE1" w:rsidRDefault="00D95AFE" w:rsidP="00D95AFE">
      <w:r>
        <w:t>The channels of dissemination will be Eurostat website as well as proposal in a journal publication. Countries will be free to add some narrative to the national fiche that will address the difference between the two datasets. Indeed the implementation of ESA2010 can not be dissociate from other data improvements such as Gross National Income revisions, redefinition of activities</w:t>
      </w:r>
      <w:r w:rsidR="00E11CE1">
        <w:t xml:space="preserve"> (e.g. operational leasing and financial leasing, rea</w:t>
      </w:r>
      <w:r>
        <w:t>l estates and imputed rentals…), the non-observed economy, the t</w:t>
      </w:r>
      <w:r w:rsidR="00E11CE1">
        <w:t xml:space="preserve">ransfer of activity from trader to producer in </w:t>
      </w:r>
      <w:r w:rsidR="00E11CE1">
        <w:lastRenderedPageBreak/>
        <w:t xml:space="preserve">relation to </w:t>
      </w:r>
      <w:r>
        <w:t xml:space="preserve">the change of ownership concept or the </w:t>
      </w:r>
      <w:r w:rsidR="00E11CE1">
        <w:t>statistical unit choice: using KAU or enterprise will result in not the same allocation of NACE industry for example for the production of product X</w:t>
      </w:r>
      <w:r w:rsidR="00436DD2">
        <w:t>.</w:t>
      </w:r>
    </w:p>
    <w:p w:rsidR="00E11CE1" w:rsidRDefault="00E11CE1" w:rsidP="00E11CE1">
      <w:pPr>
        <w:spacing w:afterLines="50"/>
      </w:pPr>
      <w:r>
        <w:t>Isolating ESA 2010 impacts on data from all changes cannot not be done in a systematic way and exhaustively on the whole National Accounts domain.</w:t>
      </w:r>
    </w:p>
    <w:p w:rsidR="00E11CE1" w:rsidRDefault="00436DD2" w:rsidP="00436DD2">
      <w:pPr>
        <w:spacing w:afterLines="50"/>
      </w:pPr>
      <w:r>
        <w:t xml:space="preserve">The dissemination of such analysis </w:t>
      </w:r>
      <w:r w:rsidR="00E11CE1">
        <w:t>would be useful for users.</w:t>
      </w:r>
    </w:p>
    <w:p w:rsidR="00436DD2" w:rsidRDefault="00436DD2" w:rsidP="00436DD2">
      <w:pPr>
        <w:spacing w:afterLines="50"/>
      </w:pPr>
      <w:bookmarkStart w:id="10" w:name="_GoBack"/>
      <w:bookmarkEnd w:id="10"/>
    </w:p>
    <w:p w:rsidR="00E11CE1" w:rsidRPr="00E11CE1" w:rsidRDefault="00E11CE1" w:rsidP="00E11CE1"/>
    <w:sectPr w:rsidR="00E11CE1" w:rsidRPr="00E11CE1" w:rsidSect="00370EB7">
      <w:footerReference w:type="default" r:id="rId11"/>
      <w:pgSz w:w="11905" w:h="17337"/>
      <w:pgMar w:top="1290" w:right="668" w:bottom="1113" w:left="69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135" w:rsidRDefault="00B90135">
      <w:r>
        <w:separator/>
      </w:r>
    </w:p>
  </w:endnote>
  <w:endnote w:type="continuationSeparator" w:id="0">
    <w:p w:rsidR="00B90135" w:rsidRDefault="00B9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Minion Pro">
    <w:altName w:val="MS Mincho"/>
    <w:panose1 w:val="00000000000000000000"/>
    <w:charset w:val="00"/>
    <w:family w:val="roman"/>
    <w:notTrueType/>
    <w:pitch w:val="default"/>
    <w:sig w:usb0="00000000" w:usb1="08070000" w:usb2="00000010" w:usb3="00000000" w:csb0="00020001" w:csb1="00000000"/>
  </w:font>
  <w:font w:name="Century Schoolbook">
    <w:altName w:val="NewCenturySchlbk"/>
    <w:charset w:val="00"/>
    <w:family w:val="roman"/>
    <w:pitch w:val="variable"/>
    <w:sig w:usb0="00000287" w:usb1="00000000"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135" w:rsidRDefault="00B90135">
    <w:pPr>
      <w:pStyle w:val="Footer"/>
      <w:jc w:val="center"/>
    </w:pPr>
    <w:r>
      <w:fldChar w:fldCharType="begin"/>
    </w:r>
    <w:r>
      <w:instrText>PAGE   \* MERGEFORMAT</w:instrText>
    </w:r>
    <w:r>
      <w:fldChar w:fldCharType="separate"/>
    </w:r>
    <w:r w:rsidR="00436DD2" w:rsidRPr="00436DD2">
      <w:rPr>
        <w:noProof/>
        <w:lang w:val="es-ES"/>
      </w:rPr>
      <w:t>9</w:t>
    </w:r>
    <w:r>
      <w:fldChar w:fldCharType="end"/>
    </w:r>
  </w:p>
  <w:p w:rsidR="00B90135" w:rsidRDefault="00B901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135" w:rsidRDefault="00B90135">
      <w:r>
        <w:separator/>
      </w:r>
    </w:p>
  </w:footnote>
  <w:footnote w:type="continuationSeparator" w:id="0">
    <w:p w:rsidR="00B90135" w:rsidRDefault="00B90135">
      <w:r>
        <w:continuationSeparator/>
      </w:r>
    </w:p>
  </w:footnote>
  <w:footnote w:id="1">
    <w:p w:rsidR="00B90135" w:rsidRPr="00D01EB4" w:rsidRDefault="00B90135">
      <w:pPr>
        <w:pStyle w:val="FootnoteText"/>
        <w:rPr>
          <w:lang w:val="fr-BE"/>
        </w:rPr>
      </w:pPr>
      <w:r>
        <w:rPr>
          <w:rStyle w:val="FootnoteReference"/>
        </w:rPr>
        <w:footnoteRef/>
      </w:r>
      <w:r>
        <w:t xml:space="preserve"> </w:t>
      </w:r>
      <w:r w:rsidRPr="004E1273">
        <w:rPr>
          <w:szCs w:val="22"/>
        </w:rPr>
        <w:t>The views expressed in this paper belong to the author and should not be attributed to the European Commission, Eurostat or its services.</w:t>
      </w:r>
    </w:p>
  </w:footnote>
  <w:footnote w:id="2">
    <w:p w:rsidR="00B90135" w:rsidRPr="007504BE" w:rsidRDefault="00B90135" w:rsidP="00C00345">
      <w:pPr>
        <w:pStyle w:val="FootnoteText"/>
      </w:pPr>
      <w:r>
        <w:rPr>
          <w:rStyle w:val="FootnoteReference"/>
        </w:rPr>
        <w:footnoteRef/>
      </w:r>
      <w:r>
        <w:t xml:space="preserve"> Note that the analysis is based in country submissions under both systems. Some countries have introduced in the submission under ESA 2010 not only the revisions due to the new system of accounting but also review of estimations and other improvements. Which part of the differences is due to the new accounting systems and which part to country reviews/improvements is difficult to distinguish.</w:t>
      </w:r>
    </w:p>
  </w:footnote>
  <w:footnote w:id="3">
    <w:p w:rsidR="00B90135" w:rsidRPr="009C28D6" w:rsidRDefault="00B90135" w:rsidP="00323972">
      <w:pPr>
        <w:pStyle w:val="FootnoteText"/>
      </w:pPr>
      <w:r>
        <w:rPr>
          <w:rStyle w:val="FootnoteReference"/>
        </w:rPr>
        <w:footnoteRef/>
      </w:r>
      <w:r>
        <w:t xml:space="preserve"> </w:t>
      </w:r>
      <w:r w:rsidRPr="009C28D6">
        <w:t xml:space="preserve">GDP </w:t>
      </w:r>
      <w:r>
        <w:t xml:space="preserve">is measured in the production approach as </w:t>
      </w:r>
      <w:r>
        <w:rPr>
          <w:rStyle w:val="A8"/>
        </w:rPr>
        <w:t>the sum of the gross values added by all activities which produce goods and services, plus taxes less subsidies on products.</w:t>
      </w:r>
    </w:p>
  </w:footnote>
  <w:footnote w:id="4">
    <w:p w:rsidR="00B90135" w:rsidRPr="009F5A57" w:rsidRDefault="00B90135" w:rsidP="00D155FF">
      <w:pPr>
        <w:autoSpaceDE w:val="0"/>
        <w:autoSpaceDN w:val="0"/>
        <w:adjustRightInd w:val="0"/>
        <w:spacing w:after="0"/>
        <w:jc w:val="left"/>
        <w:rPr>
          <w:lang w:val="fr-BE"/>
        </w:rPr>
      </w:pPr>
      <w:r>
        <w:rPr>
          <w:rStyle w:val="FootnoteReference"/>
        </w:rPr>
        <w:footnoteRef/>
      </w:r>
      <w:r>
        <w:t xml:space="preserve"> </w:t>
      </w:r>
      <w:r w:rsidRPr="009F5A57">
        <w:rPr>
          <w:b/>
          <w:bCs/>
          <w:sz w:val="18"/>
          <w:szCs w:val="18"/>
          <w:lang w:eastAsia="en-GB"/>
        </w:rPr>
        <w:t xml:space="preserve">A </w:t>
      </w:r>
      <w:r w:rsidRPr="009F5A57">
        <w:rPr>
          <w:sz w:val="18"/>
          <w:szCs w:val="18"/>
          <w:lang w:eastAsia="en-GB"/>
        </w:rPr>
        <w:t xml:space="preserve">Agriculture, forestry and fishing, </w:t>
      </w:r>
      <w:r w:rsidRPr="009F5A57">
        <w:rPr>
          <w:b/>
          <w:bCs/>
          <w:sz w:val="18"/>
          <w:szCs w:val="18"/>
          <w:lang w:eastAsia="en-GB"/>
        </w:rPr>
        <w:t xml:space="preserve">B </w:t>
      </w:r>
      <w:r w:rsidRPr="009F5A57">
        <w:rPr>
          <w:sz w:val="18"/>
          <w:szCs w:val="18"/>
          <w:lang w:eastAsia="en-GB"/>
        </w:rPr>
        <w:t xml:space="preserve">Mining and quarrying, </w:t>
      </w:r>
      <w:r w:rsidRPr="009F5A57">
        <w:rPr>
          <w:b/>
          <w:bCs/>
          <w:sz w:val="18"/>
          <w:szCs w:val="18"/>
          <w:lang w:eastAsia="en-GB"/>
        </w:rPr>
        <w:t xml:space="preserve">C </w:t>
      </w:r>
      <w:r w:rsidRPr="009F5A57">
        <w:rPr>
          <w:sz w:val="18"/>
          <w:szCs w:val="18"/>
          <w:lang w:eastAsia="en-GB"/>
        </w:rPr>
        <w:t xml:space="preserve">Manufacturing, </w:t>
      </w:r>
      <w:r w:rsidRPr="009F5A57">
        <w:rPr>
          <w:b/>
          <w:bCs/>
          <w:sz w:val="18"/>
          <w:szCs w:val="18"/>
          <w:lang w:eastAsia="en-GB"/>
        </w:rPr>
        <w:t xml:space="preserve">D </w:t>
      </w:r>
      <w:r w:rsidRPr="009F5A57">
        <w:rPr>
          <w:sz w:val="18"/>
          <w:szCs w:val="18"/>
          <w:lang w:eastAsia="en-GB"/>
        </w:rPr>
        <w:t xml:space="preserve">Electricity, gas, steam and air conditioning supply </w:t>
      </w:r>
      <w:r w:rsidRPr="009F5A57">
        <w:rPr>
          <w:b/>
          <w:bCs/>
          <w:sz w:val="18"/>
          <w:szCs w:val="18"/>
          <w:lang w:eastAsia="en-GB"/>
        </w:rPr>
        <w:t xml:space="preserve">E </w:t>
      </w:r>
      <w:r w:rsidRPr="009F5A57">
        <w:rPr>
          <w:sz w:val="18"/>
          <w:szCs w:val="18"/>
          <w:lang w:eastAsia="en-GB"/>
        </w:rPr>
        <w:t xml:space="preserve">Water supply, sewerage, waste management and remediation activities, </w:t>
      </w:r>
      <w:r w:rsidRPr="009F5A57">
        <w:rPr>
          <w:b/>
          <w:bCs/>
          <w:sz w:val="18"/>
          <w:szCs w:val="18"/>
          <w:lang w:eastAsia="en-GB"/>
        </w:rPr>
        <w:t xml:space="preserve">F </w:t>
      </w:r>
      <w:r w:rsidRPr="009F5A57">
        <w:rPr>
          <w:sz w:val="18"/>
          <w:szCs w:val="18"/>
          <w:lang w:eastAsia="en-GB"/>
        </w:rPr>
        <w:t xml:space="preserve">Construction, </w:t>
      </w:r>
      <w:r w:rsidRPr="009F5A57">
        <w:rPr>
          <w:b/>
          <w:bCs/>
          <w:sz w:val="18"/>
          <w:szCs w:val="18"/>
          <w:lang w:eastAsia="en-GB"/>
        </w:rPr>
        <w:t>G W</w:t>
      </w:r>
      <w:r w:rsidRPr="009F5A57">
        <w:rPr>
          <w:sz w:val="18"/>
          <w:szCs w:val="18"/>
          <w:lang w:eastAsia="en-GB"/>
        </w:rPr>
        <w:t xml:space="preserve">holesale and retail trade; repair of motor vehicles and motorcycles, </w:t>
      </w:r>
      <w:r w:rsidRPr="009F5A57">
        <w:rPr>
          <w:b/>
          <w:bCs/>
          <w:sz w:val="18"/>
          <w:szCs w:val="18"/>
          <w:lang w:eastAsia="en-GB"/>
        </w:rPr>
        <w:t xml:space="preserve">I </w:t>
      </w:r>
      <w:r w:rsidRPr="009F5A57">
        <w:rPr>
          <w:sz w:val="18"/>
          <w:szCs w:val="18"/>
          <w:lang w:eastAsia="en-GB"/>
        </w:rPr>
        <w:t xml:space="preserve">Accommodation and food service activities, </w:t>
      </w:r>
      <w:r w:rsidRPr="009F5A57">
        <w:rPr>
          <w:b/>
          <w:bCs/>
          <w:sz w:val="18"/>
          <w:szCs w:val="18"/>
          <w:lang w:eastAsia="en-GB"/>
        </w:rPr>
        <w:t xml:space="preserve">H </w:t>
      </w:r>
      <w:r w:rsidRPr="009F5A57">
        <w:rPr>
          <w:sz w:val="18"/>
          <w:szCs w:val="18"/>
          <w:lang w:eastAsia="en-GB"/>
        </w:rPr>
        <w:t xml:space="preserve">Transportation and storage </w:t>
      </w:r>
      <w:r w:rsidRPr="009F5A57">
        <w:rPr>
          <w:b/>
          <w:bCs/>
          <w:sz w:val="18"/>
          <w:szCs w:val="18"/>
          <w:lang w:eastAsia="en-GB"/>
        </w:rPr>
        <w:t xml:space="preserve">J </w:t>
      </w:r>
      <w:r w:rsidRPr="009F5A57">
        <w:rPr>
          <w:sz w:val="18"/>
          <w:szCs w:val="18"/>
          <w:lang w:eastAsia="en-GB"/>
        </w:rPr>
        <w:t xml:space="preserve">Information and communication, </w:t>
      </w:r>
      <w:r w:rsidRPr="009F5A57">
        <w:rPr>
          <w:b/>
          <w:bCs/>
          <w:sz w:val="18"/>
          <w:szCs w:val="18"/>
          <w:lang w:eastAsia="en-GB"/>
        </w:rPr>
        <w:t xml:space="preserve">K </w:t>
      </w:r>
      <w:r w:rsidRPr="009F5A57">
        <w:rPr>
          <w:sz w:val="18"/>
          <w:szCs w:val="18"/>
          <w:lang w:eastAsia="en-GB"/>
        </w:rPr>
        <w:t xml:space="preserve">Financial and insurance activities, </w:t>
      </w:r>
      <w:r w:rsidRPr="009F5A57">
        <w:rPr>
          <w:b/>
          <w:bCs/>
          <w:sz w:val="18"/>
          <w:szCs w:val="18"/>
          <w:lang w:eastAsia="en-GB"/>
        </w:rPr>
        <w:t xml:space="preserve">L </w:t>
      </w:r>
      <w:r w:rsidRPr="009F5A57">
        <w:rPr>
          <w:sz w:val="18"/>
          <w:szCs w:val="18"/>
          <w:lang w:eastAsia="en-GB"/>
        </w:rPr>
        <w:t xml:space="preserve">Real estate activities, </w:t>
      </w:r>
      <w:r w:rsidRPr="009F5A57">
        <w:rPr>
          <w:b/>
          <w:bCs/>
          <w:sz w:val="18"/>
          <w:szCs w:val="18"/>
          <w:lang w:eastAsia="en-GB"/>
        </w:rPr>
        <w:t xml:space="preserve">M </w:t>
      </w:r>
      <w:r w:rsidRPr="009F5A57">
        <w:rPr>
          <w:sz w:val="18"/>
          <w:szCs w:val="18"/>
          <w:lang w:eastAsia="en-GB"/>
        </w:rPr>
        <w:t xml:space="preserve">Professional, scientific and technical activities, </w:t>
      </w:r>
      <w:r w:rsidRPr="009F5A57">
        <w:rPr>
          <w:b/>
          <w:bCs/>
          <w:sz w:val="18"/>
          <w:szCs w:val="18"/>
          <w:lang w:eastAsia="en-GB"/>
        </w:rPr>
        <w:t xml:space="preserve">N </w:t>
      </w:r>
      <w:r w:rsidRPr="009F5A57">
        <w:rPr>
          <w:sz w:val="18"/>
          <w:szCs w:val="18"/>
          <w:lang w:eastAsia="en-GB"/>
        </w:rPr>
        <w:t xml:space="preserve">Administrative and support service activities, </w:t>
      </w:r>
      <w:r w:rsidRPr="009F5A57">
        <w:rPr>
          <w:b/>
          <w:bCs/>
          <w:sz w:val="18"/>
          <w:szCs w:val="18"/>
          <w:lang w:eastAsia="en-GB"/>
        </w:rPr>
        <w:t xml:space="preserve">O </w:t>
      </w:r>
      <w:r w:rsidRPr="009F5A57">
        <w:rPr>
          <w:sz w:val="18"/>
          <w:szCs w:val="18"/>
          <w:lang w:eastAsia="en-GB"/>
        </w:rPr>
        <w:t xml:space="preserve">Public administration and defence; compulsory social security, </w:t>
      </w:r>
      <w:r w:rsidRPr="009F5A57">
        <w:rPr>
          <w:b/>
          <w:bCs/>
          <w:sz w:val="18"/>
          <w:szCs w:val="18"/>
          <w:lang w:eastAsia="en-GB"/>
        </w:rPr>
        <w:t xml:space="preserve">P </w:t>
      </w:r>
      <w:r w:rsidRPr="009F5A57">
        <w:rPr>
          <w:sz w:val="18"/>
          <w:szCs w:val="18"/>
          <w:lang w:eastAsia="en-GB"/>
        </w:rPr>
        <w:t xml:space="preserve">Education, </w:t>
      </w:r>
      <w:r w:rsidRPr="009F5A57">
        <w:rPr>
          <w:b/>
          <w:bCs/>
          <w:sz w:val="18"/>
          <w:szCs w:val="18"/>
          <w:lang w:eastAsia="en-GB"/>
        </w:rPr>
        <w:t xml:space="preserve">Q </w:t>
      </w:r>
      <w:r w:rsidRPr="009F5A57">
        <w:rPr>
          <w:sz w:val="18"/>
          <w:szCs w:val="18"/>
          <w:lang w:eastAsia="en-GB"/>
        </w:rPr>
        <w:t xml:space="preserve">Human health and social work activities, </w:t>
      </w:r>
      <w:r w:rsidRPr="009F5A57">
        <w:rPr>
          <w:b/>
          <w:bCs/>
          <w:sz w:val="18"/>
          <w:szCs w:val="18"/>
          <w:lang w:eastAsia="en-GB"/>
        </w:rPr>
        <w:t xml:space="preserve">R </w:t>
      </w:r>
      <w:r w:rsidRPr="009F5A57">
        <w:rPr>
          <w:sz w:val="18"/>
          <w:szCs w:val="18"/>
          <w:lang w:eastAsia="en-GB"/>
        </w:rPr>
        <w:t>Arts, entertainment and recreation.</w:t>
      </w:r>
      <w:r w:rsidRPr="009F5A57">
        <w:rPr>
          <w:lang w:eastAsia="en-GB"/>
        </w:rPr>
        <w:t xml:space="preserve"> </w:t>
      </w:r>
    </w:p>
  </w:footnote>
  <w:footnote w:id="5">
    <w:p w:rsidR="00B84A3E" w:rsidRPr="00823BAD" w:rsidRDefault="00B84A3E" w:rsidP="00B84A3E">
      <w:pPr>
        <w:pStyle w:val="FootnoteText"/>
      </w:pPr>
      <w:r>
        <w:rPr>
          <w:rStyle w:val="FootnoteReference"/>
        </w:rPr>
        <w:footnoteRef/>
      </w:r>
      <w:r>
        <w:t xml:space="preserve"> They have been here calculated on product by product Input-Output Tables.</w:t>
      </w:r>
    </w:p>
  </w:footnote>
  <w:footnote w:id="6">
    <w:p w:rsidR="00B84A3E" w:rsidRPr="00FF60E7" w:rsidRDefault="00B84A3E" w:rsidP="00B84A3E">
      <w:pPr>
        <w:pStyle w:val="FootnoteText"/>
      </w:pPr>
      <w:r>
        <w:rPr>
          <w:rStyle w:val="FootnoteReference"/>
        </w:rPr>
        <w:footnoteRef/>
      </w:r>
      <w:r>
        <w:t xml:space="preserve"> See paper "</w:t>
      </w:r>
      <w:r w:rsidRPr="00FF60E7">
        <w:t xml:space="preserve">Compilation of the </w:t>
      </w:r>
      <w:r>
        <w:t>Supply</w:t>
      </w:r>
      <w:r w:rsidRPr="00FF60E7">
        <w:t xml:space="preserve"> and use</w:t>
      </w:r>
      <w:r>
        <w:t xml:space="preserve"> </w:t>
      </w:r>
      <w:r w:rsidRPr="00FF60E7">
        <w:t>input-output tables according to the ESA 2010 for Estonia</w:t>
      </w:r>
      <w:r>
        <w:t>" presented by Iljen Dedegkeva at the 22</w:t>
      </w:r>
      <w:r w:rsidRPr="00ED2B3E">
        <w:rPr>
          <w:vertAlign w:val="superscript"/>
        </w:rPr>
        <w:t>nd</w:t>
      </w:r>
      <w:r>
        <w:t xml:space="preserve"> IIOA conference in Lisbon in 2014.</w:t>
      </w:r>
    </w:p>
  </w:footnote>
  <w:footnote w:id="7">
    <w:p w:rsidR="00B84A3E" w:rsidRPr="0009751A" w:rsidRDefault="00B84A3E" w:rsidP="00B84A3E">
      <w:pPr>
        <w:pStyle w:val="FootnoteText"/>
      </w:pPr>
      <w:r>
        <w:rPr>
          <w:rStyle w:val="FootnoteReference"/>
        </w:rPr>
        <w:footnoteRef/>
      </w:r>
      <w:r>
        <w:t xml:space="preserve"> Under ESA 95, a product sent to a different firm for processing and returned back without change in ownership was differently treated if sent domestically (processing fee) than internationally (export/import). Under ESA 2010, both options are considered equally (processing fee).</w:t>
      </w:r>
    </w:p>
  </w:footnote>
  <w:footnote w:id="8">
    <w:p w:rsidR="00D961D3" w:rsidRDefault="00D961D3" w:rsidP="00D961D3">
      <w:pPr>
        <w:pStyle w:val="FootnoteText"/>
      </w:pPr>
      <w:r>
        <w:rPr>
          <w:rStyle w:val="FootnoteReference"/>
        </w:rPr>
        <w:footnoteRef/>
      </w:r>
      <w:r>
        <w:t xml:space="preserve"> See</w:t>
      </w:r>
      <w:r w:rsidR="00E03861">
        <w:t xml:space="preserve"> for example the Czech Republic case in</w:t>
      </w:r>
      <w:r>
        <w:t xml:space="preserve"> </w:t>
      </w:r>
      <w:hyperlink r:id="rId1" w:history="1">
        <w:r w:rsidRPr="001B5D03">
          <w:rPr>
            <w:rStyle w:val="Hyperlink"/>
          </w:rPr>
          <w:t>IIOA newsletter, issue 29, February 2015</w:t>
        </w:r>
      </w:hyperlink>
      <w:r>
        <w:t>.</w:t>
      </w:r>
    </w:p>
    <w:p w:rsidR="00D961D3" w:rsidRDefault="00D961D3" w:rsidP="00D961D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B6B95"/>
    <w:multiLevelType w:val="hybridMultilevel"/>
    <w:tmpl w:val="EE9A49E4"/>
    <w:lvl w:ilvl="0" w:tplc="33EE94B2">
      <w:start w:val="1"/>
      <w:numFmt w:val="decimal"/>
      <w:pStyle w:val="Head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70A05F4"/>
    <w:multiLevelType w:val="hybridMultilevel"/>
    <w:tmpl w:val="37CA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3A0632"/>
    <w:multiLevelType w:val="hybridMultilevel"/>
    <w:tmpl w:val="B582D078"/>
    <w:lvl w:ilvl="0" w:tplc="4D949ADE">
      <w:start w:val="1"/>
      <w:numFmt w:val="lowerLetter"/>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2AC5FF6"/>
    <w:multiLevelType w:val="hybridMultilevel"/>
    <w:tmpl w:val="73E0F56A"/>
    <w:lvl w:ilvl="0" w:tplc="FE7A33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8F26B75"/>
    <w:multiLevelType w:val="hybridMultilevel"/>
    <w:tmpl w:val="56EAE880"/>
    <w:lvl w:ilvl="0" w:tplc="A5BA668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E3946C3"/>
    <w:multiLevelType w:val="hybridMultilevel"/>
    <w:tmpl w:val="E4CCE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0"/>
    <w:lvlOverride w:ilvl="0">
      <w:startOverride w:val="1"/>
    </w:lvlOverride>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C7F70"/>
    <w:rsid w:val="00004356"/>
    <w:rsid w:val="000070BC"/>
    <w:rsid w:val="000079A4"/>
    <w:rsid w:val="000079B9"/>
    <w:rsid w:val="000110DC"/>
    <w:rsid w:val="00012A50"/>
    <w:rsid w:val="00013163"/>
    <w:rsid w:val="00013771"/>
    <w:rsid w:val="00015096"/>
    <w:rsid w:val="000168F2"/>
    <w:rsid w:val="00020154"/>
    <w:rsid w:val="0002015A"/>
    <w:rsid w:val="00020E0F"/>
    <w:rsid w:val="00021B60"/>
    <w:rsid w:val="00022AA9"/>
    <w:rsid w:val="0002343A"/>
    <w:rsid w:val="00025B81"/>
    <w:rsid w:val="00026B10"/>
    <w:rsid w:val="00027832"/>
    <w:rsid w:val="00027C40"/>
    <w:rsid w:val="00027E3C"/>
    <w:rsid w:val="00031415"/>
    <w:rsid w:val="000316F8"/>
    <w:rsid w:val="000357CB"/>
    <w:rsid w:val="00035F38"/>
    <w:rsid w:val="00036D92"/>
    <w:rsid w:val="000378D0"/>
    <w:rsid w:val="00037FE7"/>
    <w:rsid w:val="0004076D"/>
    <w:rsid w:val="000412C8"/>
    <w:rsid w:val="00041EDE"/>
    <w:rsid w:val="0004371A"/>
    <w:rsid w:val="00043AE9"/>
    <w:rsid w:val="00044100"/>
    <w:rsid w:val="00045138"/>
    <w:rsid w:val="0004727B"/>
    <w:rsid w:val="0004730B"/>
    <w:rsid w:val="00047E2F"/>
    <w:rsid w:val="0005131E"/>
    <w:rsid w:val="00051FEB"/>
    <w:rsid w:val="00052655"/>
    <w:rsid w:val="00055F43"/>
    <w:rsid w:val="00056231"/>
    <w:rsid w:val="000565E4"/>
    <w:rsid w:val="0005667C"/>
    <w:rsid w:val="00056F59"/>
    <w:rsid w:val="00056F65"/>
    <w:rsid w:val="00060427"/>
    <w:rsid w:val="00060AE2"/>
    <w:rsid w:val="00062102"/>
    <w:rsid w:val="00062524"/>
    <w:rsid w:val="000658F8"/>
    <w:rsid w:val="00066741"/>
    <w:rsid w:val="00067A29"/>
    <w:rsid w:val="000725EB"/>
    <w:rsid w:val="00072F21"/>
    <w:rsid w:val="0007473F"/>
    <w:rsid w:val="00074BC2"/>
    <w:rsid w:val="000752BA"/>
    <w:rsid w:val="00081B4B"/>
    <w:rsid w:val="00083FD2"/>
    <w:rsid w:val="00083FF1"/>
    <w:rsid w:val="000841CE"/>
    <w:rsid w:val="00085351"/>
    <w:rsid w:val="000858E6"/>
    <w:rsid w:val="00090311"/>
    <w:rsid w:val="00092B74"/>
    <w:rsid w:val="00095C1F"/>
    <w:rsid w:val="000A12D7"/>
    <w:rsid w:val="000A21E4"/>
    <w:rsid w:val="000A4E6D"/>
    <w:rsid w:val="000A7EA3"/>
    <w:rsid w:val="000B152A"/>
    <w:rsid w:val="000B232B"/>
    <w:rsid w:val="000B4C57"/>
    <w:rsid w:val="000B5749"/>
    <w:rsid w:val="000B5EF6"/>
    <w:rsid w:val="000B6886"/>
    <w:rsid w:val="000B7181"/>
    <w:rsid w:val="000C014E"/>
    <w:rsid w:val="000C04B9"/>
    <w:rsid w:val="000C1319"/>
    <w:rsid w:val="000C1F26"/>
    <w:rsid w:val="000C32BB"/>
    <w:rsid w:val="000C4EDE"/>
    <w:rsid w:val="000C78F9"/>
    <w:rsid w:val="000C7F70"/>
    <w:rsid w:val="000D0373"/>
    <w:rsid w:val="000D1BA8"/>
    <w:rsid w:val="000D2B62"/>
    <w:rsid w:val="000D3BEF"/>
    <w:rsid w:val="000D445C"/>
    <w:rsid w:val="000D5676"/>
    <w:rsid w:val="000D5C67"/>
    <w:rsid w:val="000D604A"/>
    <w:rsid w:val="000D67AA"/>
    <w:rsid w:val="000D6A04"/>
    <w:rsid w:val="000D7060"/>
    <w:rsid w:val="000D78B9"/>
    <w:rsid w:val="000E03BE"/>
    <w:rsid w:val="000E1626"/>
    <w:rsid w:val="000E1E73"/>
    <w:rsid w:val="000E2389"/>
    <w:rsid w:val="000E2A4E"/>
    <w:rsid w:val="000E41B1"/>
    <w:rsid w:val="000E5713"/>
    <w:rsid w:val="000E6B6F"/>
    <w:rsid w:val="000F1173"/>
    <w:rsid w:val="000F36FD"/>
    <w:rsid w:val="000F43A0"/>
    <w:rsid w:val="000F4C5E"/>
    <w:rsid w:val="000F5E14"/>
    <w:rsid w:val="000F6AF3"/>
    <w:rsid w:val="000F7BE9"/>
    <w:rsid w:val="00102B34"/>
    <w:rsid w:val="00104197"/>
    <w:rsid w:val="00104AAC"/>
    <w:rsid w:val="00107AD8"/>
    <w:rsid w:val="0011112D"/>
    <w:rsid w:val="00111902"/>
    <w:rsid w:val="00111AF5"/>
    <w:rsid w:val="00112888"/>
    <w:rsid w:val="00113589"/>
    <w:rsid w:val="001140BA"/>
    <w:rsid w:val="001142F1"/>
    <w:rsid w:val="00114461"/>
    <w:rsid w:val="0011565D"/>
    <w:rsid w:val="00115F49"/>
    <w:rsid w:val="001212C6"/>
    <w:rsid w:val="00121F50"/>
    <w:rsid w:val="001234A1"/>
    <w:rsid w:val="0012659A"/>
    <w:rsid w:val="00126F9B"/>
    <w:rsid w:val="00127686"/>
    <w:rsid w:val="0013175D"/>
    <w:rsid w:val="00132E48"/>
    <w:rsid w:val="00134041"/>
    <w:rsid w:val="00134DB3"/>
    <w:rsid w:val="00134FD2"/>
    <w:rsid w:val="001350A6"/>
    <w:rsid w:val="00135C0E"/>
    <w:rsid w:val="0013603D"/>
    <w:rsid w:val="00136400"/>
    <w:rsid w:val="00141205"/>
    <w:rsid w:val="00142002"/>
    <w:rsid w:val="00143BBD"/>
    <w:rsid w:val="00145792"/>
    <w:rsid w:val="00146410"/>
    <w:rsid w:val="001469E6"/>
    <w:rsid w:val="00147077"/>
    <w:rsid w:val="00147C1C"/>
    <w:rsid w:val="001502AE"/>
    <w:rsid w:val="0015068A"/>
    <w:rsid w:val="001542E2"/>
    <w:rsid w:val="0015455B"/>
    <w:rsid w:val="0015485C"/>
    <w:rsid w:val="00154B95"/>
    <w:rsid w:val="00156447"/>
    <w:rsid w:val="0015708B"/>
    <w:rsid w:val="00157F82"/>
    <w:rsid w:val="00163A08"/>
    <w:rsid w:val="00165267"/>
    <w:rsid w:val="00166B8F"/>
    <w:rsid w:val="00166DFD"/>
    <w:rsid w:val="00167E36"/>
    <w:rsid w:val="00170CE8"/>
    <w:rsid w:val="001723FB"/>
    <w:rsid w:val="00180A7E"/>
    <w:rsid w:val="00181888"/>
    <w:rsid w:val="00182B4B"/>
    <w:rsid w:val="00184D87"/>
    <w:rsid w:val="001872B9"/>
    <w:rsid w:val="00191D54"/>
    <w:rsid w:val="00192385"/>
    <w:rsid w:val="00193633"/>
    <w:rsid w:val="00193860"/>
    <w:rsid w:val="00193D68"/>
    <w:rsid w:val="001963BF"/>
    <w:rsid w:val="001973A9"/>
    <w:rsid w:val="001A0198"/>
    <w:rsid w:val="001A0F9B"/>
    <w:rsid w:val="001A1158"/>
    <w:rsid w:val="001A1B0D"/>
    <w:rsid w:val="001A2647"/>
    <w:rsid w:val="001A37FC"/>
    <w:rsid w:val="001A3A3A"/>
    <w:rsid w:val="001A3B23"/>
    <w:rsid w:val="001A4C0F"/>
    <w:rsid w:val="001A6423"/>
    <w:rsid w:val="001A75E8"/>
    <w:rsid w:val="001B212F"/>
    <w:rsid w:val="001B3E15"/>
    <w:rsid w:val="001B4C1D"/>
    <w:rsid w:val="001B4F28"/>
    <w:rsid w:val="001B5D7C"/>
    <w:rsid w:val="001B64B8"/>
    <w:rsid w:val="001B7522"/>
    <w:rsid w:val="001C207A"/>
    <w:rsid w:val="001C2719"/>
    <w:rsid w:val="001C2848"/>
    <w:rsid w:val="001C3B3D"/>
    <w:rsid w:val="001C3FDA"/>
    <w:rsid w:val="001C4B29"/>
    <w:rsid w:val="001C593C"/>
    <w:rsid w:val="001C6F2E"/>
    <w:rsid w:val="001D0A71"/>
    <w:rsid w:val="001D14AB"/>
    <w:rsid w:val="001D251A"/>
    <w:rsid w:val="001D2E48"/>
    <w:rsid w:val="001D2EC1"/>
    <w:rsid w:val="001D3BD9"/>
    <w:rsid w:val="001D7020"/>
    <w:rsid w:val="001E19DF"/>
    <w:rsid w:val="001E29A5"/>
    <w:rsid w:val="001E2FB1"/>
    <w:rsid w:val="001E30BE"/>
    <w:rsid w:val="001E3A8B"/>
    <w:rsid w:val="001E4408"/>
    <w:rsid w:val="001E4BAA"/>
    <w:rsid w:val="001E736B"/>
    <w:rsid w:val="001E7455"/>
    <w:rsid w:val="001E7DA9"/>
    <w:rsid w:val="001F0E15"/>
    <w:rsid w:val="001F1A82"/>
    <w:rsid w:val="001F1E43"/>
    <w:rsid w:val="001F2B99"/>
    <w:rsid w:val="001F3F29"/>
    <w:rsid w:val="001F4668"/>
    <w:rsid w:val="001F479D"/>
    <w:rsid w:val="001F55B1"/>
    <w:rsid w:val="001F6986"/>
    <w:rsid w:val="001F6D26"/>
    <w:rsid w:val="00200060"/>
    <w:rsid w:val="00200694"/>
    <w:rsid w:val="00200943"/>
    <w:rsid w:val="00200E06"/>
    <w:rsid w:val="00201375"/>
    <w:rsid w:val="002014B3"/>
    <w:rsid w:val="00202C84"/>
    <w:rsid w:val="00204526"/>
    <w:rsid w:val="002065A3"/>
    <w:rsid w:val="00206A2B"/>
    <w:rsid w:val="00206ABB"/>
    <w:rsid w:val="002073FE"/>
    <w:rsid w:val="00215C0D"/>
    <w:rsid w:val="00215D0E"/>
    <w:rsid w:val="002200E9"/>
    <w:rsid w:val="00220375"/>
    <w:rsid w:val="00220F09"/>
    <w:rsid w:val="00222558"/>
    <w:rsid w:val="002228CF"/>
    <w:rsid w:val="00222D29"/>
    <w:rsid w:val="00222FF9"/>
    <w:rsid w:val="0022301A"/>
    <w:rsid w:val="002245C4"/>
    <w:rsid w:val="00226C19"/>
    <w:rsid w:val="00227F5A"/>
    <w:rsid w:val="00230610"/>
    <w:rsid w:val="002315A3"/>
    <w:rsid w:val="00234D44"/>
    <w:rsid w:val="00236AD3"/>
    <w:rsid w:val="00236CEB"/>
    <w:rsid w:val="00237158"/>
    <w:rsid w:val="002378CF"/>
    <w:rsid w:val="002407F9"/>
    <w:rsid w:val="00240CC2"/>
    <w:rsid w:val="00243E25"/>
    <w:rsid w:val="00245D75"/>
    <w:rsid w:val="00245DD3"/>
    <w:rsid w:val="002461E1"/>
    <w:rsid w:val="00246810"/>
    <w:rsid w:val="00246CEC"/>
    <w:rsid w:val="00246D85"/>
    <w:rsid w:val="0025008F"/>
    <w:rsid w:val="00250580"/>
    <w:rsid w:val="00252096"/>
    <w:rsid w:val="00253D8D"/>
    <w:rsid w:val="0025536F"/>
    <w:rsid w:val="0025694F"/>
    <w:rsid w:val="0025778B"/>
    <w:rsid w:val="00262751"/>
    <w:rsid w:val="002651E9"/>
    <w:rsid w:val="00265ABF"/>
    <w:rsid w:val="00270B6B"/>
    <w:rsid w:val="00271328"/>
    <w:rsid w:val="002722C3"/>
    <w:rsid w:val="00272D67"/>
    <w:rsid w:val="002739ED"/>
    <w:rsid w:val="0027442D"/>
    <w:rsid w:val="00275BE0"/>
    <w:rsid w:val="00276A40"/>
    <w:rsid w:val="00280659"/>
    <w:rsid w:val="002825BA"/>
    <w:rsid w:val="00282810"/>
    <w:rsid w:val="00283C64"/>
    <w:rsid w:val="00285AD3"/>
    <w:rsid w:val="00285ED0"/>
    <w:rsid w:val="00291645"/>
    <w:rsid w:val="00292B32"/>
    <w:rsid w:val="002931BF"/>
    <w:rsid w:val="00293809"/>
    <w:rsid w:val="002945A1"/>
    <w:rsid w:val="00294DE7"/>
    <w:rsid w:val="00294E64"/>
    <w:rsid w:val="00296B53"/>
    <w:rsid w:val="002A0B27"/>
    <w:rsid w:val="002A194D"/>
    <w:rsid w:val="002A3A27"/>
    <w:rsid w:val="002A69D7"/>
    <w:rsid w:val="002A6ED6"/>
    <w:rsid w:val="002A7069"/>
    <w:rsid w:val="002A75AC"/>
    <w:rsid w:val="002A7754"/>
    <w:rsid w:val="002B056C"/>
    <w:rsid w:val="002B072A"/>
    <w:rsid w:val="002B2149"/>
    <w:rsid w:val="002B2887"/>
    <w:rsid w:val="002B3536"/>
    <w:rsid w:val="002B3816"/>
    <w:rsid w:val="002B3DA4"/>
    <w:rsid w:val="002C0BD1"/>
    <w:rsid w:val="002C0C15"/>
    <w:rsid w:val="002C1EC9"/>
    <w:rsid w:val="002C30F1"/>
    <w:rsid w:val="002C3D6C"/>
    <w:rsid w:val="002C4CE5"/>
    <w:rsid w:val="002C6703"/>
    <w:rsid w:val="002C72EC"/>
    <w:rsid w:val="002C7DCE"/>
    <w:rsid w:val="002D0548"/>
    <w:rsid w:val="002D1D56"/>
    <w:rsid w:val="002D20CA"/>
    <w:rsid w:val="002D30B0"/>
    <w:rsid w:val="002D4133"/>
    <w:rsid w:val="002D5777"/>
    <w:rsid w:val="002E04BA"/>
    <w:rsid w:val="002E1634"/>
    <w:rsid w:val="002E335A"/>
    <w:rsid w:val="002E44B9"/>
    <w:rsid w:val="002E4C3B"/>
    <w:rsid w:val="002E58BF"/>
    <w:rsid w:val="002F0310"/>
    <w:rsid w:val="002F258C"/>
    <w:rsid w:val="002F3646"/>
    <w:rsid w:val="002F5C5E"/>
    <w:rsid w:val="002F6441"/>
    <w:rsid w:val="002F6570"/>
    <w:rsid w:val="002F6A3D"/>
    <w:rsid w:val="002F7623"/>
    <w:rsid w:val="002F7C3B"/>
    <w:rsid w:val="0030045E"/>
    <w:rsid w:val="003018E4"/>
    <w:rsid w:val="00302A2D"/>
    <w:rsid w:val="00303DB1"/>
    <w:rsid w:val="00305375"/>
    <w:rsid w:val="00311D5D"/>
    <w:rsid w:val="00312F85"/>
    <w:rsid w:val="0031446A"/>
    <w:rsid w:val="00315A5A"/>
    <w:rsid w:val="00315F2C"/>
    <w:rsid w:val="00321485"/>
    <w:rsid w:val="00323972"/>
    <w:rsid w:val="00324AEE"/>
    <w:rsid w:val="0033091E"/>
    <w:rsid w:val="00332ADA"/>
    <w:rsid w:val="00332C56"/>
    <w:rsid w:val="00333B1C"/>
    <w:rsid w:val="003345B1"/>
    <w:rsid w:val="0033512F"/>
    <w:rsid w:val="00335521"/>
    <w:rsid w:val="00335D7C"/>
    <w:rsid w:val="00337BA4"/>
    <w:rsid w:val="00340269"/>
    <w:rsid w:val="00342769"/>
    <w:rsid w:val="003438C0"/>
    <w:rsid w:val="00343CB4"/>
    <w:rsid w:val="0034444C"/>
    <w:rsid w:val="0034553F"/>
    <w:rsid w:val="00345D20"/>
    <w:rsid w:val="00345F8C"/>
    <w:rsid w:val="00346C40"/>
    <w:rsid w:val="00347242"/>
    <w:rsid w:val="00350061"/>
    <w:rsid w:val="00350DA1"/>
    <w:rsid w:val="003531AD"/>
    <w:rsid w:val="003533E8"/>
    <w:rsid w:val="00353B04"/>
    <w:rsid w:val="00357BC5"/>
    <w:rsid w:val="00357E27"/>
    <w:rsid w:val="00363B0E"/>
    <w:rsid w:val="00364585"/>
    <w:rsid w:val="00365233"/>
    <w:rsid w:val="00367A61"/>
    <w:rsid w:val="00367D4B"/>
    <w:rsid w:val="00367FE5"/>
    <w:rsid w:val="0037095C"/>
    <w:rsid w:val="00370EB7"/>
    <w:rsid w:val="00371386"/>
    <w:rsid w:val="00371AC6"/>
    <w:rsid w:val="003745D5"/>
    <w:rsid w:val="0038134F"/>
    <w:rsid w:val="003849CE"/>
    <w:rsid w:val="00385C5A"/>
    <w:rsid w:val="00386E79"/>
    <w:rsid w:val="00387354"/>
    <w:rsid w:val="0039435E"/>
    <w:rsid w:val="003947E9"/>
    <w:rsid w:val="00395127"/>
    <w:rsid w:val="003A0052"/>
    <w:rsid w:val="003A00E3"/>
    <w:rsid w:val="003A0730"/>
    <w:rsid w:val="003A161B"/>
    <w:rsid w:val="003A179C"/>
    <w:rsid w:val="003A21B6"/>
    <w:rsid w:val="003A5212"/>
    <w:rsid w:val="003A55BE"/>
    <w:rsid w:val="003A586A"/>
    <w:rsid w:val="003A6384"/>
    <w:rsid w:val="003A75E4"/>
    <w:rsid w:val="003B1091"/>
    <w:rsid w:val="003B2013"/>
    <w:rsid w:val="003B2242"/>
    <w:rsid w:val="003B2339"/>
    <w:rsid w:val="003B3E47"/>
    <w:rsid w:val="003B4248"/>
    <w:rsid w:val="003B6A5F"/>
    <w:rsid w:val="003B7511"/>
    <w:rsid w:val="003B77A7"/>
    <w:rsid w:val="003B7CBE"/>
    <w:rsid w:val="003C1BD3"/>
    <w:rsid w:val="003C46B2"/>
    <w:rsid w:val="003C47B5"/>
    <w:rsid w:val="003C6DB0"/>
    <w:rsid w:val="003C7506"/>
    <w:rsid w:val="003D0C4A"/>
    <w:rsid w:val="003D120F"/>
    <w:rsid w:val="003D1E8F"/>
    <w:rsid w:val="003D2F75"/>
    <w:rsid w:val="003D321D"/>
    <w:rsid w:val="003D6024"/>
    <w:rsid w:val="003D61ED"/>
    <w:rsid w:val="003E05B3"/>
    <w:rsid w:val="003E301A"/>
    <w:rsid w:val="003E3463"/>
    <w:rsid w:val="003E50BB"/>
    <w:rsid w:val="003E51FD"/>
    <w:rsid w:val="003E7668"/>
    <w:rsid w:val="003E7852"/>
    <w:rsid w:val="003F2675"/>
    <w:rsid w:val="003F3DC0"/>
    <w:rsid w:val="003F4537"/>
    <w:rsid w:val="003F5FF4"/>
    <w:rsid w:val="003F748F"/>
    <w:rsid w:val="004006E8"/>
    <w:rsid w:val="0040154B"/>
    <w:rsid w:val="004019F6"/>
    <w:rsid w:val="00402437"/>
    <w:rsid w:val="00402B7A"/>
    <w:rsid w:val="00404306"/>
    <w:rsid w:val="00405EDC"/>
    <w:rsid w:val="00406E37"/>
    <w:rsid w:val="00410832"/>
    <w:rsid w:val="004116C6"/>
    <w:rsid w:val="004118B6"/>
    <w:rsid w:val="00412840"/>
    <w:rsid w:val="00412EED"/>
    <w:rsid w:val="0041304E"/>
    <w:rsid w:val="00413965"/>
    <w:rsid w:val="00413ACC"/>
    <w:rsid w:val="00414007"/>
    <w:rsid w:val="004154E2"/>
    <w:rsid w:val="00415886"/>
    <w:rsid w:val="0042582B"/>
    <w:rsid w:val="00427995"/>
    <w:rsid w:val="00434D07"/>
    <w:rsid w:val="00436DD2"/>
    <w:rsid w:val="00436E8A"/>
    <w:rsid w:val="00437850"/>
    <w:rsid w:val="0044024A"/>
    <w:rsid w:val="004404EC"/>
    <w:rsid w:val="00441CB4"/>
    <w:rsid w:val="00442BF9"/>
    <w:rsid w:val="004434F6"/>
    <w:rsid w:val="00445FD3"/>
    <w:rsid w:val="00446872"/>
    <w:rsid w:val="00447A19"/>
    <w:rsid w:val="00450B0A"/>
    <w:rsid w:val="00450E22"/>
    <w:rsid w:val="00451695"/>
    <w:rsid w:val="004526F0"/>
    <w:rsid w:val="004527D8"/>
    <w:rsid w:val="004533C1"/>
    <w:rsid w:val="00454097"/>
    <w:rsid w:val="00454401"/>
    <w:rsid w:val="00456041"/>
    <w:rsid w:val="00456520"/>
    <w:rsid w:val="00460E78"/>
    <w:rsid w:val="00460FB4"/>
    <w:rsid w:val="00462B53"/>
    <w:rsid w:val="0046315C"/>
    <w:rsid w:val="00463615"/>
    <w:rsid w:val="00463FDB"/>
    <w:rsid w:val="004654EC"/>
    <w:rsid w:val="0047105A"/>
    <w:rsid w:val="00471DC9"/>
    <w:rsid w:val="00472A68"/>
    <w:rsid w:val="00472CE9"/>
    <w:rsid w:val="00474ACE"/>
    <w:rsid w:val="00475114"/>
    <w:rsid w:val="004766F6"/>
    <w:rsid w:val="0047761F"/>
    <w:rsid w:val="00477F92"/>
    <w:rsid w:val="00480E52"/>
    <w:rsid w:val="00492472"/>
    <w:rsid w:val="00493327"/>
    <w:rsid w:val="00493A58"/>
    <w:rsid w:val="00493FAB"/>
    <w:rsid w:val="00494B31"/>
    <w:rsid w:val="00494C4D"/>
    <w:rsid w:val="00496190"/>
    <w:rsid w:val="00496B00"/>
    <w:rsid w:val="0049724E"/>
    <w:rsid w:val="0049754D"/>
    <w:rsid w:val="004A0F6C"/>
    <w:rsid w:val="004A33A0"/>
    <w:rsid w:val="004A4E86"/>
    <w:rsid w:val="004A672B"/>
    <w:rsid w:val="004A7851"/>
    <w:rsid w:val="004A7F2D"/>
    <w:rsid w:val="004B0B78"/>
    <w:rsid w:val="004B16A9"/>
    <w:rsid w:val="004B1FA3"/>
    <w:rsid w:val="004B20AC"/>
    <w:rsid w:val="004B246A"/>
    <w:rsid w:val="004B31E4"/>
    <w:rsid w:val="004B379F"/>
    <w:rsid w:val="004B3DC2"/>
    <w:rsid w:val="004B795F"/>
    <w:rsid w:val="004C0073"/>
    <w:rsid w:val="004C07E6"/>
    <w:rsid w:val="004C0BE7"/>
    <w:rsid w:val="004C1F7C"/>
    <w:rsid w:val="004C2491"/>
    <w:rsid w:val="004C25D3"/>
    <w:rsid w:val="004C26AD"/>
    <w:rsid w:val="004C5E87"/>
    <w:rsid w:val="004C7CF0"/>
    <w:rsid w:val="004D1A40"/>
    <w:rsid w:val="004D2722"/>
    <w:rsid w:val="004D2D92"/>
    <w:rsid w:val="004D309D"/>
    <w:rsid w:val="004D4F83"/>
    <w:rsid w:val="004D4FCA"/>
    <w:rsid w:val="004D67C1"/>
    <w:rsid w:val="004E06E0"/>
    <w:rsid w:val="004E0787"/>
    <w:rsid w:val="004E17C4"/>
    <w:rsid w:val="004E1FBB"/>
    <w:rsid w:val="004E3B4A"/>
    <w:rsid w:val="004E4D80"/>
    <w:rsid w:val="004E5076"/>
    <w:rsid w:val="004E7074"/>
    <w:rsid w:val="004E716D"/>
    <w:rsid w:val="004E7607"/>
    <w:rsid w:val="004F00E4"/>
    <w:rsid w:val="004F06BC"/>
    <w:rsid w:val="004F0B99"/>
    <w:rsid w:val="004F2357"/>
    <w:rsid w:val="004F56A6"/>
    <w:rsid w:val="00500589"/>
    <w:rsid w:val="005008CF"/>
    <w:rsid w:val="005008FD"/>
    <w:rsid w:val="005011C4"/>
    <w:rsid w:val="005043A2"/>
    <w:rsid w:val="00505663"/>
    <w:rsid w:val="00505F05"/>
    <w:rsid w:val="00506442"/>
    <w:rsid w:val="00510D70"/>
    <w:rsid w:val="00512B71"/>
    <w:rsid w:val="00512FAD"/>
    <w:rsid w:val="00513F81"/>
    <w:rsid w:val="005177B8"/>
    <w:rsid w:val="00517A1C"/>
    <w:rsid w:val="00520013"/>
    <w:rsid w:val="0052127D"/>
    <w:rsid w:val="005226F0"/>
    <w:rsid w:val="005229E4"/>
    <w:rsid w:val="00523873"/>
    <w:rsid w:val="00524BB5"/>
    <w:rsid w:val="00526B04"/>
    <w:rsid w:val="00527FB1"/>
    <w:rsid w:val="0053173E"/>
    <w:rsid w:val="00533EBC"/>
    <w:rsid w:val="00534166"/>
    <w:rsid w:val="00534E08"/>
    <w:rsid w:val="005358F5"/>
    <w:rsid w:val="00535C4B"/>
    <w:rsid w:val="00536B42"/>
    <w:rsid w:val="00540BB2"/>
    <w:rsid w:val="00542CD9"/>
    <w:rsid w:val="00544C3E"/>
    <w:rsid w:val="005455DF"/>
    <w:rsid w:val="00547288"/>
    <w:rsid w:val="00550BFE"/>
    <w:rsid w:val="00554012"/>
    <w:rsid w:val="0055482A"/>
    <w:rsid w:val="005553E4"/>
    <w:rsid w:val="00555A53"/>
    <w:rsid w:val="005569A6"/>
    <w:rsid w:val="00557DAF"/>
    <w:rsid w:val="005605FF"/>
    <w:rsid w:val="005618A3"/>
    <w:rsid w:val="00561B10"/>
    <w:rsid w:val="0056399E"/>
    <w:rsid w:val="00564382"/>
    <w:rsid w:val="00564938"/>
    <w:rsid w:val="00565D2A"/>
    <w:rsid w:val="00565D64"/>
    <w:rsid w:val="0056715D"/>
    <w:rsid w:val="00570130"/>
    <w:rsid w:val="00572371"/>
    <w:rsid w:val="00574689"/>
    <w:rsid w:val="00574ACD"/>
    <w:rsid w:val="00574C9F"/>
    <w:rsid w:val="005753D1"/>
    <w:rsid w:val="005760B7"/>
    <w:rsid w:val="00576774"/>
    <w:rsid w:val="00576AD3"/>
    <w:rsid w:val="00577644"/>
    <w:rsid w:val="005803D7"/>
    <w:rsid w:val="00583D5C"/>
    <w:rsid w:val="00584202"/>
    <w:rsid w:val="00585745"/>
    <w:rsid w:val="005858B9"/>
    <w:rsid w:val="005866D9"/>
    <w:rsid w:val="00586D7A"/>
    <w:rsid w:val="00587F1E"/>
    <w:rsid w:val="00590B15"/>
    <w:rsid w:val="00592008"/>
    <w:rsid w:val="00592A5E"/>
    <w:rsid w:val="00595C25"/>
    <w:rsid w:val="00596998"/>
    <w:rsid w:val="00596FC6"/>
    <w:rsid w:val="00596FC9"/>
    <w:rsid w:val="005A19B0"/>
    <w:rsid w:val="005A44A1"/>
    <w:rsid w:val="005A5639"/>
    <w:rsid w:val="005B121C"/>
    <w:rsid w:val="005B20CD"/>
    <w:rsid w:val="005B4007"/>
    <w:rsid w:val="005B68E0"/>
    <w:rsid w:val="005B69C5"/>
    <w:rsid w:val="005C13F8"/>
    <w:rsid w:val="005C3B0C"/>
    <w:rsid w:val="005C6323"/>
    <w:rsid w:val="005C6ABA"/>
    <w:rsid w:val="005D04B6"/>
    <w:rsid w:val="005D092B"/>
    <w:rsid w:val="005D2D0B"/>
    <w:rsid w:val="005D3469"/>
    <w:rsid w:val="005D4FFA"/>
    <w:rsid w:val="005D6ED2"/>
    <w:rsid w:val="005D7B53"/>
    <w:rsid w:val="005E147A"/>
    <w:rsid w:val="005E1C94"/>
    <w:rsid w:val="005E2C25"/>
    <w:rsid w:val="005E7733"/>
    <w:rsid w:val="005F0546"/>
    <w:rsid w:val="005F0E2C"/>
    <w:rsid w:val="005F0FC2"/>
    <w:rsid w:val="005F2025"/>
    <w:rsid w:val="005F6E30"/>
    <w:rsid w:val="005F7FFE"/>
    <w:rsid w:val="0060078B"/>
    <w:rsid w:val="00600C34"/>
    <w:rsid w:val="00601047"/>
    <w:rsid w:val="006037C5"/>
    <w:rsid w:val="00607302"/>
    <w:rsid w:val="006077AE"/>
    <w:rsid w:val="006101CB"/>
    <w:rsid w:val="006117D8"/>
    <w:rsid w:val="00611D93"/>
    <w:rsid w:val="0061238C"/>
    <w:rsid w:val="00613991"/>
    <w:rsid w:val="00613B9D"/>
    <w:rsid w:val="006149F6"/>
    <w:rsid w:val="006153A2"/>
    <w:rsid w:val="0061610B"/>
    <w:rsid w:val="006161F1"/>
    <w:rsid w:val="0062291E"/>
    <w:rsid w:val="0062379B"/>
    <w:rsid w:val="0062418E"/>
    <w:rsid w:val="006248B8"/>
    <w:rsid w:val="00625B1A"/>
    <w:rsid w:val="00625DC6"/>
    <w:rsid w:val="00626A21"/>
    <w:rsid w:val="0062787B"/>
    <w:rsid w:val="00627898"/>
    <w:rsid w:val="00631299"/>
    <w:rsid w:val="0063239A"/>
    <w:rsid w:val="00633905"/>
    <w:rsid w:val="006352F2"/>
    <w:rsid w:val="00636752"/>
    <w:rsid w:val="00641DDF"/>
    <w:rsid w:val="00644688"/>
    <w:rsid w:val="00646FC0"/>
    <w:rsid w:val="00650C94"/>
    <w:rsid w:val="0065112F"/>
    <w:rsid w:val="006514B2"/>
    <w:rsid w:val="006519FB"/>
    <w:rsid w:val="00652BF6"/>
    <w:rsid w:val="00652CC2"/>
    <w:rsid w:val="00654610"/>
    <w:rsid w:val="00654E81"/>
    <w:rsid w:val="006550D3"/>
    <w:rsid w:val="00656075"/>
    <w:rsid w:val="00656454"/>
    <w:rsid w:val="00656815"/>
    <w:rsid w:val="00657DBA"/>
    <w:rsid w:val="00657F5B"/>
    <w:rsid w:val="006626BD"/>
    <w:rsid w:val="00662EBF"/>
    <w:rsid w:val="00664313"/>
    <w:rsid w:val="006648A5"/>
    <w:rsid w:val="00664B68"/>
    <w:rsid w:val="00666491"/>
    <w:rsid w:val="006671C7"/>
    <w:rsid w:val="00673415"/>
    <w:rsid w:val="00673D03"/>
    <w:rsid w:val="00674426"/>
    <w:rsid w:val="00675FE6"/>
    <w:rsid w:val="00677872"/>
    <w:rsid w:val="00677F28"/>
    <w:rsid w:val="00677F5C"/>
    <w:rsid w:val="006815A1"/>
    <w:rsid w:val="00681FCF"/>
    <w:rsid w:val="006827DA"/>
    <w:rsid w:val="00683A6C"/>
    <w:rsid w:val="00685686"/>
    <w:rsid w:val="006879FC"/>
    <w:rsid w:val="0069230F"/>
    <w:rsid w:val="00695528"/>
    <w:rsid w:val="0069558E"/>
    <w:rsid w:val="006955B8"/>
    <w:rsid w:val="006A022F"/>
    <w:rsid w:val="006A196B"/>
    <w:rsid w:val="006A1A65"/>
    <w:rsid w:val="006A47F4"/>
    <w:rsid w:val="006A78C7"/>
    <w:rsid w:val="006A7A25"/>
    <w:rsid w:val="006B0904"/>
    <w:rsid w:val="006B116C"/>
    <w:rsid w:val="006B29F0"/>
    <w:rsid w:val="006B37F5"/>
    <w:rsid w:val="006B41EA"/>
    <w:rsid w:val="006B58C1"/>
    <w:rsid w:val="006B5D70"/>
    <w:rsid w:val="006B6D55"/>
    <w:rsid w:val="006B7198"/>
    <w:rsid w:val="006C0469"/>
    <w:rsid w:val="006C5074"/>
    <w:rsid w:val="006C5398"/>
    <w:rsid w:val="006C54A5"/>
    <w:rsid w:val="006C5A38"/>
    <w:rsid w:val="006C6273"/>
    <w:rsid w:val="006D0AEC"/>
    <w:rsid w:val="006D0DE9"/>
    <w:rsid w:val="006D2156"/>
    <w:rsid w:val="006D2E3A"/>
    <w:rsid w:val="006D2EF3"/>
    <w:rsid w:val="006D2FB8"/>
    <w:rsid w:val="006D3D6C"/>
    <w:rsid w:val="006D4B23"/>
    <w:rsid w:val="006D56CF"/>
    <w:rsid w:val="006D5C95"/>
    <w:rsid w:val="006D7736"/>
    <w:rsid w:val="006D7C6A"/>
    <w:rsid w:val="006E0202"/>
    <w:rsid w:val="006E0FF2"/>
    <w:rsid w:val="006E12C0"/>
    <w:rsid w:val="006E3CA0"/>
    <w:rsid w:val="006E61A2"/>
    <w:rsid w:val="006E66BD"/>
    <w:rsid w:val="006E6820"/>
    <w:rsid w:val="006F04F9"/>
    <w:rsid w:val="006F217B"/>
    <w:rsid w:val="006F28C7"/>
    <w:rsid w:val="006F2A67"/>
    <w:rsid w:val="006F5268"/>
    <w:rsid w:val="006F6FD3"/>
    <w:rsid w:val="00700E8B"/>
    <w:rsid w:val="00702731"/>
    <w:rsid w:val="0070300D"/>
    <w:rsid w:val="00704095"/>
    <w:rsid w:val="007041B7"/>
    <w:rsid w:val="0070642A"/>
    <w:rsid w:val="00706A91"/>
    <w:rsid w:val="00712A75"/>
    <w:rsid w:val="00712EF1"/>
    <w:rsid w:val="0071523B"/>
    <w:rsid w:val="00715495"/>
    <w:rsid w:val="007159FA"/>
    <w:rsid w:val="00716E70"/>
    <w:rsid w:val="0071723C"/>
    <w:rsid w:val="007206FC"/>
    <w:rsid w:val="007222C2"/>
    <w:rsid w:val="00722529"/>
    <w:rsid w:val="00722729"/>
    <w:rsid w:val="007228EF"/>
    <w:rsid w:val="00722B77"/>
    <w:rsid w:val="00723F02"/>
    <w:rsid w:val="00726AA5"/>
    <w:rsid w:val="00727AF0"/>
    <w:rsid w:val="00727EF1"/>
    <w:rsid w:val="00732D64"/>
    <w:rsid w:val="00733878"/>
    <w:rsid w:val="007354BF"/>
    <w:rsid w:val="007362F8"/>
    <w:rsid w:val="00737462"/>
    <w:rsid w:val="00740807"/>
    <w:rsid w:val="00743E76"/>
    <w:rsid w:val="007450A7"/>
    <w:rsid w:val="00745D1E"/>
    <w:rsid w:val="00745F8E"/>
    <w:rsid w:val="0074610D"/>
    <w:rsid w:val="007462B6"/>
    <w:rsid w:val="007470BD"/>
    <w:rsid w:val="00753D50"/>
    <w:rsid w:val="00753EAC"/>
    <w:rsid w:val="0075518A"/>
    <w:rsid w:val="00757633"/>
    <w:rsid w:val="007607FC"/>
    <w:rsid w:val="00761D50"/>
    <w:rsid w:val="00762C82"/>
    <w:rsid w:val="007632EB"/>
    <w:rsid w:val="00763A00"/>
    <w:rsid w:val="00764037"/>
    <w:rsid w:val="00765438"/>
    <w:rsid w:val="00765A12"/>
    <w:rsid w:val="00767C2F"/>
    <w:rsid w:val="00771AD3"/>
    <w:rsid w:val="00772BF3"/>
    <w:rsid w:val="00772C9E"/>
    <w:rsid w:val="007734D8"/>
    <w:rsid w:val="00773BA4"/>
    <w:rsid w:val="00773D83"/>
    <w:rsid w:val="00774C71"/>
    <w:rsid w:val="0077553F"/>
    <w:rsid w:val="00775FB6"/>
    <w:rsid w:val="0077692E"/>
    <w:rsid w:val="00776CEC"/>
    <w:rsid w:val="00780921"/>
    <w:rsid w:val="00783672"/>
    <w:rsid w:val="00784F88"/>
    <w:rsid w:val="00785CEE"/>
    <w:rsid w:val="00786013"/>
    <w:rsid w:val="00787B2E"/>
    <w:rsid w:val="00790C04"/>
    <w:rsid w:val="00793B91"/>
    <w:rsid w:val="00795B8A"/>
    <w:rsid w:val="007965AC"/>
    <w:rsid w:val="007A22D1"/>
    <w:rsid w:val="007A3780"/>
    <w:rsid w:val="007A46E4"/>
    <w:rsid w:val="007A49A2"/>
    <w:rsid w:val="007A59D7"/>
    <w:rsid w:val="007A6FB8"/>
    <w:rsid w:val="007B0A95"/>
    <w:rsid w:val="007B4000"/>
    <w:rsid w:val="007B5D57"/>
    <w:rsid w:val="007B73AD"/>
    <w:rsid w:val="007C2F7F"/>
    <w:rsid w:val="007C499F"/>
    <w:rsid w:val="007C6027"/>
    <w:rsid w:val="007C76F1"/>
    <w:rsid w:val="007D031A"/>
    <w:rsid w:val="007D0D97"/>
    <w:rsid w:val="007D3BEA"/>
    <w:rsid w:val="007D4E06"/>
    <w:rsid w:val="007D6BD5"/>
    <w:rsid w:val="007E068B"/>
    <w:rsid w:val="007E0EC0"/>
    <w:rsid w:val="007E1195"/>
    <w:rsid w:val="007E14C0"/>
    <w:rsid w:val="007E176F"/>
    <w:rsid w:val="007E194E"/>
    <w:rsid w:val="007E1B16"/>
    <w:rsid w:val="007E462E"/>
    <w:rsid w:val="007E5B35"/>
    <w:rsid w:val="007E64BE"/>
    <w:rsid w:val="007E6AD2"/>
    <w:rsid w:val="007E7F24"/>
    <w:rsid w:val="007F02E3"/>
    <w:rsid w:val="007F11E1"/>
    <w:rsid w:val="007F131F"/>
    <w:rsid w:val="007F29AC"/>
    <w:rsid w:val="007F34D6"/>
    <w:rsid w:val="007F371A"/>
    <w:rsid w:val="007F4D01"/>
    <w:rsid w:val="007F7F8A"/>
    <w:rsid w:val="00800925"/>
    <w:rsid w:val="008010C8"/>
    <w:rsid w:val="008031A5"/>
    <w:rsid w:val="008032D1"/>
    <w:rsid w:val="008040EA"/>
    <w:rsid w:val="0080479B"/>
    <w:rsid w:val="00804BEA"/>
    <w:rsid w:val="008055D7"/>
    <w:rsid w:val="008115C4"/>
    <w:rsid w:val="00811BC5"/>
    <w:rsid w:val="00811D70"/>
    <w:rsid w:val="00812448"/>
    <w:rsid w:val="008145E6"/>
    <w:rsid w:val="00814E20"/>
    <w:rsid w:val="0081528F"/>
    <w:rsid w:val="0081605F"/>
    <w:rsid w:val="00816C66"/>
    <w:rsid w:val="00816E85"/>
    <w:rsid w:val="00816F96"/>
    <w:rsid w:val="008210A3"/>
    <w:rsid w:val="00821632"/>
    <w:rsid w:val="008223CD"/>
    <w:rsid w:val="008223D0"/>
    <w:rsid w:val="0082306D"/>
    <w:rsid w:val="00823CAF"/>
    <w:rsid w:val="00824B12"/>
    <w:rsid w:val="00826E00"/>
    <w:rsid w:val="00827407"/>
    <w:rsid w:val="00827BB4"/>
    <w:rsid w:val="0083056E"/>
    <w:rsid w:val="00831E12"/>
    <w:rsid w:val="00833A7F"/>
    <w:rsid w:val="00835432"/>
    <w:rsid w:val="00836F43"/>
    <w:rsid w:val="008378EB"/>
    <w:rsid w:val="008405BD"/>
    <w:rsid w:val="00841049"/>
    <w:rsid w:val="008429D0"/>
    <w:rsid w:val="008448F0"/>
    <w:rsid w:val="008458F6"/>
    <w:rsid w:val="00846DCC"/>
    <w:rsid w:val="00847300"/>
    <w:rsid w:val="00850DD7"/>
    <w:rsid w:val="008514B4"/>
    <w:rsid w:val="00851BFE"/>
    <w:rsid w:val="00852134"/>
    <w:rsid w:val="008545A2"/>
    <w:rsid w:val="008563F1"/>
    <w:rsid w:val="00857F61"/>
    <w:rsid w:val="00862F89"/>
    <w:rsid w:val="00864406"/>
    <w:rsid w:val="0086750B"/>
    <w:rsid w:val="008677F1"/>
    <w:rsid w:val="00873EB2"/>
    <w:rsid w:val="008755D2"/>
    <w:rsid w:val="00876B51"/>
    <w:rsid w:val="00876EC8"/>
    <w:rsid w:val="008827A1"/>
    <w:rsid w:val="008832CF"/>
    <w:rsid w:val="008863A4"/>
    <w:rsid w:val="00886668"/>
    <w:rsid w:val="008867E3"/>
    <w:rsid w:val="00886824"/>
    <w:rsid w:val="00887D39"/>
    <w:rsid w:val="00893524"/>
    <w:rsid w:val="00894C55"/>
    <w:rsid w:val="0089789C"/>
    <w:rsid w:val="00897BD5"/>
    <w:rsid w:val="008A2250"/>
    <w:rsid w:val="008A2878"/>
    <w:rsid w:val="008A674C"/>
    <w:rsid w:val="008A6D76"/>
    <w:rsid w:val="008B27F5"/>
    <w:rsid w:val="008B2D1A"/>
    <w:rsid w:val="008B512C"/>
    <w:rsid w:val="008B54B4"/>
    <w:rsid w:val="008B5ED3"/>
    <w:rsid w:val="008B6354"/>
    <w:rsid w:val="008C173F"/>
    <w:rsid w:val="008C2575"/>
    <w:rsid w:val="008C2EA1"/>
    <w:rsid w:val="008C5741"/>
    <w:rsid w:val="008C65BE"/>
    <w:rsid w:val="008C6674"/>
    <w:rsid w:val="008C6AF9"/>
    <w:rsid w:val="008C75A8"/>
    <w:rsid w:val="008C7F3D"/>
    <w:rsid w:val="008D05D3"/>
    <w:rsid w:val="008D09C4"/>
    <w:rsid w:val="008D121E"/>
    <w:rsid w:val="008D17BD"/>
    <w:rsid w:val="008D2E37"/>
    <w:rsid w:val="008E10DC"/>
    <w:rsid w:val="008E2099"/>
    <w:rsid w:val="008E2ED3"/>
    <w:rsid w:val="008E3317"/>
    <w:rsid w:val="008E4B18"/>
    <w:rsid w:val="008E4BFE"/>
    <w:rsid w:val="008E53E4"/>
    <w:rsid w:val="008E700F"/>
    <w:rsid w:val="008E7CFD"/>
    <w:rsid w:val="008E7D91"/>
    <w:rsid w:val="008E7F91"/>
    <w:rsid w:val="008F278D"/>
    <w:rsid w:val="008F3A0A"/>
    <w:rsid w:val="008F3FC1"/>
    <w:rsid w:val="008F5F48"/>
    <w:rsid w:val="008F717A"/>
    <w:rsid w:val="008F77A2"/>
    <w:rsid w:val="00900567"/>
    <w:rsid w:val="009070FD"/>
    <w:rsid w:val="00910AD1"/>
    <w:rsid w:val="009112E3"/>
    <w:rsid w:val="00914101"/>
    <w:rsid w:val="0091443C"/>
    <w:rsid w:val="00916B77"/>
    <w:rsid w:val="009203FA"/>
    <w:rsid w:val="009210CB"/>
    <w:rsid w:val="0092334E"/>
    <w:rsid w:val="009233C0"/>
    <w:rsid w:val="00923881"/>
    <w:rsid w:val="00924331"/>
    <w:rsid w:val="00924767"/>
    <w:rsid w:val="00925123"/>
    <w:rsid w:val="00926674"/>
    <w:rsid w:val="009274C8"/>
    <w:rsid w:val="00931CCE"/>
    <w:rsid w:val="0093247A"/>
    <w:rsid w:val="009327FC"/>
    <w:rsid w:val="0093349B"/>
    <w:rsid w:val="00934A54"/>
    <w:rsid w:val="00934BB5"/>
    <w:rsid w:val="009362AF"/>
    <w:rsid w:val="009365F1"/>
    <w:rsid w:val="00940441"/>
    <w:rsid w:val="00941F61"/>
    <w:rsid w:val="00941FAD"/>
    <w:rsid w:val="009452BB"/>
    <w:rsid w:val="00946878"/>
    <w:rsid w:val="009501C1"/>
    <w:rsid w:val="00950A49"/>
    <w:rsid w:val="00953FDF"/>
    <w:rsid w:val="00954DA5"/>
    <w:rsid w:val="009565DB"/>
    <w:rsid w:val="00960B22"/>
    <w:rsid w:val="00961CFE"/>
    <w:rsid w:val="00962F91"/>
    <w:rsid w:val="00965A1F"/>
    <w:rsid w:val="00970645"/>
    <w:rsid w:val="00972522"/>
    <w:rsid w:val="009733B4"/>
    <w:rsid w:val="00974707"/>
    <w:rsid w:val="00974D81"/>
    <w:rsid w:val="00976F07"/>
    <w:rsid w:val="00977727"/>
    <w:rsid w:val="00980193"/>
    <w:rsid w:val="00980197"/>
    <w:rsid w:val="00985977"/>
    <w:rsid w:val="00985C9C"/>
    <w:rsid w:val="00986A9E"/>
    <w:rsid w:val="009875FD"/>
    <w:rsid w:val="00991538"/>
    <w:rsid w:val="00994CCD"/>
    <w:rsid w:val="009950E6"/>
    <w:rsid w:val="009958C1"/>
    <w:rsid w:val="00996448"/>
    <w:rsid w:val="00996812"/>
    <w:rsid w:val="00997A46"/>
    <w:rsid w:val="009A145B"/>
    <w:rsid w:val="009A1878"/>
    <w:rsid w:val="009A1961"/>
    <w:rsid w:val="009A7127"/>
    <w:rsid w:val="009B033A"/>
    <w:rsid w:val="009B15AF"/>
    <w:rsid w:val="009B3876"/>
    <w:rsid w:val="009B42DA"/>
    <w:rsid w:val="009B693C"/>
    <w:rsid w:val="009C0577"/>
    <w:rsid w:val="009C175C"/>
    <w:rsid w:val="009C27B4"/>
    <w:rsid w:val="009C2A04"/>
    <w:rsid w:val="009C3017"/>
    <w:rsid w:val="009C433B"/>
    <w:rsid w:val="009C4B35"/>
    <w:rsid w:val="009C53E0"/>
    <w:rsid w:val="009C6AD7"/>
    <w:rsid w:val="009D0ABA"/>
    <w:rsid w:val="009D2346"/>
    <w:rsid w:val="009D2673"/>
    <w:rsid w:val="009D3302"/>
    <w:rsid w:val="009D604A"/>
    <w:rsid w:val="009D7BC0"/>
    <w:rsid w:val="009E1E30"/>
    <w:rsid w:val="009E30D6"/>
    <w:rsid w:val="009E45AC"/>
    <w:rsid w:val="009E4B89"/>
    <w:rsid w:val="009E4F3C"/>
    <w:rsid w:val="009E5221"/>
    <w:rsid w:val="009E6F07"/>
    <w:rsid w:val="009E7F91"/>
    <w:rsid w:val="009F1212"/>
    <w:rsid w:val="009F42C3"/>
    <w:rsid w:val="009F45C6"/>
    <w:rsid w:val="009F5A57"/>
    <w:rsid w:val="009F7829"/>
    <w:rsid w:val="00A036B2"/>
    <w:rsid w:val="00A06492"/>
    <w:rsid w:val="00A20009"/>
    <w:rsid w:val="00A204DD"/>
    <w:rsid w:val="00A21A52"/>
    <w:rsid w:val="00A233FB"/>
    <w:rsid w:val="00A240F7"/>
    <w:rsid w:val="00A24F8E"/>
    <w:rsid w:val="00A25D5F"/>
    <w:rsid w:val="00A2682A"/>
    <w:rsid w:val="00A26B50"/>
    <w:rsid w:val="00A30341"/>
    <w:rsid w:val="00A307EA"/>
    <w:rsid w:val="00A30CB3"/>
    <w:rsid w:val="00A31289"/>
    <w:rsid w:val="00A31945"/>
    <w:rsid w:val="00A319B5"/>
    <w:rsid w:val="00A32BD6"/>
    <w:rsid w:val="00A32E09"/>
    <w:rsid w:val="00A33654"/>
    <w:rsid w:val="00A340A8"/>
    <w:rsid w:val="00A341ED"/>
    <w:rsid w:val="00A34FC9"/>
    <w:rsid w:val="00A358A6"/>
    <w:rsid w:val="00A363D4"/>
    <w:rsid w:val="00A40242"/>
    <w:rsid w:val="00A42862"/>
    <w:rsid w:val="00A45057"/>
    <w:rsid w:val="00A455D6"/>
    <w:rsid w:val="00A45C55"/>
    <w:rsid w:val="00A505A1"/>
    <w:rsid w:val="00A50B43"/>
    <w:rsid w:val="00A50CF0"/>
    <w:rsid w:val="00A51ABA"/>
    <w:rsid w:val="00A5546F"/>
    <w:rsid w:val="00A5578D"/>
    <w:rsid w:val="00A563AC"/>
    <w:rsid w:val="00A57674"/>
    <w:rsid w:val="00A60097"/>
    <w:rsid w:val="00A60368"/>
    <w:rsid w:val="00A60AF0"/>
    <w:rsid w:val="00A60BAB"/>
    <w:rsid w:val="00A60E30"/>
    <w:rsid w:val="00A65499"/>
    <w:rsid w:val="00A65D7E"/>
    <w:rsid w:val="00A663DE"/>
    <w:rsid w:val="00A67527"/>
    <w:rsid w:val="00A70ADE"/>
    <w:rsid w:val="00A71542"/>
    <w:rsid w:val="00A731CF"/>
    <w:rsid w:val="00A74392"/>
    <w:rsid w:val="00A750B2"/>
    <w:rsid w:val="00A758F5"/>
    <w:rsid w:val="00A76AC7"/>
    <w:rsid w:val="00A803AA"/>
    <w:rsid w:val="00A80D3E"/>
    <w:rsid w:val="00A82E81"/>
    <w:rsid w:val="00A84709"/>
    <w:rsid w:val="00A84B45"/>
    <w:rsid w:val="00A85369"/>
    <w:rsid w:val="00A87723"/>
    <w:rsid w:val="00A90A90"/>
    <w:rsid w:val="00A91FC3"/>
    <w:rsid w:val="00A945A6"/>
    <w:rsid w:val="00A94F9C"/>
    <w:rsid w:val="00A973E7"/>
    <w:rsid w:val="00AA01A6"/>
    <w:rsid w:val="00AA0F89"/>
    <w:rsid w:val="00AA1B67"/>
    <w:rsid w:val="00AA3D52"/>
    <w:rsid w:val="00AA6079"/>
    <w:rsid w:val="00AB0524"/>
    <w:rsid w:val="00AB2FD8"/>
    <w:rsid w:val="00AB57DB"/>
    <w:rsid w:val="00AB740D"/>
    <w:rsid w:val="00AB7F7F"/>
    <w:rsid w:val="00AC25A4"/>
    <w:rsid w:val="00AC32B6"/>
    <w:rsid w:val="00AC400B"/>
    <w:rsid w:val="00AD0CFC"/>
    <w:rsid w:val="00AD1606"/>
    <w:rsid w:val="00AD31A7"/>
    <w:rsid w:val="00AD336F"/>
    <w:rsid w:val="00AD58F3"/>
    <w:rsid w:val="00AE4935"/>
    <w:rsid w:val="00AE49F6"/>
    <w:rsid w:val="00AE4B98"/>
    <w:rsid w:val="00AE4C7E"/>
    <w:rsid w:val="00AE6BD7"/>
    <w:rsid w:val="00AE7EA3"/>
    <w:rsid w:val="00AF00F3"/>
    <w:rsid w:val="00AF201C"/>
    <w:rsid w:val="00AF29B6"/>
    <w:rsid w:val="00AF2DE8"/>
    <w:rsid w:val="00AF3A39"/>
    <w:rsid w:val="00AF3B0C"/>
    <w:rsid w:val="00AF3F31"/>
    <w:rsid w:val="00AF6470"/>
    <w:rsid w:val="00AF6A5A"/>
    <w:rsid w:val="00B014FC"/>
    <w:rsid w:val="00B02060"/>
    <w:rsid w:val="00B02F70"/>
    <w:rsid w:val="00B0345A"/>
    <w:rsid w:val="00B05BAE"/>
    <w:rsid w:val="00B064A5"/>
    <w:rsid w:val="00B07A2D"/>
    <w:rsid w:val="00B07B37"/>
    <w:rsid w:val="00B111A1"/>
    <w:rsid w:val="00B11356"/>
    <w:rsid w:val="00B1470E"/>
    <w:rsid w:val="00B14766"/>
    <w:rsid w:val="00B17C4A"/>
    <w:rsid w:val="00B21614"/>
    <w:rsid w:val="00B23DC5"/>
    <w:rsid w:val="00B2533A"/>
    <w:rsid w:val="00B2591D"/>
    <w:rsid w:val="00B276E6"/>
    <w:rsid w:val="00B305C7"/>
    <w:rsid w:val="00B33F5D"/>
    <w:rsid w:val="00B34FA3"/>
    <w:rsid w:val="00B35329"/>
    <w:rsid w:val="00B37CC6"/>
    <w:rsid w:val="00B406BE"/>
    <w:rsid w:val="00B409CB"/>
    <w:rsid w:val="00B42202"/>
    <w:rsid w:val="00B4333D"/>
    <w:rsid w:val="00B4345A"/>
    <w:rsid w:val="00B44E48"/>
    <w:rsid w:val="00B44FB4"/>
    <w:rsid w:val="00B45A2E"/>
    <w:rsid w:val="00B46092"/>
    <w:rsid w:val="00B47C74"/>
    <w:rsid w:val="00B50072"/>
    <w:rsid w:val="00B51A3B"/>
    <w:rsid w:val="00B55709"/>
    <w:rsid w:val="00B55ADA"/>
    <w:rsid w:val="00B5637D"/>
    <w:rsid w:val="00B569B2"/>
    <w:rsid w:val="00B576B6"/>
    <w:rsid w:val="00B613EA"/>
    <w:rsid w:val="00B6246C"/>
    <w:rsid w:val="00B624C1"/>
    <w:rsid w:val="00B63A8C"/>
    <w:rsid w:val="00B63C90"/>
    <w:rsid w:val="00B67F52"/>
    <w:rsid w:val="00B70BBF"/>
    <w:rsid w:val="00B726A3"/>
    <w:rsid w:val="00B72C4F"/>
    <w:rsid w:val="00B733E9"/>
    <w:rsid w:val="00B75A73"/>
    <w:rsid w:val="00B77C90"/>
    <w:rsid w:val="00B802C3"/>
    <w:rsid w:val="00B810F5"/>
    <w:rsid w:val="00B8129B"/>
    <w:rsid w:val="00B82B23"/>
    <w:rsid w:val="00B830D1"/>
    <w:rsid w:val="00B83494"/>
    <w:rsid w:val="00B839C9"/>
    <w:rsid w:val="00B83A66"/>
    <w:rsid w:val="00B84A3E"/>
    <w:rsid w:val="00B85AAF"/>
    <w:rsid w:val="00B86AA2"/>
    <w:rsid w:val="00B90135"/>
    <w:rsid w:val="00B93BC8"/>
    <w:rsid w:val="00B94CC2"/>
    <w:rsid w:val="00B963C9"/>
    <w:rsid w:val="00B9691A"/>
    <w:rsid w:val="00B978B0"/>
    <w:rsid w:val="00BA0D8F"/>
    <w:rsid w:val="00BA0F04"/>
    <w:rsid w:val="00BA1B67"/>
    <w:rsid w:val="00BA2811"/>
    <w:rsid w:val="00BA37F6"/>
    <w:rsid w:val="00BA3BFF"/>
    <w:rsid w:val="00BA792D"/>
    <w:rsid w:val="00BB206C"/>
    <w:rsid w:val="00BB3EF4"/>
    <w:rsid w:val="00BB4560"/>
    <w:rsid w:val="00BB54EE"/>
    <w:rsid w:val="00BB5D7E"/>
    <w:rsid w:val="00BB6E4B"/>
    <w:rsid w:val="00BB70FA"/>
    <w:rsid w:val="00BB72D6"/>
    <w:rsid w:val="00BB779F"/>
    <w:rsid w:val="00BB7AA4"/>
    <w:rsid w:val="00BB7D92"/>
    <w:rsid w:val="00BC07BF"/>
    <w:rsid w:val="00BC21C5"/>
    <w:rsid w:val="00BC3D43"/>
    <w:rsid w:val="00BC3FEB"/>
    <w:rsid w:val="00BC5794"/>
    <w:rsid w:val="00BC765B"/>
    <w:rsid w:val="00BD237C"/>
    <w:rsid w:val="00BD47D6"/>
    <w:rsid w:val="00BD57B6"/>
    <w:rsid w:val="00BD6CAD"/>
    <w:rsid w:val="00BD7DDD"/>
    <w:rsid w:val="00BE0E02"/>
    <w:rsid w:val="00BE179E"/>
    <w:rsid w:val="00BE26BF"/>
    <w:rsid w:val="00BE36ED"/>
    <w:rsid w:val="00BE4A82"/>
    <w:rsid w:val="00BE6DF8"/>
    <w:rsid w:val="00BE7117"/>
    <w:rsid w:val="00BE756D"/>
    <w:rsid w:val="00BF32E4"/>
    <w:rsid w:val="00BF33DF"/>
    <w:rsid w:val="00BF59BC"/>
    <w:rsid w:val="00BF670A"/>
    <w:rsid w:val="00BF7006"/>
    <w:rsid w:val="00BF73E0"/>
    <w:rsid w:val="00BF7C4A"/>
    <w:rsid w:val="00C00345"/>
    <w:rsid w:val="00C00AFC"/>
    <w:rsid w:val="00C00EB1"/>
    <w:rsid w:val="00C0163F"/>
    <w:rsid w:val="00C04631"/>
    <w:rsid w:val="00C04678"/>
    <w:rsid w:val="00C0493C"/>
    <w:rsid w:val="00C10DCA"/>
    <w:rsid w:val="00C10E2B"/>
    <w:rsid w:val="00C15997"/>
    <w:rsid w:val="00C15B7C"/>
    <w:rsid w:val="00C16A85"/>
    <w:rsid w:val="00C219AB"/>
    <w:rsid w:val="00C21E19"/>
    <w:rsid w:val="00C228D2"/>
    <w:rsid w:val="00C23A16"/>
    <w:rsid w:val="00C23AB4"/>
    <w:rsid w:val="00C245F5"/>
    <w:rsid w:val="00C25673"/>
    <w:rsid w:val="00C25F50"/>
    <w:rsid w:val="00C279F8"/>
    <w:rsid w:val="00C301A1"/>
    <w:rsid w:val="00C30316"/>
    <w:rsid w:val="00C30AF8"/>
    <w:rsid w:val="00C313F2"/>
    <w:rsid w:val="00C316AB"/>
    <w:rsid w:val="00C31AC3"/>
    <w:rsid w:val="00C3408F"/>
    <w:rsid w:val="00C3414A"/>
    <w:rsid w:val="00C36DBF"/>
    <w:rsid w:val="00C37949"/>
    <w:rsid w:val="00C40289"/>
    <w:rsid w:val="00C433A1"/>
    <w:rsid w:val="00C45384"/>
    <w:rsid w:val="00C465BC"/>
    <w:rsid w:val="00C517B9"/>
    <w:rsid w:val="00C51BD5"/>
    <w:rsid w:val="00C5394E"/>
    <w:rsid w:val="00C550B5"/>
    <w:rsid w:val="00C565AB"/>
    <w:rsid w:val="00C56EFD"/>
    <w:rsid w:val="00C60F39"/>
    <w:rsid w:val="00C612C8"/>
    <w:rsid w:val="00C6407E"/>
    <w:rsid w:val="00C642BF"/>
    <w:rsid w:val="00C6457D"/>
    <w:rsid w:val="00C657DE"/>
    <w:rsid w:val="00C6604F"/>
    <w:rsid w:val="00C70D50"/>
    <w:rsid w:val="00C720F8"/>
    <w:rsid w:val="00C744ED"/>
    <w:rsid w:val="00C75895"/>
    <w:rsid w:val="00C77418"/>
    <w:rsid w:val="00C80A63"/>
    <w:rsid w:val="00C83417"/>
    <w:rsid w:val="00C855DD"/>
    <w:rsid w:val="00C90F29"/>
    <w:rsid w:val="00C92980"/>
    <w:rsid w:val="00C9379F"/>
    <w:rsid w:val="00C94262"/>
    <w:rsid w:val="00C947DF"/>
    <w:rsid w:val="00CA22CB"/>
    <w:rsid w:val="00CA267E"/>
    <w:rsid w:val="00CA30D8"/>
    <w:rsid w:val="00CA3752"/>
    <w:rsid w:val="00CA4E62"/>
    <w:rsid w:val="00CA62F9"/>
    <w:rsid w:val="00CA6612"/>
    <w:rsid w:val="00CB0ED4"/>
    <w:rsid w:val="00CB17A3"/>
    <w:rsid w:val="00CB1F3E"/>
    <w:rsid w:val="00CB21FA"/>
    <w:rsid w:val="00CB4C32"/>
    <w:rsid w:val="00CB4C92"/>
    <w:rsid w:val="00CB4D60"/>
    <w:rsid w:val="00CB55E9"/>
    <w:rsid w:val="00CB5606"/>
    <w:rsid w:val="00CC00A9"/>
    <w:rsid w:val="00CC0711"/>
    <w:rsid w:val="00CC11D6"/>
    <w:rsid w:val="00CC37EF"/>
    <w:rsid w:val="00CD315F"/>
    <w:rsid w:val="00CD40B2"/>
    <w:rsid w:val="00CD492B"/>
    <w:rsid w:val="00CD79E5"/>
    <w:rsid w:val="00CE2E2A"/>
    <w:rsid w:val="00CE3C77"/>
    <w:rsid w:val="00CE5538"/>
    <w:rsid w:val="00CE58FC"/>
    <w:rsid w:val="00CE64C3"/>
    <w:rsid w:val="00CE6715"/>
    <w:rsid w:val="00CE72D2"/>
    <w:rsid w:val="00CF0254"/>
    <w:rsid w:val="00CF1953"/>
    <w:rsid w:val="00CF2F49"/>
    <w:rsid w:val="00CF32EC"/>
    <w:rsid w:val="00CF34EF"/>
    <w:rsid w:val="00CF38E6"/>
    <w:rsid w:val="00CF3F44"/>
    <w:rsid w:val="00CF4146"/>
    <w:rsid w:val="00D00171"/>
    <w:rsid w:val="00D0088E"/>
    <w:rsid w:val="00D01505"/>
    <w:rsid w:val="00D0151D"/>
    <w:rsid w:val="00D018E4"/>
    <w:rsid w:val="00D01EB4"/>
    <w:rsid w:val="00D02F57"/>
    <w:rsid w:val="00D03561"/>
    <w:rsid w:val="00D03A6F"/>
    <w:rsid w:val="00D05481"/>
    <w:rsid w:val="00D055A3"/>
    <w:rsid w:val="00D07EA5"/>
    <w:rsid w:val="00D10D51"/>
    <w:rsid w:val="00D111BF"/>
    <w:rsid w:val="00D12199"/>
    <w:rsid w:val="00D14CF5"/>
    <w:rsid w:val="00D1501B"/>
    <w:rsid w:val="00D155FF"/>
    <w:rsid w:val="00D15C2E"/>
    <w:rsid w:val="00D200A8"/>
    <w:rsid w:val="00D20108"/>
    <w:rsid w:val="00D21CE0"/>
    <w:rsid w:val="00D24570"/>
    <w:rsid w:val="00D254B0"/>
    <w:rsid w:val="00D256CD"/>
    <w:rsid w:val="00D2623E"/>
    <w:rsid w:val="00D27131"/>
    <w:rsid w:val="00D274FD"/>
    <w:rsid w:val="00D27B3C"/>
    <w:rsid w:val="00D27EA6"/>
    <w:rsid w:val="00D303EA"/>
    <w:rsid w:val="00D3247A"/>
    <w:rsid w:val="00D329BD"/>
    <w:rsid w:val="00D33FBB"/>
    <w:rsid w:val="00D3536F"/>
    <w:rsid w:val="00D370D6"/>
    <w:rsid w:val="00D370DA"/>
    <w:rsid w:val="00D3715E"/>
    <w:rsid w:val="00D410D7"/>
    <w:rsid w:val="00D4172E"/>
    <w:rsid w:val="00D42DBB"/>
    <w:rsid w:val="00D43E35"/>
    <w:rsid w:val="00D443AB"/>
    <w:rsid w:val="00D446FF"/>
    <w:rsid w:val="00D45097"/>
    <w:rsid w:val="00D477BA"/>
    <w:rsid w:val="00D507B1"/>
    <w:rsid w:val="00D50C6B"/>
    <w:rsid w:val="00D51FC7"/>
    <w:rsid w:val="00D543DD"/>
    <w:rsid w:val="00D54B2D"/>
    <w:rsid w:val="00D56B57"/>
    <w:rsid w:val="00D574AB"/>
    <w:rsid w:val="00D62F83"/>
    <w:rsid w:val="00D6394B"/>
    <w:rsid w:val="00D63DF1"/>
    <w:rsid w:val="00D63F7D"/>
    <w:rsid w:val="00D65684"/>
    <w:rsid w:val="00D65FE7"/>
    <w:rsid w:val="00D67ED4"/>
    <w:rsid w:val="00D704C4"/>
    <w:rsid w:val="00D70B8C"/>
    <w:rsid w:val="00D72839"/>
    <w:rsid w:val="00D72B1D"/>
    <w:rsid w:val="00D73E60"/>
    <w:rsid w:val="00D73F19"/>
    <w:rsid w:val="00D745C7"/>
    <w:rsid w:val="00D74819"/>
    <w:rsid w:val="00D76B51"/>
    <w:rsid w:val="00D7780A"/>
    <w:rsid w:val="00D77C1C"/>
    <w:rsid w:val="00D80A75"/>
    <w:rsid w:val="00D80BAF"/>
    <w:rsid w:val="00D80E23"/>
    <w:rsid w:val="00D819BC"/>
    <w:rsid w:val="00D81B0D"/>
    <w:rsid w:val="00D826FD"/>
    <w:rsid w:val="00D828D5"/>
    <w:rsid w:val="00D830EC"/>
    <w:rsid w:val="00D83960"/>
    <w:rsid w:val="00D8688D"/>
    <w:rsid w:val="00D8706F"/>
    <w:rsid w:val="00D87460"/>
    <w:rsid w:val="00D9110C"/>
    <w:rsid w:val="00D93AE7"/>
    <w:rsid w:val="00D9424B"/>
    <w:rsid w:val="00D94819"/>
    <w:rsid w:val="00D95AFE"/>
    <w:rsid w:val="00D961D3"/>
    <w:rsid w:val="00D963CA"/>
    <w:rsid w:val="00D96942"/>
    <w:rsid w:val="00D96B67"/>
    <w:rsid w:val="00D96F85"/>
    <w:rsid w:val="00D97355"/>
    <w:rsid w:val="00DA0068"/>
    <w:rsid w:val="00DA1BAC"/>
    <w:rsid w:val="00DA2C02"/>
    <w:rsid w:val="00DA5CEB"/>
    <w:rsid w:val="00DA5EE4"/>
    <w:rsid w:val="00DA714E"/>
    <w:rsid w:val="00DA7986"/>
    <w:rsid w:val="00DB0435"/>
    <w:rsid w:val="00DB1A14"/>
    <w:rsid w:val="00DB21A3"/>
    <w:rsid w:val="00DB2406"/>
    <w:rsid w:val="00DB2CA5"/>
    <w:rsid w:val="00DB35BD"/>
    <w:rsid w:val="00DB3A33"/>
    <w:rsid w:val="00DB3D70"/>
    <w:rsid w:val="00DB604F"/>
    <w:rsid w:val="00DC049F"/>
    <w:rsid w:val="00DC1E12"/>
    <w:rsid w:val="00DC46CA"/>
    <w:rsid w:val="00DC47C3"/>
    <w:rsid w:val="00DD0C59"/>
    <w:rsid w:val="00DD3A86"/>
    <w:rsid w:val="00DD3F20"/>
    <w:rsid w:val="00DD56B5"/>
    <w:rsid w:val="00DD6581"/>
    <w:rsid w:val="00DD726E"/>
    <w:rsid w:val="00DD79A8"/>
    <w:rsid w:val="00DE2127"/>
    <w:rsid w:val="00DE362A"/>
    <w:rsid w:val="00DE4DD6"/>
    <w:rsid w:val="00DE58E1"/>
    <w:rsid w:val="00DE7C48"/>
    <w:rsid w:val="00DF079E"/>
    <w:rsid w:val="00DF13A0"/>
    <w:rsid w:val="00DF16F1"/>
    <w:rsid w:val="00DF2546"/>
    <w:rsid w:val="00DF33BF"/>
    <w:rsid w:val="00DF3EE3"/>
    <w:rsid w:val="00DF45F8"/>
    <w:rsid w:val="00DF4A27"/>
    <w:rsid w:val="00DF667B"/>
    <w:rsid w:val="00DF6936"/>
    <w:rsid w:val="00DF6F65"/>
    <w:rsid w:val="00DF7F5E"/>
    <w:rsid w:val="00E00165"/>
    <w:rsid w:val="00E0028F"/>
    <w:rsid w:val="00E0059B"/>
    <w:rsid w:val="00E02B3D"/>
    <w:rsid w:val="00E03861"/>
    <w:rsid w:val="00E043EC"/>
    <w:rsid w:val="00E04BAC"/>
    <w:rsid w:val="00E0501E"/>
    <w:rsid w:val="00E10529"/>
    <w:rsid w:val="00E10937"/>
    <w:rsid w:val="00E10EAE"/>
    <w:rsid w:val="00E10F08"/>
    <w:rsid w:val="00E11CE1"/>
    <w:rsid w:val="00E11F93"/>
    <w:rsid w:val="00E1253B"/>
    <w:rsid w:val="00E13AD5"/>
    <w:rsid w:val="00E13F3C"/>
    <w:rsid w:val="00E14224"/>
    <w:rsid w:val="00E16636"/>
    <w:rsid w:val="00E177C6"/>
    <w:rsid w:val="00E206CB"/>
    <w:rsid w:val="00E20D5F"/>
    <w:rsid w:val="00E21C05"/>
    <w:rsid w:val="00E23712"/>
    <w:rsid w:val="00E241B5"/>
    <w:rsid w:val="00E24C3B"/>
    <w:rsid w:val="00E275D6"/>
    <w:rsid w:val="00E27ABC"/>
    <w:rsid w:val="00E27FB8"/>
    <w:rsid w:val="00E31694"/>
    <w:rsid w:val="00E32ADB"/>
    <w:rsid w:val="00E32BA8"/>
    <w:rsid w:val="00E33AE4"/>
    <w:rsid w:val="00E35106"/>
    <w:rsid w:val="00E35BE1"/>
    <w:rsid w:val="00E36051"/>
    <w:rsid w:val="00E37644"/>
    <w:rsid w:val="00E41A2D"/>
    <w:rsid w:val="00E41D60"/>
    <w:rsid w:val="00E4312F"/>
    <w:rsid w:val="00E4346B"/>
    <w:rsid w:val="00E45FAD"/>
    <w:rsid w:val="00E46E2D"/>
    <w:rsid w:val="00E50A44"/>
    <w:rsid w:val="00E50E70"/>
    <w:rsid w:val="00E5259C"/>
    <w:rsid w:val="00E5295D"/>
    <w:rsid w:val="00E52978"/>
    <w:rsid w:val="00E52D87"/>
    <w:rsid w:val="00E531A8"/>
    <w:rsid w:val="00E541A1"/>
    <w:rsid w:val="00E56767"/>
    <w:rsid w:val="00E56CCE"/>
    <w:rsid w:val="00E611D7"/>
    <w:rsid w:val="00E6316E"/>
    <w:rsid w:val="00E667A5"/>
    <w:rsid w:val="00E71004"/>
    <w:rsid w:val="00E72B71"/>
    <w:rsid w:val="00E75145"/>
    <w:rsid w:val="00E75DBA"/>
    <w:rsid w:val="00E76D62"/>
    <w:rsid w:val="00E7787B"/>
    <w:rsid w:val="00E81953"/>
    <w:rsid w:val="00E82097"/>
    <w:rsid w:val="00E836AF"/>
    <w:rsid w:val="00E83A5A"/>
    <w:rsid w:val="00E85056"/>
    <w:rsid w:val="00E8546B"/>
    <w:rsid w:val="00E90050"/>
    <w:rsid w:val="00E931E6"/>
    <w:rsid w:val="00E950D0"/>
    <w:rsid w:val="00EA0BBA"/>
    <w:rsid w:val="00EA203E"/>
    <w:rsid w:val="00EA4043"/>
    <w:rsid w:val="00EA4F69"/>
    <w:rsid w:val="00EA6947"/>
    <w:rsid w:val="00EB3FFC"/>
    <w:rsid w:val="00EB657E"/>
    <w:rsid w:val="00EC27BB"/>
    <w:rsid w:val="00EC2E8C"/>
    <w:rsid w:val="00EC54F8"/>
    <w:rsid w:val="00EC6933"/>
    <w:rsid w:val="00ED2077"/>
    <w:rsid w:val="00ED3F2F"/>
    <w:rsid w:val="00ED5634"/>
    <w:rsid w:val="00ED60CF"/>
    <w:rsid w:val="00ED6A90"/>
    <w:rsid w:val="00ED7A20"/>
    <w:rsid w:val="00EE1018"/>
    <w:rsid w:val="00EE26BF"/>
    <w:rsid w:val="00EE2CED"/>
    <w:rsid w:val="00EE320D"/>
    <w:rsid w:val="00EE3C94"/>
    <w:rsid w:val="00EF1BC0"/>
    <w:rsid w:val="00EF3920"/>
    <w:rsid w:val="00EF47F8"/>
    <w:rsid w:val="00EF74D4"/>
    <w:rsid w:val="00F022CF"/>
    <w:rsid w:val="00F02C4A"/>
    <w:rsid w:val="00F04156"/>
    <w:rsid w:val="00F069AA"/>
    <w:rsid w:val="00F06B2F"/>
    <w:rsid w:val="00F06BBA"/>
    <w:rsid w:val="00F11E2C"/>
    <w:rsid w:val="00F12027"/>
    <w:rsid w:val="00F133ED"/>
    <w:rsid w:val="00F13733"/>
    <w:rsid w:val="00F13E2D"/>
    <w:rsid w:val="00F16771"/>
    <w:rsid w:val="00F16AE6"/>
    <w:rsid w:val="00F2195D"/>
    <w:rsid w:val="00F21CDB"/>
    <w:rsid w:val="00F22501"/>
    <w:rsid w:val="00F22A0B"/>
    <w:rsid w:val="00F22BC0"/>
    <w:rsid w:val="00F22CFD"/>
    <w:rsid w:val="00F24A5D"/>
    <w:rsid w:val="00F25C4E"/>
    <w:rsid w:val="00F30201"/>
    <w:rsid w:val="00F31DED"/>
    <w:rsid w:val="00F33902"/>
    <w:rsid w:val="00F34AB2"/>
    <w:rsid w:val="00F34CC4"/>
    <w:rsid w:val="00F35127"/>
    <w:rsid w:val="00F355C2"/>
    <w:rsid w:val="00F3719F"/>
    <w:rsid w:val="00F41FE9"/>
    <w:rsid w:val="00F4296F"/>
    <w:rsid w:val="00F43436"/>
    <w:rsid w:val="00F44DF6"/>
    <w:rsid w:val="00F4526B"/>
    <w:rsid w:val="00F468C0"/>
    <w:rsid w:val="00F46C85"/>
    <w:rsid w:val="00F509A3"/>
    <w:rsid w:val="00F52D03"/>
    <w:rsid w:val="00F53560"/>
    <w:rsid w:val="00F53C42"/>
    <w:rsid w:val="00F54F00"/>
    <w:rsid w:val="00F54F43"/>
    <w:rsid w:val="00F557B4"/>
    <w:rsid w:val="00F55C05"/>
    <w:rsid w:val="00F576AA"/>
    <w:rsid w:val="00F57B82"/>
    <w:rsid w:val="00F6104E"/>
    <w:rsid w:val="00F617C0"/>
    <w:rsid w:val="00F617DA"/>
    <w:rsid w:val="00F628B6"/>
    <w:rsid w:val="00F63FE6"/>
    <w:rsid w:val="00F63FFB"/>
    <w:rsid w:val="00F641C4"/>
    <w:rsid w:val="00F652E1"/>
    <w:rsid w:val="00F65680"/>
    <w:rsid w:val="00F65E3F"/>
    <w:rsid w:val="00F702A4"/>
    <w:rsid w:val="00F707E2"/>
    <w:rsid w:val="00F71419"/>
    <w:rsid w:val="00F732E5"/>
    <w:rsid w:val="00F73F88"/>
    <w:rsid w:val="00F749A1"/>
    <w:rsid w:val="00F75094"/>
    <w:rsid w:val="00F75187"/>
    <w:rsid w:val="00F76947"/>
    <w:rsid w:val="00F806F1"/>
    <w:rsid w:val="00F820A2"/>
    <w:rsid w:val="00F8230E"/>
    <w:rsid w:val="00F82971"/>
    <w:rsid w:val="00F83EB7"/>
    <w:rsid w:val="00F86D15"/>
    <w:rsid w:val="00F90805"/>
    <w:rsid w:val="00F90A84"/>
    <w:rsid w:val="00F91B51"/>
    <w:rsid w:val="00F91BD9"/>
    <w:rsid w:val="00F91F47"/>
    <w:rsid w:val="00F9219D"/>
    <w:rsid w:val="00F96204"/>
    <w:rsid w:val="00F96E9C"/>
    <w:rsid w:val="00FA102C"/>
    <w:rsid w:val="00FA14AE"/>
    <w:rsid w:val="00FA1E9A"/>
    <w:rsid w:val="00FA4D1E"/>
    <w:rsid w:val="00FA6A0F"/>
    <w:rsid w:val="00FB0202"/>
    <w:rsid w:val="00FB0436"/>
    <w:rsid w:val="00FB16B4"/>
    <w:rsid w:val="00FB1964"/>
    <w:rsid w:val="00FB38D7"/>
    <w:rsid w:val="00FB4667"/>
    <w:rsid w:val="00FB52C8"/>
    <w:rsid w:val="00FB6593"/>
    <w:rsid w:val="00FB6DA1"/>
    <w:rsid w:val="00FC1126"/>
    <w:rsid w:val="00FC1312"/>
    <w:rsid w:val="00FC1602"/>
    <w:rsid w:val="00FC22DF"/>
    <w:rsid w:val="00FC45B6"/>
    <w:rsid w:val="00FC4958"/>
    <w:rsid w:val="00FC55D5"/>
    <w:rsid w:val="00FC5A07"/>
    <w:rsid w:val="00FC6E19"/>
    <w:rsid w:val="00FC7F15"/>
    <w:rsid w:val="00FD0044"/>
    <w:rsid w:val="00FD0956"/>
    <w:rsid w:val="00FD0E06"/>
    <w:rsid w:val="00FD1536"/>
    <w:rsid w:val="00FD1A21"/>
    <w:rsid w:val="00FD2BD5"/>
    <w:rsid w:val="00FD4743"/>
    <w:rsid w:val="00FD5273"/>
    <w:rsid w:val="00FD58A5"/>
    <w:rsid w:val="00FD7C87"/>
    <w:rsid w:val="00FE1CFF"/>
    <w:rsid w:val="00FE20C8"/>
    <w:rsid w:val="00FE3DB8"/>
    <w:rsid w:val="00FE3E7D"/>
    <w:rsid w:val="00FE6CE8"/>
    <w:rsid w:val="00FE7533"/>
    <w:rsid w:val="00FF0BEA"/>
    <w:rsid w:val="00FF202C"/>
    <w:rsid w:val="00FF2D77"/>
    <w:rsid w:val="00FF2FBC"/>
    <w:rsid w:val="00FF3963"/>
    <w:rsid w:val="00FF3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55FF"/>
    <w:pPr>
      <w:spacing w:after="120"/>
      <w:jc w:val="both"/>
    </w:pPr>
    <w:rPr>
      <w:sz w:val="24"/>
      <w:szCs w:val="24"/>
      <w:lang w:eastAsia="ja-JP"/>
    </w:rPr>
  </w:style>
  <w:style w:type="paragraph" w:styleId="Heading1">
    <w:name w:val="heading 1"/>
    <w:basedOn w:val="Normal"/>
    <w:next w:val="Normal"/>
    <w:link w:val="Heading1Char"/>
    <w:qFormat/>
    <w:rsid w:val="00D65FE7"/>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413965"/>
    <w:pPr>
      <w:keepNext/>
      <w:numPr>
        <w:numId w:val="2"/>
      </w:numPr>
      <w:spacing w:before="240" w:after="60"/>
      <w:outlineLvl w:val="1"/>
    </w:pPr>
    <w:rPr>
      <w:rFonts w:ascii="Cambria" w:eastAsia="Times New Roman" w:hAnsi="Cambria"/>
      <w:b/>
      <w:bCs/>
      <w:i/>
      <w:iCs/>
      <w:sz w:val="28"/>
      <w:szCs w:val="28"/>
    </w:rPr>
  </w:style>
  <w:style w:type="paragraph" w:styleId="Heading3">
    <w:name w:val="heading 3"/>
    <w:basedOn w:val="Normal"/>
    <w:next w:val="Normal"/>
    <w:uiPriority w:val="9"/>
    <w:qFormat/>
    <w:rsid w:val="000C7F70"/>
    <w:pPr>
      <w:keepNext/>
      <w:spacing w:before="240" w:after="60"/>
      <w:outlineLvl w:val="2"/>
    </w:pPr>
    <w:rPr>
      <w:rFonts w:ascii="Arial" w:hAnsi="Arial" w:cs="Arial"/>
      <w:b/>
      <w:bCs/>
      <w:sz w:val="26"/>
      <w:szCs w:val="26"/>
    </w:rPr>
  </w:style>
  <w:style w:type="paragraph" w:styleId="Heading4">
    <w:name w:val="heading 4"/>
    <w:aliases w:val="Title 4"/>
    <w:basedOn w:val="Heading3"/>
    <w:next w:val="Normal"/>
    <w:qFormat/>
    <w:rsid w:val="00970645"/>
    <w:pPr>
      <w:tabs>
        <w:tab w:val="left" w:pos="425"/>
      </w:tabs>
      <w:outlineLvl w:val="3"/>
    </w:pPr>
    <w:rPr>
      <w:rFonts w:ascii="Times New Roman" w:eastAsia="Times New Roman" w:hAnsi="Times New Roman"/>
      <w:bCs w:val="0"/>
      <w:i/>
      <w:color w:val="000000"/>
      <w:kern w:val="36"/>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s">
    <w:name w:val="Names"/>
    <w:basedOn w:val="Normal"/>
    <w:rsid w:val="000C7F70"/>
    <w:rPr>
      <w:rFonts w:eastAsia="Times New Roman"/>
      <w:b/>
      <w:i/>
      <w:szCs w:val="20"/>
      <w:lang w:eastAsia="es-ES"/>
    </w:rPr>
  </w:style>
  <w:style w:type="paragraph" w:customStyle="1" w:styleId="AbstractText">
    <w:name w:val="AbstractText"/>
    <w:basedOn w:val="Normal"/>
    <w:rsid w:val="000C7F70"/>
    <w:pPr>
      <w:autoSpaceDE w:val="0"/>
      <w:autoSpaceDN w:val="0"/>
      <w:adjustRightInd w:val="0"/>
      <w:spacing w:before="120"/>
    </w:pPr>
    <w:rPr>
      <w:rFonts w:eastAsia="Times New Roman" w:cs="Arial"/>
      <w:szCs w:val="20"/>
      <w:lang w:eastAsia="es-ES"/>
    </w:rPr>
  </w:style>
  <w:style w:type="character" w:styleId="Hyperlink">
    <w:name w:val="Hyperlink"/>
    <w:rsid w:val="000C7F70"/>
    <w:rPr>
      <w:color w:val="0000FF"/>
      <w:u w:val="single"/>
    </w:rPr>
  </w:style>
  <w:style w:type="table" w:styleId="TableGrid">
    <w:name w:val="Table Grid"/>
    <w:basedOn w:val="TableNormal"/>
    <w:rsid w:val="00240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2407F9"/>
    <w:rPr>
      <w:sz w:val="20"/>
      <w:szCs w:val="20"/>
    </w:rPr>
  </w:style>
  <w:style w:type="character" w:styleId="FootnoteReference">
    <w:name w:val="footnote reference"/>
    <w:uiPriority w:val="99"/>
    <w:rsid w:val="002407F9"/>
    <w:rPr>
      <w:vertAlign w:val="superscript"/>
    </w:rPr>
  </w:style>
  <w:style w:type="paragraph" w:styleId="BalloonText">
    <w:name w:val="Balloon Text"/>
    <w:basedOn w:val="Normal"/>
    <w:link w:val="BalloonTextChar"/>
    <w:rsid w:val="008B2D1A"/>
    <w:rPr>
      <w:rFonts w:ascii="Tahoma" w:hAnsi="Tahoma" w:cs="Tahoma"/>
      <w:sz w:val="16"/>
      <w:szCs w:val="16"/>
    </w:rPr>
  </w:style>
  <w:style w:type="character" w:customStyle="1" w:styleId="BalloonTextChar">
    <w:name w:val="Balloon Text Char"/>
    <w:link w:val="BalloonText"/>
    <w:rsid w:val="008B2D1A"/>
    <w:rPr>
      <w:rFonts w:ascii="Tahoma" w:hAnsi="Tahoma" w:cs="Tahoma"/>
      <w:sz w:val="16"/>
      <w:szCs w:val="16"/>
      <w:lang w:val="en-GB" w:eastAsia="ja-JP"/>
    </w:rPr>
  </w:style>
  <w:style w:type="paragraph" w:styleId="Header">
    <w:name w:val="header"/>
    <w:basedOn w:val="Normal"/>
    <w:link w:val="HeaderChar"/>
    <w:rsid w:val="00BE7117"/>
    <w:pPr>
      <w:tabs>
        <w:tab w:val="center" w:pos="4252"/>
        <w:tab w:val="right" w:pos="8504"/>
      </w:tabs>
    </w:pPr>
  </w:style>
  <w:style w:type="character" w:customStyle="1" w:styleId="HeaderChar">
    <w:name w:val="Header Char"/>
    <w:link w:val="Header"/>
    <w:rsid w:val="00BE7117"/>
    <w:rPr>
      <w:sz w:val="24"/>
      <w:szCs w:val="24"/>
      <w:lang w:val="en-GB" w:eastAsia="ja-JP"/>
    </w:rPr>
  </w:style>
  <w:style w:type="paragraph" w:styleId="Footer">
    <w:name w:val="footer"/>
    <w:basedOn w:val="Normal"/>
    <w:link w:val="FooterChar"/>
    <w:uiPriority w:val="99"/>
    <w:rsid w:val="00BE7117"/>
    <w:pPr>
      <w:tabs>
        <w:tab w:val="center" w:pos="4252"/>
        <w:tab w:val="right" w:pos="8504"/>
      </w:tabs>
    </w:pPr>
  </w:style>
  <w:style w:type="character" w:customStyle="1" w:styleId="FooterChar">
    <w:name w:val="Footer Char"/>
    <w:link w:val="Footer"/>
    <w:uiPriority w:val="99"/>
    <w:rsid w:val="00BE7117"/>
    <w:rPr>
      <w:sz w:val="24"/>
      <w:szCs w:val="24"/>
      <w:lang w:val="en-GB" w:eastAsia="ja-JP"/>
    </w:rPr>
  </w:style>
  <w:style w:type="character" w:styleId="CommentReference">
    <w:name w:val="annotation reference"/>
    <w:uiPriority w:val="99"/>
    <w:rsid w:val="00D7780A"/>
    <w:rPr>
      <w:sz w:val="16"/>
      <w:szCs w:val="16"/>
    </w:rPr>
  </w:style>
  <w:style w:type="paragraph" w:styleId="CommentText">
    <w:name w:val="annotation text"/>
    <w:basedOn w:val="Normal"/>
    <w:link w:val="CommentTextChar"/>
    <w:rsid w:val="00D7780A"/>
    <w:rPr>
      <w:sz w:val="20"/>
      <w:szCs w:val="20"/>
    </w:rPr>
  </w:style>
  <w:style w:type="character" w:customStyle="1" w:styleId="CommentTextChar">
    <w:name w:val="Comment Text Char"/>
    <w:link w:val="CommentText"/>
    <w:rsid w:val="00D7780A"/>
    <w:rPr>
      <w:lang w:eastAsia="ja-JP"/>
    </w:rPr>
  </w:style>
  <w:style w:type="paragraph" w:styleId="CommentSubject">
    <w:name w:val="annotation subject"/>
    <w:basedOn w:val="CommentText"/>
    <w:next w:val="CommentText"/>
    <w:link w:val="CommentSubjectChar"/>
    <w:rsid w:val="00D7780A"/>
    <w:rPr>
      <w:b/>
      <w:bCs/>
    </w:rPr>
  </w:style>
  <w:style w:type="character" w:customStyle="1" w:styleId="CommentSubjectChar">
    <w:name w:val="Comment Subject Char"/>
    <w:link w:val="CommentSubject"/>
    <w:rsid w:val="00D7780A"/>
    <w:rPr>
      <w:b/>
      <w:bCs/>
      <w:lang w:eastAsia="ja-JP"/>
    </w:rPr>
  </w:style>
  <w:style w:type="character" w:customStyle="1" w:styleId="Heading1Char">
    <w:name w:val="Heading 1 Char"/>
    <w:link w:val="Heading1"/>
    <w:rsid w:val="00D65FE7"/>
    <w:rPr>
      <w:rFonts w:ascii="Cambria" w:eastAsia="Times New Roman" w:hAnsi="Cambria"/>
      <w:b/>
      <w:bCs/>
      <w:kern w:val="32"/>
      <w:sz w:val="32"/>
      <w:szCs w:val="32"/>
      <w:lang w:eastAsia="ja-JP"/>
    </w:rPr>
  </w:style>
  <w:style w:type="paragraph" w:styleId="ListParagraph">
    <w:name w:val="List Paragraph"/>
    <w:basedOn w:val="Normal"/>
    <w:uiPriority w:val="34"/>
    <w:qFormat/>
    <w:rsid w:val="002F7C3B"/>
    <w:pPr>
      <w:spacing w:line="276" w:lineRule="auto"/>
      <w:ind w:left="720"/>
      <w:contextualSpacing/>
    </w:pPr>
    <w:rPr>
      <w:rFonts w:eastAsia="Calibri"/>
      <w:szCs w:val="22"/>
      <w:lang w:eastAsia="en-US"/>
    </w:rPr>
  </w:style>
  <w:style w:type="table" w:styleId="LightShading-Accent3">
    <w:name w:val="Light Shading Accent 3"/>
    <w:basedOn w:val="TableNormal"/>
    <w:uiPriority w:val="60"/>
    <w:rsid w:val="00A563AC"/>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ing2Char">
    <w:name w:val="Heading 2 Char"/>
    <w:link w:val="Heading2"/>
    <w:rsid w:val="00413965"/>
    <w:rPr>
      <w:rFonts w:ascii="Cambria" w:eastAsia="Times New Roman" w:hAnsi="Cambria"/>
      <w:b/>
      <w:bCs/>
      <w:i/>
      <w:iCs/>
      <w:sz w:val="28"/>
      <w:szCs w:val="28"/>
      <w:lang w:eastAsia="ja-JP"/>
    </w:rPr>
  </w:style>
  <w:style w:type="table" w:styleId="TableClassic3">
    <w:name w:val="Table Classic 3"/>
    <w:basedOn w:val="TableNormal"/>
    <w:rsid w:val="004D309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4D309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D309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D309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Shading">
    <w:name w:val="Light Shading"/>
    <w:basedOn w:val="TableNormal"/>
    <w:uiPriority w:val="60"/>
    <w:rsid w:val="004D30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309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5">
    <w:name w:val="Light List Accent 5"/>
    <w:basedOn w:val="TableNormal"/>
    <w:uiPriority w:val="61"/>
    <w:rsid w:val="004D309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1-Accent1">
    <w:name w:val="Medium Shading 1 Accent 1"/>
    <w:basedOn w:val="TableNormal"/>
    <w:uiPriority w:val="63"/>
    <w:rsid w:val="004D309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132E4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otnoteTextChar">
    <w:name w:val="Footnote Text Char"/>
    <w:link w:val="FootnoteText"/>
    <w:uiPriority w:val="99"/>
    <w:locked/>
    <w:rsid w:val="0071523B"/>
    <w:rPr>
      <w:lang w:eastAsia="ja-JP"/>
    </w:rPr>
  </w:style>
  <w:style w:type="table" w:styleId="LightList">
    <w:name w:val="Light List"/>
    <w:basedOn w:val="TableNormal"/>
    <w:uiPriority w:val="61"/>
    <w:rsid w:val="0071523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Shading1">
    <w:name w:val="Medium Shading 1"/>
    <w:basedOn w:val="TableNormal"/>
    <w:uiPriority w:val="63"/>
    <w:rsid w:val="0071523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1-Accent1">
    <w:name w:val="Medium Grid 1 Accent 1"/>
    <w:basedOn w:val="TableNormal"/>
    <w:uiPriority w:val="67"/>
    <w:rsid w:val="00E11F9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TableList1">
    <w:name w:val="Table List 1"/>
    <w:basedOn w:val="TableNormal"/>
    <w:rsid w:val="00AE6BD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List1-Accent1">
    <w:name w:val="Medium List 1 Accent 1"/>
    <w:basedOn w:val="TableNormal"/>
    <w:uiPriority w:val="65"/>
    <w:rsid w:val="00AE6BD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TableColumns2">
    <w:name w:val="Table Columns 2"/>
    <w:basedOn w:val="TableNormal"/>
    <w:rsid w:val="0012659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8F77A2"/>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8F77A2"/>
    <w:rPr>
      <w:rFonts w:cs="Times New Roman"/>
      <w:color w:val="auto"/>
    </w:rPr>
  </w:style>
  <w:style w:type="character" w:styleId="Strong">
    <w:name w:val="Strong"/>
    <w:basedOn w:val="DefaultParagraphFont"/>
    <w:rsid w:val="00941F61"/>
    <w:rPr>
      <w:b/>
      <w:bCs/>
    </w:rPr>
  </w:style>
  <w:style w:type="table" w:styleId="LightList-Accent4">
    <w:name w:val="Light List Accent 4"/>
    <w:basedOn w:val="TableNormal"/>
    <w:uiPriority w:val="61"/>
    <w:rsid w:val="00941F61"/>
    <w:rPr>
      <w:rFonts w:asciiTheme="minorHAnsi" w:eastAsiaTheme="minorHAnsi" w:hAnsiTheme="minorHAnsi" w:cstheme="minorBidi"/>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Subtitle">
    <w:name w:val="Subtitle"/>
    <w:basedOn w:val="Normal"/>
    <w:next w:val="Normal"/>
    <w:link w:val="SubtitleChar"/>
    <w:uiPriority w:val="11"/>
    <w:qFormat/>
    <w:rsid w:val="00C37949"/>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uiPriority w:val="11"/>
    <w:rsid w:val="00C37949"/>
    <w:rPr>
      <w:rFonts w:asciiTheme="majorHAnsi" w:eastAsiaTheme="majorEastAsia" w:hAnsiTheme="majorHAnsi" w:cstheme="majorBidi"/>
      <w:i/>
      <w:iCs/>
      <w:color w:val="4F81BD" w:themeColor="accent1"/>
      <w:spacing w:val="15"/>
      <w:sz w:val="24"/>
      <w:szCs w:val="24"/>
      <w:lang w:eastAsia="en-US"/>
    </w:rPr>
  </w:style>
  <w:style w:type="table" w:styleId="MediumShading2-Accent4">
    <w:name w:val="Medium Shading 2 Accent 4"/>
    <w:basedOn w:val="TableNormal"/>
    <w:uiPriority w:val="64"/>
    <w:rsid w:val="00321485"/>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8">
    <w:name w:val="A8"/>
    <w:uiPriority w:val="99"/>
    <w:rsid w:val="00323972"/>
    <w:rPr>
      <w:rFonts w:cs="Minion Pro"/>
      <w:color w:val="000000"/>
      <w:sz w:val="19"/>
      <w:szCs w:val="19"/>
    </w:rPr>
  </w:style>
  <w:style w:type="table" w:styleId="LightShading-Accent4">
    <w:name w:val="Light Shading Accent 4"/>
    <w:basedOn w:val="TableNormal"/>
    <w:uiPriority w:val="60"/>
    <w:rsid w:val="00517A1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55FF"/>
    <w:pPr>
      <w:spacing w:after="120"/>
      <w:jc w:val="both"/>
    </w:pPr>
    <w:rPr>
      <w:sz w:val="24"/>
      <w:szCs w:val="24"/>
      <w:lang w:eastAsia="ja-JP"/>
    </w:rPr>
  </w:style>
  <w:style w:type="paragraph" w:styleId="Heading1">
    <w:name w:val="heading 1"/>
    <w:basedOn w:val="Normal"/>
    <w:next w:val="Normal"/>
    <w:link w:val="Heading1Char"/>
    <w:qFormat/>
    <w:rsid w:val="00D65FE7"/>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413965"/>
    <w:pPr>
      <w:keepNext/>
      <w:numPr>
        <w:numId w:val="2"/>
      </w:numPr>
      <w:spacing w:before="240" w:after="60"/>
      <w:outlineLvl w:val="1"/>
    </w:pPr>
    <w:rPr>
      <w:rFonts w:ascii="Cambria" w:eastAsia="Times New Roman" w:hAnsi="Cambria"/>
      <w:b/>
      <w:bCs/>
      <w:i/>
      <w:iCs/>
      <w:sz w:val="28"/>
      <w:szCs w:val="28"/>
    </w:rPr>
  </w:style>
  <w:style w:type="paragraph" w:styleId="Heading3">
    <w:name w:val="heading 3"/>
    <w:basedOn w:val="Normal"/>
    <w:next w:val="Normal"/>
    <w:uiPriority w:val="9"/>
    <w:qFormat/>
    <w:rsid w:val="000C7F70"/>
    <w:pPr>
      <w:keepNext/>
      <w:spacing w:before="240" w:after="60"/>
      <w:outlineLvl w:val="2"/>
    </w:pPr>
    <w:rPr>
      <w:rFonts w:ascii="Arial" w:hAnsi="Arial" w:cs="Arial"/>
      <w:b/>
      <w:bCs/>
      <w:sz w:val="26"/>
      <w:szCs w:val="26"/>
    </w:rPr>
  </w:style>
  <w:style w:type="paragraph" w:styleId="Heading4">
    <w:name w:val="heading 4"/>
    <w:aliases w:val="Title 4"/>
    <w:basedOn w:val="Heading3"/>
    <w:next w:val="Normal"/>
    <w:qFormat/>
    <w:rsid w:val="00970645"/>
    <w:pPr>
      <w:tabs>
        <w:tab w:val="left" w:pos="425"/>
      </w:tabs>
      <w:outlineLvl w:val="3"/>
    </w:pPr>
    <w:rPr>
      <w:rFonts w:ascii="Times New Roman" w:eastAsia="Times New Roman" w:hAnsi="Times New Roman"/>
      <w:bCs w:val="0"/>
      <w:i/>
      <w:color w:val="000000"/>
      <w:kern w:val="36"/>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s">
    <w:name w:val="Names"/>
    <w:basedOn w:val="Normal"/>
    <w:rsid w:val="000C7F70"/>
    <w:rPr>
      <w:rFonts w:eastAsia="Times New Roman"/>
      <w:b/>
      <w:i/>
      <w:szCs w:val="20"/>
      <w:lang w:eastAsia="es-ES"/>
    </w:rPr>
  </w:style>
  <w:style w:type="paragraph" w:customStyle="1" w:styleId="AbstractText">
    <w:name w:val="AbstractText"/>
    <w:basedOn w:val="Normal"/>
    <w:rsid w:val="000C7F70"/>
    <w:pPr>
      <w:autoSpaceDE w:val="0"/>
      <w:autoSpaceDN w:val="0"/>
      <w:adjustRightInd w:val="0"/>
      <w:spacing w:before="120"/>
    </w:pPr>
    <w:rPr>
      <w:rFonts w:eastAsia="Times New Roman" w:cs="Arial"/>
      <w:szCs w:val="20"/>
      <w:lang w:eastAsia="es-ES"/>
    </w:rPr>
  </w:style>
  <w:style w:type="character" w:styleId="Hyperlink">
    <w:name w:val="Hyperlink"/>
    <w:rsid w:val="000C7F70"/>
    <w:rPr>
      <w:color w:val="0000FF"/>
      <w:u w:val="single"/>
    </w:rPr>
  </w:style>
  <w:style w:type="table" w:styleId="TableGrid">
    <w:name w:val="Table Grid"/>
    <w:basedOn w:val="TableNormal"/>
    <w:rsid w:val="00240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2407F9"/>
    <w:rPr>
      <w:sz w:val="20"/>
      <w:szCs w:val="20"/>
    </w:rPr>
  </w:style>
  <w:style w:type="character" w:styleId="FootnoteReference">
    <w:name w:val="footnote reference"/>
    <w:uiPriority w:val="99"/>
    <w:rsid w:val="002407F9"/>
    <w:rPr>
      <w:vertAlign w:val="superscript"/>
    </w:rPr>
  </w:style>
  <w:style w:type="paragraph" w:styleId="BalloonText">
    <w:name w:val="Balloon Text"/>
    <w:basedOn w:val="Normal"/>
    <w:link w:val="BalloonTextChar"/>
    <w:rsid w:val="008B2D1A"/>
    <w:rPr>
      <w:rFonts w:ascii="Tahoma" w:hAnsi="Tahoma" w:cs="Tahoma"/>
      <w:sz w:val="16"/>
      <w:szCs w:val="16"/>
    </w:rPr>
  </w:style>
  <w:style w:type="character" w:customStyle="1" w:styleId="BalloonTextChar">
    <w:name w:val="Balloon Text Char"/>
    <w:link w:val="BalloonText"/>
    <w:rsid w:val="008B2D1A"/>
    <w:rPr>
      <w:rFonts w:ascii="Tahoma" w:hAnsi="Tahoma" w:cs="Tahoma"/>
      <w:sz w:val="16"/>
      <w:szCs w:val="16"/>
      <w:lang w:val="en-GB" w:eastAsia="ja-JP"/>
    </w:rPr>
  </w:style>
  <w:style w:type="paragraph" w:styleId="Header">
    <w:name w:val="header"/>
    <w:basedOn w:val="Normal"/>
    <w:link w:val="HeaderChar"/>
    <w:rsid w:val="00BE7117"/>
    <w:pPr>
      <w:tabs>
        <w:tab w:val="center" w:pos="4252"/>
        <w:tab w:val="right" w:pos="8504"/>
      </w:tabs>
    </w:pPr>
  </w:style>
  <w:style w:type="character" w:customStyle="1" w:styleId="HeaderChar">
    <w:name w:val="Header Char"/>
    <w:link w:val="Header"/>
    <w:rsid w:val="00BE7117"/>
    <w:rPr>
      <w:sz w:val="24"/>
      <w:szCs w:val="24"/>
      <w:lang w:val="en-GB" w:eastAsia="ja-JP"/>
    </w:rPr>
  </w:style>
  <w:style w:type="paragraph" w:styleId="Footer">
    <w:name w:val="footer"/>
    <w:basedOn w:val="Normal"/>
    <w:link w:val="FooterChar"/>
    <w:uiPriority w:val="99"/>
    <w:rsid w:val="00BE7117"/>
    <w:pPr>
      <w:tabs>
        <w:tab w:val="center" w:pos="4252"/>
        <w:tab w:val="right" w:pos="8504"/>
      </w:tabs>
    </w:pPr>
  </w:style>
  <w:style w:type="character" w:customStyle="1" w:styleId="FooterChar">
    <w:name w:val="Footer Char"/>
    <w:link w:val="Footer"/>
    <w:uiPriority w:val="99"/>
    <w:rsid w:val="00BE7117"/>
    <w:rPr>
      <w:sz w:val="24"/>
      <w:szCs w:val="24"/>
      <w:lang w:val="en-GB" w:eastAsia="ja-JP"/>
    </w:rPr>
  </w:style>
  <w:style w:type="character" w:styleId="CommentReference">
    <w:name w:val="annotation reference"/>
    <w:uiPriority w:val="99"/>
    <w:rsid w:val="00D7780A"/>
    <w:rPr>
      <w:sz w:val="16"/>
      <w:szCs w:val="16"/>
    </w:rPr>
  </w:style>
  <w:style w:type="paragraph" w:styleId="CommentText">
    <w:name w:val="annotation text"/>
    <w:basedOn w:val="Normal"/>
    <w:link w:val="CommentTextChar"/>
    <w:rsid w:val="00D7780A"/>
    <w:rPr>
      <w:sz w:val="20"/>
      <w:szCs w:val="20"/>
    </w:rPr>
  </w:style>
  <w:style w:type="character" w:customStyle="1" w:styleId="CommentTextChar">
    <w:name w:val="Comment Text Char"/>
    <w:link w:val="CommentText"/>
    <w:rsid w:val="00D7780A"/>
    <w:rPr>
      <w:lang w:eastAsia="ja-JP"/>
    </w:rPr>
  </w:style>
  <w:style w:type="paragraph" w:styleId="CommentSubject">
    <w:name w:val="annotation subject"/>
    <w:basedOn w:val="CommentText"/>
    <w:next w:val="CommentText"/>
    <w:link w:val="CommentSubjectChar"/>
    <w:rsid w:val="00D7780A"/>
    <w:rPr>
      <w:b/>
      <w:bCs/>
    </w:rPr>
  </w:style>
  <w:style w:type="character" w:customStyle="1" w:styleId="CommentSubjectChar">
    <w:name w:val="Comment Subject Char"/>
    <w:link w:val="CommentSubject"/>
    <w:rsid w:val="00D7780A"/>
    <w:rPr>
      <w:b/>
      <w:bCs/>
      <w:lang w:eastAsia="ja-JP"/>
    </w:rPr>
  </w:style>
  <w:style w:type="character" w:customStyle="1" w:styleId="Heading1Char">
    <w:name w:val="Heading 1 Char"/>
    <w:link w:val="Heading1"/>
    <w:rsid w:val="00D65FE7"/>
    <w:rPr>
      <w:rFonts w:ascii="Cambria" w:eastAsia="Times New Roman" w:hAnsi="Cambria"/>
      <w:b/>
      <w:bCs/>
      <w:kern w:val="32"/>
      <w:sz w:val="32"/>
      <w:szCs w:val="32"/>
      <w:lang w:eastAsia="ja-JP"/>
    </w:rPr>
  </w:style>
  <w:style w:type="paragraph" w:styleId="ListParagraph">
    <w:name w:val="List Paragraph"/>
    <w:basedOn w:val="Normal"/>
    <w:uiPriority w:val="34"/>
    <w:qFormat/>
    <w:rsid w:val="002F7C3B"/>
    <w:pPr>
      <w:spacing w:line="276" w:lineRule="auto"/>
      <w:ind w:left="720"/>
      <w:contextualSpacing/>
    </w:pPr>
    <w:rPr>
      <w:rFonts w:eastAsia="Calibri"/>
      <w:szCs w:val="22"/>
      <w:lang w:eastAsia="en-US"/>
    </w:rPr>
  </w:style>
  <w:style w:type="table" w:styleId="LightShading-Accent3">
    <w:name w:val="Light Shading Accent 3"/>
    <w:basedOn w:val="TableNormal"/>
    <w:uiPriority w:val="60"/>
    <w:rsid w:val="00A563AC"/>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ing2Char">
    <w:name w:val="Heading 2 Char"/>
    <w:link w:val="Heading2"/>
    <w:rsid w:val="00413965"/>
    <w:rPr>
      <w:rFonts w:ascii="Cambria" w:eastAsia="Times New Roman" w:hAnsi="Cambria"/>
      <w:b/>
      <w:bCs/>
      <w:i/>
      <w:iCs/>
      <w:sz w:val="28"/>
      <w:szCs w:val="28"/>
      <w:lang w:eastAsia="ja-JP"/>
    </w:rPr>
  </w:style>
  <w:style w:type="table" w:styleId="TableClassic3">
    <w:name w:val="Table Classic 3"/>
    <w:basedOn w:val="TableNormal"/>
    <w:rsid w:val="004D309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4D309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D309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D309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Shading">
    <w:name w:val="Light Shading"/>
    <w:basedOn w:val="TableNormal"/>
    <w:uiPriority w:val="60"/>
    <w:rsid w:val="004D30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309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5">
    <w:name w:val="Light List Accent 5"/>
    <w:basedOn w:val="TableNormal"/>
    <w:uiPriority w:val="61"/>
    <w:rsid w:val="004D309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1-Accent1">
    <w:name w:val="Medium Shading 1 Accent 1"/>
    <w:basedOn w:val="TableNormal"/>
    <w:uiPriority w:val="63"/>
    <w:rsid w:val="004D309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132E4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otnoteTextChar">
    <w:name w:val="Footnote Text Char"/>
    <w:link w:val="FootnoteText"/>
    <w:uiPriority w:val="99"/>
    <w:locked/>
    <w:rsid w:val="0071523B"/>
    <w:rPr>
      <w:lang w:eastAsia="ja-JP"/>
    </w:rPr>
  </w:style>
  <w:style w:type="table" w:styleId="LightList">
    <w:name w:val="Light List"/>
    <w:basedOn w:val="TableNormal"/>
    <w:uiPriority w:val="61"/>
    <w:rsid w:val="0071523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Shading1">
    <w:name w:val="Medium Shading 1"/>
    <w:basedOn w:val="TableNormal"/>
    <w:uiPriority w:val="63"/>
    <w:rsid w:val="0071523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1-Accent1">
    <w:name w:val="Medium Grid 1 Accent 1"/>
    <w:basedOn w:val="TableNormal"/>
    <w:uiPriority w:val="67"/>
    <w:rsid w:val="00E11F9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TableList1">
    <w:name w:val="Table List 1"/>
    <w:basedOn w:val="TableNormal"/>
    <w:rsid w:val="00AE6BD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List1-Accent1">
    <w:name w:val="Medium List 1 Accent 1"/>
    <w:basedOn w:val="TableNormal"/>
    <w:uiPriority w:val="65"/>
    <w:rsid w:val="00AE6BD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TableColumns2">
    <w:name w:val="Table Columns 2"/>
    <w:basedOn w:val="TableNormal"/>
    <w:rsid w:val="0012659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8F77A2"/>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8F77A2"/>
    <w:rPr>
      <w:rFonts w:cs="Times New Roman"/>
      <w:color w:val="auto"/>
    </w:rPr>
  </w:style>
  <w:style w:type="character" w:styleId="Strong">
    <w:name w:val="Strong"/>
    <w:basedOn w:val="DefaultParagraphFont"/>
    <w:rsid w:val="00941F61"/>
    <w:rPr>
      <w:b/>
      <w:bCs/>
    </w:rPr>
  </w:style>
  <w:style w:type="table" w:styleId="LightList-Accent4">
    <w:name w:val="Light List Accent 4"/>
    <w:basedOn w:val="TableNormal"/>
    <w:uiPriority w:val="61"/>
    <w:rsid w:val="00941F61"/>
    <w:rPr>
      <w:rFonts w:asciiTheme="minorHAnsi" w:eastAsiaTheme="minorHAnsi" w:hAnsiTheme="minorHAnsi" w:cstheme="minorBidi"/>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Subtitle">
    <w:name w:val="Subtitle"/>
    <w:basedOn w:val="Normal"/>
    <w:next w:val="Normal"/>
    <w:link w:val="SubtitleChar"/>
    <w:uiPriority w:val="11"/>
    <w:qFormat/>
    <w:rsid w:val="00C37949"/>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uiPriority w:val="11"/>
    <w:rsid w:val="00C37949"/>
    <w:rPr>
      <w:rFonts w:asciiTheme="majorHAnsi" w:eastAsiaTheme="majorEastAsia" w:hAnsiTheme="majorHAnsi" w:cstheme="majorBidi"/>
      <w:i/>
      <w:iCs/>
      <w:color w:val="4F81BD" w:themeColor="accent1"/>
      <w:spacing w:val="15"/>
      <w:sz w:val="24"/>
      <w:szCs w:val="24"/>
      <w:lang w:eastAsia="en-US"/>
    </w:rPr>
  </w:style>
  <w:style w:type="table" w:styleId="MediumShading2-Accent4">
    <w:name w:val="Medium Shading 2 Accent 4"/>
    <w:basedOn w:val="TableNormal"/>
    <w:uiPriority w:val="64"/>
    <w:rsid w:val="00321485"/>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8">
    <w:name w:val="A8"/>
    <w:uiPriority w:val="99"/>
    <w:rsid w:val="00323972"/>
    <w:rPr>
      <w:rFonts w:cs="Minion Pro"/>
      <w:color w:val="000000"/>
      <w:sz w:val="19"/>
      <w:szCs w:val="19"/>
    </w:rPr>
  </w:style>
  <w:style w:type="table" w:styleId="LightShading-Accent4">
    <w:name w:val="Light Shading Accent 4"/>
    <w:basedOn w:val="TableNormal"/>
    <w:uiPriority w:val="60"/>
    <w:rsid w:val="00517A1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9052">
      <w:bodyDiv w:val="1"/>
      <w:marLeft w:val="0"/>
      <w:marRight w:val="0"/>
      <w:marTop w:val="0"/>
      <w:marBottom w:val="0"/>
      <w:divBdr>
        <w:top w:val="none" w:sz="0" w:space="0" w:color="auto"/>
        <w:left w:val="none" w:sz="0" w:space="0" w:color="auto"/>
        <w:bottom w:val="none" w:sz="0" w:space="0" w:color="auto"/>
        <w:right w:val="none" w:sz="0" w:space="0" w:color="auto"/>
      </w:divBdr>
    </w:div>
    <w:div w:id="17123553">
      <w:bodyDiv w:val="1"/>
      <w:marLeft w:val="0"/>
      <w:marRight w:val="0"/>
      <w:marTop w:val="0"/>
      <w:marBottom w:val="0"/>
      <w:divBdr>
        <w:top w:val="none" w:sz="0" w:space="0" w:color="auto"/>
        <w:left w:val="none" w:sz="0" w:space="0" w:color="auto"/>
        <w:bottom w:val="none" w:sz="0" w:space="0" w:color="auto"/>
        <w:right w:val="none" w:sz="0" w:space="0" w:color="auto"/>
      </w:divBdr>
    </w:div>
    <w:div w:id="19363371">
      <w:bodyDiv w:val="1"/>
      <w:marLeft w:val="0"/>
      <w:marRight w:val="0"/>
      <w:marTop w:val="0"/>
      <w:marBottom w:val="0"/>
      <w:divBdr>
        <w:top w:val="none" w:sz="0" w:space="0" w:color="auto"/>
        <w:left w:val="none" w:sz="0" w:space="0" w:color="auto"/>
        <w:bottom w:val="none" w:sz="0" w:space="0" w:color="auto"/>
        <w:right w:val="none" w:sz="0" w:space="0" w:color="auto"/>
      </w:divBdr>
    </w:div>
    <w:div w:id="352607514">
      <w:bodyDiv w:val="1"/>
      <w:marLeft w:val="0"/>
      <w:marRight w:val="0"/>
      <w:marTop w:val="0"/>
      <w:marBottom w:val="0"/>
      <w:divBdr>
        <w:top w:val="none" w:sz="0" w:space="0" w:color="auto"/>
        <w:left w:val="none" w:sz="0" w:space="0" w:color="auto"/>
        <w:bottom w:val="none" w:sz="0" w:space="0" w:color="auto"/>
        <w:right w:val="none" w:sz="0" w:space="0" w:color="auto"/>
      </w:divBdr>
    </w:div>
    <w:div w:id="594292719">
      <w:bodyDiv w:val="1"/>
      <w:marLeft w:val="0"/>
      <w:marRight w:val="0"/>
      <w:marTop w:val="0"/>
      <w:marBottom w:val="0"/>
      <w:divBdr>
        <w:top w:val="none" w:sz="0" w:space="0" w:color="auto"/>
        <w:left w:val="none" w:sz="0" w:space="0" w:color="auto"/>
        <w:bottom w:val="none" w:sz="0" w:space="0" w:color="auto"/>
        <w:right w:val="none" w:sz="0" w:space="0" w:color="auto"/>
      </w:divBdr>
    </w:div>
    <w:div w:id="841042874">
      <w:bodyDiv w:val="1"/>
      <w:marLeft w:val="0"/>
      <w:marRight w:val="0"/>
      <w:marTop w:val="0"/>
      <w:marBottom w:val="0"/>
      <w:divBdr>
        <w:top w:val="none" w:sz="0" w:space="0" w:color="auto"/>
        <w:left w:val="none" w:sz="0" w:space="0" w:color="auto"/>
        <w:bottom w:val="none" w:sz="0" w:space="0" w:color="auto"/>
        <w:right w:val="none" w:sz="0" w:space="0" w:color="auto"/>
      </w:divBdr>
    </w:div>
    <w:div w:id="1207058537">
      <w:bodyDiv w:val="1"/>
      <w:marLeft w:val="0"/>
      <w:marRight w:val="0"/>
      <w:marTop w:val="0"/>
      <w:marBottom w:val="0"/>
      <w:divBdr>
        <w:top w:val="none" w:sz="0" w:space="0" w:color="auto"/>
        <w:left w:val="none" w:sz="0" w:space="0" w:color="auto"/>
        <w:bottom w:val="none" w:sz="0" w:space="0" w:color="auto"/>
        <w:right w:val="none" w:sz="0" w:space="0" w:color="auto"/>
      </w:divBdr>
    </w:div>
    <w:div w:id="1339503920">
      <w:bodyDiv w:val="1"/>
      <w:marLeft w:val="0"/>
      <w:marRight w:val="0"/>
      <w:marTop w:val="0"/>
      <w:marBottom w:val="0"/>
      <w:divBdr>
        <w:top w:val="none" w:sz="0" w:space="0" w:color="auto"/>
        <w:left w:val="none" w:sz="0" w:space="0" w:color="auto"/>
        <w:bottom w:val="none" w:sz="0" w:space="0" w:color="auto"/>
        <w:right w:val="none" w:sz="0" w:space="0" w:color="auto"/>
      </w:divBdr>
    </w:div>
    <w:div w:id="1401556533">
      <w:bodyDiv w:val="1"/>
      <w:marLeft w:val="0"/>
      <w:marRight w:val="0"/>
      <w:marTop w:val="0"/>
      <w:marBottom w:val="0"/>
      <w:divBdr>
        <w:top w:val="none" w:sz="0" w:space="0" w:color="auto"/>
        <w:left w:val="none" w:sz="0" w:space="0" w:color="auto"/>
        <w:bottom w:val="none" w:sz="0" w:space="0" w:color="auto"/>
        <w:right w:val="none" w:sz="0" w:space="0" w:color="auto"/>
      </w:divBdr>
    </w:div>
    <w:div w:id="1464076890">
      <w:bodyDiv w:val="1"/>
      <w:marLeft w:val="0"/>
      <w:marRight w:val="0"/>
      <w:marTop w:val="0"/>
      <w:marBottom w:val="0"/>
      <w:divBdr>
        <w:top w:val="none" w:sz="0" w:space="0" w:color="auto"/>
        <w:left w:val="none" w:sz="0" w:space="0" w:color="auto"/>
        <w:bottom w:val="none" w:sz="0" w:space="0" w:color="auto"/>
        <w:right w:val="none" w:sz="0" w:space="0" w:color="auto"/>
      </w:divBdr>
      <w:divsChild>
        <w:div w:id="133331151">
          <w:marLeft w:val="1886"/>
          <w:marRight w:val="0"/>
          <w:marTop w:val="67"/>
          <w:marBottom w:val="0"/>
          <w:divBdr>
            <w:top w:val="none" w:sz="0" w:space="0" w:color="auto"/>
            <w:left w:val="none" w:sz="0" w:space="0" w:color="auto"/>
            <w:bottom w:val="none" w:sz="0" w:space="0" w:color="auto"/>
            <w:right w:val="none" w:sz="0" w:space="0" w:color="auto"/>
          </w:divBdr>
        </w:div>
        <w:div w:id="644892479">
          <w:marLeft w:val="1886"/>
          <w:marRight w:val="0"/>
          <w:marTop w:val="67"/>
          <w:marBottom w:val="0"/>
          <w:divBdr>
            <w:top w:val="none" w:sz="0" w:space="0" w:color="auto"/>
            <w:left w:val="none" w:sz="0" w:space="0" w:color="auto"/>
            <w:bottom w:val="none" w:sz="0" w:space="0" w:color="auto"/>
            <w:right w:val="none" w:sz="0" w:space="0" w:color="auto"/>
          </w:divBdr>
        </w:div>
        <w:div w:id="1339042159">
          <w:marLeft w:val="1886"/>
          <w:marRight w:val="0"/>
          <w:marTop w:val="67"/>
          <w:marBottom w:val="0"/>
          <w:divBdr>
            <w:top w:val="none" w:sz="0" w:space="0" w:color="auto"/>
            <w:left w:val="none" w:sz="0" w:space="0" w:color="auto"/>
            <w:bottom w:val="none" w:sz="0" w:space="0" w:color="auto"/>
            <w:right w:val="none" w:sz="0" w:space="0" w:color="auto"/>
          </w:divBdr>
        </w:div>
        <w:div w:id="1400639895">
          <w:marLeft w:val="1886"/>
          <w:marRight w:val="0"/>
          <w:marTop w:val="67"/>
          <w:marBottom w:val="0"/>
          <w:divBdr>
            <w:top w:val="none" w:sz="0" w:space="0" w:color="auto"/>
            <w:left w:val="none" w:sz="0" w:space="0" w:color="auto"/>
            <w:bottom w:val="none" w:sz="0" w:space="0" w:color="auto"/>
            <w:right w:val="none" w:sz="0" w:space="0" w:color="auto"/>
          </w:divBdr>
        </w:div>
        <w:div w:id="1808742229">
          <w:marLeft w:val="1166"/>
          <w:marRight w:val="0"/>
          <w:marTop w:val="96"/>
          <w:marBottom w:val="0"/>
          <w:divBdr>
            <w:top w:val="none" w:sz="0" w:space="0" w:color="auto"/>
            <w:left w:val="none" w:sz="0" w:space="0" w:color="auto"/>
            <w:bottom w:val="none" w:sz="0" w:space="0" w:color="auto"/>
            <w:right w:val="none" w:sz="0" w:space="0" w:color="auto"/>
          </w:divBdr>
        </w:div>
      </w:divsChild>
    </w:div>
    <w:div w:id="1565678581">
      <w:bodyDiv w:val="1"/>
      <w:marLeft w:val="0"/>
      <w:marRight w:val="0"/>
      <w:marTop w:val="0"/>
      <w:marBottom w:val="0"/>
      <w:divBdr>
        <w:top w:val="none" w:sz="0" w:space="0" w:color="auto"/>
        <w:left w:val="none" w:sz="0" w:space="0" w:color="auto"/>
        <w:bottom w:val="none" w:sz="0" w:space="0" w:color="auto"/>
        <w:right w:val="none" w:sz="0" w:space="0" w:color="auto"/>
      </w:divBdr>
    </w:div>
    <w:div w:id="1682967737">
      <w:bodyDiv w:val="1"/>
      <w:marLeft w:val="0"/>
      <w:marRight w:val="0"/>
      <w:marTop w:val="0"/>
      <w:marBottom w:val="0"/>
      <w:divBdr>
        <w:top w:val="none" w:sz="0" w:space="0" w:color="auto"/>
        <w:left w:val="none" w:sz="0" w:space="0" w:color="auto"/>
        <w:bottom w:val="none" w:sz="0" w:space="0" w:color="auto"/>
        <w:right w:val="none" w:sz="0" w:space="0" w:color="auto"/>
      </w:divBdr>
    </w:div>
    <w:div w:id="204906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isabelle.remond-tiedrez@ec.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ioa.org/news_and_links/newsletters/Newsletter29Feb15-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A2C88-D17B-4A48-9634-EAEB343E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9</Pages>
  <Words>3242</Words>
  <Characters>18485</Characters>
  <Application>Microsoft Office Word</Application>
  <DocSecurity>0</DocSecurity>
  <Lines>154</Lines>
  <Paragraphs>43</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A consolidated European Union and Euro Area</vt:lpstr>
      <vt:lpstr>A consolidated European Union and Euro Area</vt:lpstr>
      <vt:lpstr>A consolidated European Union and Euro Area</vt:lpstr>
    </vt:vector>
  </TitlesOfParts>
  <Company>European Commission</Company>
  <LinksUpToDate>false</LinksUpToDate>
  <CharactersWithSpaces>21684</CharactersWithSpaces>
  <SharedDoc>false</SharedDoc>
  <HLinks>
    <vt:vector size="66" baseType="variant">
      <vt:variant>
        <vt:i4>8192039</vt:i4>
      </vt:variant>
      <vt:variant>
        <vt:i4>30</vt:i4>
      </vt:variant>
      <vt:variant>
        <vt:i4>0</vt:i4>
      </vt:variant>
      <vt:variant>
        <vt:i4>5</vt:i4>
      </vt:variant>
      <vt:variant>
        <vt:lpwstr>http://epp.eurostat.ec.europa.eu/portal/page/portal/esa95_supply_use_input_tables/data/workbooks</vt:lpwstr>
      </vt:variant>
      <vt:variant>
        <vt:lpwstr/>
      </vt:variant>
      <vt:variant>
        <vt:i4>458822</vt:i4>
      </vt:variant>
      <vt:variant>
        <vt:i4>27</vt:i4>
      </vt:variant>
      <vt:variant>
        <vt:i4>0</vt:i4>
      </vt:variant>
      <vt:variant>
        <vt:i4>5</vt:i4>
      </vt:variant>
      <vt:variant>
        <vt:lpwstr>http://epp.eurostat.ec.europa.eu/portal/page/portal/esa95_supply_use_input_tables/data/database</vt:lpwstr>
      </vt:variant>
      <vt:variant>
        <vt:lpwstr/>
      </vt:variant>
      <vt:variant>
        <vt:i4>6160392</vt:i4>
      </vt:variant>
      <vt:variant>
        <vt:i4>21</vt:i4>
      </vt:variant>
      <vt:variant>
        <vt:i4>0</vt:i4>
      </vt:variant>
      <vt:variant>
        <vt:i4>5</vt:i4>
      </vt:variant>
      <vt:variant>
        <vt:lpwstr/>
      </vt:variant>
      <vt:variant>
        <vt:lpwstr>_Input-output_analysis</vt:lpwstr>
      </vt:variant>
      <vt:variant>
        <vt:i4>524299</vt:i4>
      </vt:variant>
      <vt:variant>
        <vt:i4>18</vt:i4>
      </vt:variant>
      <vt:variant>
        <vt:i4>0</vt:i4>
      </vt:variant>
      <vt:variant>
        <vt:i4>5</vt:i4>
      </vt:variant>
      <vt:variant>
        <vt:lpwstr/>
      </vt:variant>
      <vt:variant>
        <vt:lpwstr>_Consolidation_steps</vt:lpwstr>
      </vt:variant>
      <vt:variant>
        <vt:i4>3866638</vt:i4>
      </vt:variant>
      <vt:variant>
        <vt:i4>15</vt:i4>
      </vt:variant>
      <vt:variant>
        <vt:i4>0</vt:i4>
      </vt:variant>
      <vt:variant>
        <vt:i4>5</vt:i4>
      </vt:variant>
      <vt:variant>
        <vt:lpwstr/>
      </vt:variant>
      <vt:variant>
        <vt:lpwstr>_Availability_of_national</vt:lpwstr>
      </vt:variant>
      <vt:variant>
        <vt:i4>6357061</vt:i4>
      </vt:variant>
      <vt:variant>
        <vt:i4>12</vt:i4>
      </vt:variant>
      <vt:variant>
        <vt:i4>0</vt:i4>
      </vt:variant>
      <vt:variant>
        <vt:i4>5</vt:i4>
      </vt:variant>
      <vt:variant>
        <vt:lpwstr>mailto:antoniof.amores@ec.europa.eu</vt:lpwstr>
      </vt:variant>
      <vt:variant>
        <vt:lpwstr/>
      </vt:variant>
      <vt:variant>
        <vt:i4>1507430</vt:i4>
      </vt:variant>
      <vt:variant>
        <vt:i4>9</vt:i4>
      </vt:variant>
      <vt:variant>
        <vt:i4>0</vt:i4>
      </vt:variant>
      <vt:variant>
        <vt:i4>5</vt:i4>
      </vt:variant>
      <vt:variant>
        <vt:lpwstr>mailto:beutel@htwg-konstanz.de</vt:lpwstr>
      </vt:variant>
      <vt:variant>
        <vt:lpwstr/>
      </vt:variant>
      <vt:variant>
        <vt:i4>1245216</vt:i4>
      </vt:variant>
      <vt:variant>
        <vt:i4>6</vt:i4>
      </vt:variant>
      <vt:variant>
        <vt:i4>0</vt:i4>
      </vt:variant>
      <vt:variant>
        <vt:i4>5</vt:i4>
      </vt:variant>
      <vt:variant>
        <vt:lpwstr>mailto:jmruecan@upo.es</vt:lpwstr>
      </vt:variant>
      <vt:variant>
        <vt:lpwstr/>
      </vt:variant>
      <vt:variant>
        <vt:i4>6094908</vt:i4>
      </vt:variant>
      <vt:variant>
        <vt:i4>3</vt:i4>
      </vt:variant>
      <vt:variant>
        <vt:i4>0</vt:i4>
      </vt:variant>
      <vt:variant>
        <vt:i4>5</vt:i4>
      </vt:variant>
      <vt:variant>
        <vt:lpwstr>mailto:Silke.stapel-weber@ec.europa.eu</vt:lpwstr>
      </vt:variant>
      <vt:variant>
        <vt:lpwstr/>
      </vt:variant>
      <vt:variant>
        <vt:i4>7274508</vt:i4>
      </vt:variant>
      <vt:variant>
        <vt:i4>0</vt:i4>
      </vt:variant>
      <vt:variant>
        <vt:i4>0</vt:i4>
      </vt:variant>
      <vt:variant>
        <vt:i4>5</vt:i4>
      </vt:variant>
      <vt:variant>
        <vt:lpwstr>mailto:isabelle.remond-tiedrez@ec.europa.eu</vt:lpwstr>
      </vt:variant>
      <vt:variant>
        <vt:lpwstr/>
      </vt:variant>
      <vt:variant>
        <vt:i4>589884</vt:i4>
      </vt:variant>
      <vt:variant>
        <vt:i4>0</vt:i4>
      </vt:variant>
      <vt:variant>
        <vt:i4>0</vt:i4>
      </vt:variant>
      <vt:variant>
        <vt:i4>5</vt:i4>
      </vt:variant>
      <vt:variant>
        <vt:lpwstr>http://epp.eurostat.ec.europa.eu/cache/ITY_OFFPUB/KS-SF-11-022/EN/KS-SF-11-022-EN.PDF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consolidated European Union and Euro Area</dc:title>
  <dc:creator>José Manuel Rueda-Cantuche</dc:creator>
  <cp:lastModifiedBy>REMOND-TIEDREZ Isabelle (ESTAT)</cp:lastModifiedBy>
  <cp:revision>32</cp:revision>
  <cp:lastPrinted>2013-03-15T13:36:00Z</cp:lastPrinted>
  <dcterms:created xsi:type="dcterms:W3CDTF">2015-04-14T12:07:00Z</dcterms:created>
  <dcterms:modified xsi:type="dcterms:W3CDTF">2015-04-15T07:11:00Z</dcterms:modified>
</cp:coreProperties>
</file>