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70" w:rsidRPr="00ED7A20" w:rsidRDefault="00D01EB4" w:rsidP="000C7F70">
      <w:pPr>
        <w:pStyle w:val="Names"/>
        <w:jc w:val="center"/>
        <w:rPr>
          <w:rFonts w:ascii="Century Schoolbook" w:hAnsi="Century Schoolbook" w:cs="Times-Bold"/>
          <w:sz w:val="36"/>
          <w:szCs w:val="36"/>
        </w:rPr>
      </w:pPr>
      <w:r>
        <w:rPr>
          <w:rFonts w:ascii="Century Schoolbook" w:hAnsi="Century Schoolbook" w:cs="Times-Bold"/>
          <w:sz w:val="36"/>
          <w:szCs w:val="36"/>
        </w:rPr>
        <w:t>Review of European methodologies for Supply, Use and Input-Output Tables compilation in ESA2010</w:t>
      </w:r>
    </w:p>
    <w:p w:rsidR="000658F8" w:rsidRPr="00ED7A20" w:rsidRDefault="000658F8" w:rsidP="000C7F70">
      <w:pPr>
        <w:pStyle w:val="Names"/>
        <w:jc w:val="center"/>
        <w:rPr>
          <w:rFonts w:ascii="Century Schoolbook" w:hAnsi="Century Schoolbook" w:cs="Times-Bold"/>
          <w:sz w:val="36"/>
          <w:szCs w:val="36"/>
        </w:rPr>
      </w:pPr>
    </w:p>
    <w:p w:rsidR="000658F8" w:rsidRDefault="007041B7" w:rsidP="007041B7">
      <w:pPr>
        <w:pStyle w:val="Names"/>
        <w:jc w:val="center"/>
        <w:rPr>
          <w:rFonts w:ascii="Century Schoolbook" w:hAnsi="Century Schoolbook"/>
        </w:rPr>
      </w:pPr>
      <w:proofErr w:type="spellStart"/>
      <w:r w:rsidRPr="007041B7">
        <w:rPr>
          <w:rFonts w:ascii="Century Schoolbook" w:hAnsi="Century Schoolbook"/>
        </w:rPr>
        <w:t>Remond-Tiedrez</w:t>
      </w:r>
      <w:proofErr w:type="spellEnd"/>
      <w:r w:rsidRPr="007041B7">
        <w:rPr>
          <w:rFonts w:ascii="Century Schoolbook" w:hAnsi="Century Schoolbook"/>
        </w:rPr>
        <w:t xml:space="preserve">, </w:t>
      </w:r>
      <w:r w:rsidR="00D01EB4">
        <w:rPr>
          <w:rFonts w:ascii="Century Schoolbook" w:hAnsi="Century Schoolbook"/>
        </w:rPr>
        <w:t>Isabelle</w:t>
      </w:r>
      <w:r w:rsidR="00D01EB4">
        <w:rPr>
          <w:rStyle w:val="FootnoteReference"/>
          <w:rFonts w:ascii="Century Schoolbook" w:hAnsi="Century Schoolbook"/>
        </w:rPr>
        <w:footnoteReference w:id="1"/>
      </w:r>
    </w:p>
    <w:p w:rsidR="007041B7" w:rsidRPr="007041B7" w:rsidRDefault="007041B7" w:rsidP="007041B7">
      <w:pPr>
        <w:pStyle w:val="Names"/>
        <w:jc w:val="center"/>
        <w:rPr>
          <w:rFonts w:ascii="Century Schoolbook" w:hAnsi="Century Schoolbook"/>
          <w:vertAlign w:val="superscript"/>
        </w:rPr>
      </w:pPr>
    </w:p>
    <w:p w:rsidR="007041B7" w:rsidRPr="007041B7" w:rsidRDefault="007041B7" w:rsidP="007041B7">
      <w:pPr>
        <w:autoSpaceDE w:val="0"/>
        <w:autoSpaceDN w:val="0"/>
        <w:adjustRightInd w:val="0"/>
        <w:jc w:val="center"/>
        <w:rPr>
          <w:rFonts w:ascii="Century Schoolbook" w:hAnsi="Century Schoolbook" w:cs="Arial"/>
          <w:bCs/>
          <w:i/>
          <w:kern w:val="28"/>
        </w:rPr>
      </w:pPr>
      <w:r w:rsidRPr="007041B7">
        <w:rPr>
          <w:rFonts w:ascii="Century Schoolbook" w:hAnsi="Century Schoolbook" w:cs="Arial"/>
          <w:bCs/>
          <w:i/>
          <w:kern w:val="28"/>
        </w:rPr>
        <w:t>European Commission, Eurostat</w:t>
      </w:r>
    </w:p>
    <w:p w:rsidR="007041B7" w:rsidRDefault="007041B7" w:rsidP="007041B7">
      <w:pPr>
        <w:autoSpaceDE w:val="0"/>
        <w:autoSpaceDN w:val="0"/>
        <w:adjustRightInd w:val="0"/>
        <w:jc w:val="center"/>
        <w:rPr>
          <w:rFonts w:ascii="Century Schoolbook" w:hAnsi="Century Schoolbook" w:cs="Arial"/>
          <w:bCs/>
          <w:i/>
          <w:kern w:val="28"/>
        </w:rPr>
      </w:pPr>
      <w:r w:rsidRPr="007041B7">
        <w:rPr>
          <w:rFonts w:ascii="Century Schoolbook" w:hAnsi="Century Schoolbook" w:cs="Arial"/>
          <w:bCs/>
          <w:i/>
          <w:kern w:val="28"/>
        </w:rPr>
        <w:t xml:space="preserve">E-mail: </w:t>
      </w:r>
      <w:hyperlink r:id="rId9" w:history="1">
        <w:r w:rsidRPr="007041B7">
          <w:rPr>
            <w:rStyle w:val="Hyperlink"/>
            <w:rFonts w:ascii="Century Schoolbook" w:hAnsi="Century Schoolbook" w:cs="Arial"/>
            <w:bCs/>
            <w:i/>
            <w:kern w:val="28"/>
          </w:rPr>
          <w:t>isabelle.remond-tiedrez@</w:t>
        </w:r>
        <w:r w:rsidRPr="007041B7">
          <w:rPr>
            <w:rStyle w:val="Hyperlink"/>
            <w:rFonts w:ascii="Century Schoolbook" w:hAnsi="Century Schoolbook" w:cs="Arial"/>
            <w:bCs/>
            <w:i/>
            <w:kern w:val="28"/>
            <w:lang w:val="it-IT"/>
          </w:rPr>
          <w:t>ec.europa.eu</w:t>
        </w:r>
      </w:hyperlink>
    </w:p>
    <w:p w:rsidR="000658F8" w:rsidRPr="00ED7A20" w:rsidRDefault="000658F8" w:rsidP="000658F8">
      <w:pPr>
        <w:jc w:val="center"/>
        <w:rPr>
          <w:rFonts w:ascii="Century Schoolbook" w:hAnsi="Century Schoolbook"/>
          <w:lang w:val="nl-BE"/>
        </w:rPr>
      </w:pPr>
    </w:p>
    <w:p w:rsidR="002825BA" w:rsidRDefault="002825BA" w:rsidP="000658F8">
      <w:pPr>
        <w:ind w:left="284"/>
        <w:jc w:val="both"/>
        <w:rPr>
          <w:rFonts w:ascii="Century Schoolbook" w:hAnsi="Century Schoolbook"/>
          <w:sz w:val="22"/>
          <w:szCs w:val="22"/>
        </w:rPr>
      </w:pPr>
    </w:p>
    <w:p w:rsidR="002825BA" w:rsidRDefault="002825BA" w:rsidP="002825BA">
      <w:pPr>
        <w:jc w:val="both"/>
        <w:rPr>
          <w:rFonts w:ascii="Century Schoolbook" w:hAnsi="Century Schoolbook"/>
          <w:sz w:val="22"/>
          <w:szCs w:val="22"/>
        </w:rPr>
      </w:pPr>
      <w:r w:rsidRPr="002825BA">
        <w:rPr>
          <w:rFonts w:ascii="Century Schoolbook" w:hAnsi="Century Schoolbook"/>
          <w:sz w:val="22"/>
          <w:szCs w:val="22"/>
        </w:rPr>
        <w:t xml:space="preserve">Eurostat, Statistical Office of the European Union, has </w:t>
      </w:r>
      <w:r w:rsidR="00DA0068">
        <w:rPr>
          <w:rFonts w:ascii="Century Schoolbook" w:hAnsi="Century Schoolbook"/>
          <w:sz w:val="22"/>
          <w:szCs w:val="22"/>
        </w:rPr>
        <w:t>launched in summer 2014 a questionnaire related to the Supply, Use and Input-Output Tables compilation to European countries (Member States of the European Union, Candidate countries and partners). The analysis of the European answers will be disseminated on Eurostat website along with the answers from responding countries.</w:t>
      </w:r>
    </w:p>
    <w:p w:rsidR="00DA0068" w:rsidRDefault="00DA0068" w:rsidP="002825BA">
      <w:pPr>
        <w:jc w:val="both"/>
        <w:rPr>
          <w:rFonts w:ascii="Century Schoolbook" w:hAnsi="Century Schoolbook"/>
          <w:sz w:val="22"/>
          <w:szCs w:val="22"/>
        </w:rPr>
      </w:pPr>
      <w:r>
        <w:rPr>
          <w:rFonts w:ascii="Century Schoolbook" w:hAnsi="Century Schoolbook"/>
          <w:sz w:val="22"/>
          <w:szCs w:val="22"/>
        </w:rPr>
        <w:t xml:space="preserve">The general overview underlines the harmonisation and uses of </w:t>
      </w:r>
      <w:r w:rsidR="00641DDF">
        <w:rPr>
          <w:rFonts w:ascii="Century Schoolbook" w:hAnsi="Century Schoolbook"/>
          <w:sz w:val="22"/>
          <w:szCs w:val="22"/>
        </w:rPr>
        <w:t xml:space="preserve">worldwide recognised </w:t>
      </w:r>
      <w:r>
        <w:rPr>
          <w:rFonts w:ascii="Century Schoolbook" w:hAnsi="Century Schoolbook"/>
          <w:sz w:val="22"/>
          <w:szCs w:val="22"/>
        </w:rPr>
        <w:t>common tools (classification, methodologies) at the European level</w:t>
      </w:r>
      <w:r w:rsidR="00641DDF">
        <w:rPr>
          <w:rFonts w:ascii="Century Schoolbook" w:hAnsi="Century Schoolbook"/>
          <w:sz w:val="22"/>
          <w:szCs w:val="22"/>
        </w:rPr>
        <w:t>.</w:t>
      </w:r>
    </w:p>
    <w:p w:rsidR="00FE20C8" w:rsidRDefault="00FE20C8" w:rsidP="002825BA">
      <w:pPr>
        <w:jc w:val="both"/>
        <w:rPr>
          <w:rFonts w:ascii="Century Schoolbook" w:hAnsi="Century Schoolbook"/>
          <w:sz w:val="22"/>
          <w:szCs w:val="22"/>
        </w:rPr>
      </w:pPr>
      <w:r w:rsidRPr="00FE20C8">
        <w:rPr>
          <w:rFonts w:ascii="Century Schoolbook" w:hAnsi="Century Schoolbook"/>
          <w:sz w:val="22"/>
          <w:szCs w:val="22"/>
        </w:rPr>
        <w:t>The responses from the European countries also help to support analysis used in the UN Handbook Supply, Use and Input-Output tables with extensions and applications</w:t>
      </w:r>
      <w:r>
        <w:rPr>
          <w:rFonts w:ascii="Century Schoolbook" w:hAnsi="Century Schoolbook"/>
          <w:sz w:val="22"/>
          <w:szCs w:val="22"/>
        </w:rPr>
        <w:t>.</w:t>
      </w:r>
    </w:p>
    <w:p w:rsidR="002825BA" w:rsidRPr="002825BA" w:rsidRDefault="002825BA" w:rsidP="002825BA">
      <w:pPr>
        <w:jc w:val="both"/>
        <w:rPr>
          <w:rFonts w:ascii="Century Schoolbook" w:hAnsi="Century Schoolbook"/>
          <w:sz w:val="22"/>
          <w:szCs w:val="22"/>
        </w:rPr>
      </w:pPr>
    </w:p>
    <w:p w:rsidR="00ED3F2F" w:rsidRPr="002825BA" w:rsidRDefault="000C7F70" w:rsidP="002825BA">
      <w:pPr>
        <w:jc w:val="both"/>
        <w:rPr>
          <w:rFonts w:ascii="Century Schoolbook" w:hAnsi="Century Schoolbook"/>
          <w:sz w:val="22"/>
          <w:szCs w:val="22"/>
        </w:rPr>
      </w:pPr>
      <w:r w:rsidRPr="002825BA">
        <w:rPr>
          <w:rFonts w:ascii="Century Schoolbook" w:hAnsi="Century Schoolbook"/>
          <w:b/>
          <w:sz w:val="22"/>
          <w:szCs w:val="22"/>
        </w:rPr>
        <w:t>Keywords</w:t>
      </w:r>
      <w:r w:rsidRPr="00ED7A20">
        <w:rPr>
          <w:rFonts w:ascii="Century Schoolbook" w:hAnsi="Century Schoolbook"/>
          <w:sz w:val="22"/>
          <w:szCs w:val="22"/>
        </w:rPr>
        <w:t xml:space="preserve">: </w:t>
      </w:r>
      <w:r w:rsidR="002825BA" w:rsidRPr="002825BA">
        <w:rPr>
          <w:rFonts w:ascii="Century Schoolbook" w:hAnsi="Century Schoolbook"/>
          <w:sz w:val="22"/>
          <w:szCs w:val="22"/>
        </w:rPr>
        <w:t xml:space="preserve">national accounts, supply and use tables, </w:t>
      </w:r>
      <w:r w:rsidR="00DA0068">
        <w:rPr>
          <w:rFonts w:ascii="Century Schoolbook" w:hAnsi="Century Schoolbook"/>
          <w:sz w:val="22"/>
          <w:szCs w:val="22"/>
        </w:rPr>
        <w:t>compilation</w:t>
      </w:r>
      <w:r w:rsidR="002825BA" w:rsidRPr="002825BA">
        <w:rPr>
          <w:rFonts w:ascii="Century Schoolbook" w:hAnsi="Century Schoolbook"/>
          <w:sz w:val="22"/>
          <w:szCs w:val="22"/>
        </w:rPr>
        <w:t>, European Union</w:t>
      </w:r>
    </w:p>
    <w:p w:rsidR="00E52978" w:rsidRPr="00ED7A20" w:rsidRDefault="00E52978" w:rsidP="000B5749">
      <w:pPr>
        <w:pStyle w:val="Heading1"/>
      </w:pPr>
      <w:r w:rsidRPr="00ED7A20">
        <w:t>Introduction</w:t>
      </w:r>
    </w:p>
    <w:p w:rsidR="000D5C67" w:rsidRDefault="000D5C67" w:rsidP="000D5C67">
      <w:r>
        <w:t xml:space="preserve">A </w:t>
      </w:r>
      <w:r>
        <w:t xml:space="preserve">questionnaire </w:t>
      </w:r>
      <w:r>
        <w:t xml:space="preserve">on the review of Supply, Use and </w:t>
      </w:r>
      <w:proofErr w:type="spellStart"/>
      <w:r>
        <w:t>Intput</w:t>
      </w:r>
      <w:proofErr w:type="spellEnd"/>
      <w:r>
        <w:t xml:space="preserve">-Output Tables compilation </w:t>
      </w:r>
      <w:r>
        <w:t xml:space="preserve">was launched in summer 2014 to European countries </w:t>
      </w:r>
      <w:r>
        <w:t>by Eurostat.</w:t>
      </w:r>
      <w:r>
        <w:t xml:space="preserve"> The questionnaire is meant to be shared by all European countries and will provide main characteristics how Supply, Use and Input-Output tables are compiled. It covers six parts: </w:t>
      </w:r>
    </w:p>
    <w:p w:rsidR="000D5C67" w:rsidRDefault="000D5C67" w:rsidP="000D5C67">
      <w:pPr>
        <w:pStyle w:val="ListParagraph"/>
        <w:numPr>
          <w:ilvl w:val="0"/>
          <w:numId w:val="42"/>
        </w:numPr>
        <w:spacing w:after="200"/>
        <w:jc w:val="both"/>
      </w:pPr>
      <w:r>
        <w:t xml:space="preserve">organisation, </w:t>
      </w:r>
    </w:p>
    <w:p w:rsidR="000D5C67" w:rsidRDefault="000D5C67" w:rsidP="000D5C67">
      <w:pPr>
        <w:pStyle w:val="ListParagraph"/>
        <w:numPr>
          <w:ilvl w:val="0"/>
          <w:numId w:val="42"/>
        </w:numPr>
        <w:spacing w:after="200"/>
        <w:jc w:val="both"/>
      </w:pPr>
      <w:r>
        <w:t xml:space="preserve">data, </w:t>
      </w:r>
    </w:p>
    <w:p w:rsidR="000D5C67" w:rsidRDefault="000D5C67" w:rsidP="000D5C67">
      <w:pPr>
        <w:pStyle w:val="ListParagraph"/>
        <w:numPr>
          <w:ilvl w:val="0"/>
          <w:numId w:val="42"/>
        </w:numPr>
        <w:spacing w:after="200"/>
        <w:jc w:val="both"/>
      </w:pPr>
      <w:r>
        <w:t xml:space="preserve">process, </w:t>
      </w:r>
    </w:p>
    <w:p w:rsidR="000D5C67" w:rsidRDefault="000D5C67" w:rsidP="000D5C67">
      <w:pPr>
        <w:pStyle w:val="ListParagraph"/>
        <w:numPr>
          <w:ilvl w:val="0"/>
          <w:numId w:val="42"/>
        </w:numPr>
        <w:spacing w:after="200"/>
        <w:jc w:val="both"/>
      </w:pPr>
      <w:r>
        <w:t xml:space="preserve">methodology, </w:t>
      </w:r>
    </w:p>
    <w:p w:rsidR="000D5C67" w:rsidRDefault="000D5C67" w:rsidP="000D5C67">
      <w:pPr>
        <w:pStyle w:val="ListParagraph"/>
        <w:numPr>
          <w:ilvl w:val="0"/>
          <w:numId w:val="42"/>
        </w:numPr>
        <w:spacing w:after="200"/>
        <w:jc w:val="both"/>
      </w:pPr>
      <w:r>
        <w:t xml:space="preserve">dissemination and quality, </w:t>
      </w:r>
    </w:p>
    <w:p w:rsidR="000D5C67" w:rsidRDefault="000D5C67" w:rsidP="000D5C67">
      <w:pPr>
        <w:pStyle w:val="ListParagraph"/>
        <w:numPr>
          <w:ilvl w:val="0"/>
          <w:numId w:val="42"/>
        </w:numPr>
        <w:spacing w:after="200"/>
        <w:jc w:val="both"/>
      </w:pPr>
      <w:proofErr w:type="gramStart"/>
      <w:r>
        <w:t>applications</w:t>
      </w:r>
      <w:proofErr w:type="gramEnd"/>
      <w:r>
        <w:t xml:space="preserve"> and satellite systems.</w:t>
      </w:r>
    </w:p>
    <w:p w:rsidR="000D5C67" w:rsidRDefault="000D5C67" w:rsidP="000D5C67">
      <w:r>
        <w:t>The responses from the European countries also help to support analysis used in the UN Handbook Supply, Use and Input-Output tables with extensions and applications that is planned for dissemination in 2015 and will be disseminated on Eurostat website.</w:t>
      </w:r>
    </w:p>
    <w:p w:rsidR="000D5C67" w:rsidRDefault="000D5C67" w:rsidP="000D5C67">
      <w:r>
        <w:t>The summary of the questionnaires and possible details will be disseminated on Eurostat website</w:t>
      </w:r>
      <w:r>
        <w:t xml:space="preserve">. </w:t>
      </w:r>
      <w:r>
        <w:t>Eurostat has the responsibility to inform users and share information with them about the methodology underlying the data disseminated.</w:t>
      </w:r>
    </w:p>
    <w:p w:rsidR="000D5C67" w:rsidRDefault="000D5C67" w:rsidP="000D5C67"/>
    <w:p w:rsidR="000D5C67" w:rsidRDefault="000D5C67" w:rsidP="000D5C67">
      <w:r>
        <w:lastRenderedPageBreak/>
        <w:t>Twenty-four European countries answered the questionnaire in summer/autumn 2014 (in alphabetic order): Austria, Belgium, Croatia, Czech Republic, Denmark, Estonia, Finland, Former Yugoslav Republic of Macedonia, France, Germany,</w:t>
      </w:r>
      <w:r w:rsidRPr="00F133B6">
        <w:t xml:space="preserve"> </w:t>
      </w:r>
      <w:r>
        <w:t>Hungary, Ireland,</w:t>
      </w:r>
      <w:r w:rsidRPr="00F133B6">
        <w:t xml:space="preserve"> </w:t>
      </w:r>
      <w:r>
        <w:t>Italy, Lithuania, Malta, Montenegro, the Netherlands, Poland, Romania, Slovenia, Sweden, Switzerland, Slovakia and United Kingdom.</w:t>
      </w:r>
    </w:p>
    <w:p w:rsidR="000D5C67" w:rsidRDefault="000D5C67" w:rsidP="000D5C67">
      <w:pPr>
        <w:pStyle w:val="Heading1"/>
      </w:pPr>
      <w:r>
        <w:t>Questionnaire results</w:t>
      </w:r>
    </w:p>
    <w:p w:rsidR="000D5C67" w:rsidRDefault="000D5C67" w:rsidP="000D5C67">
      <w:pPr>
        <w:pStyle w:val="Heading2"/>
      </w:pPr>
      <w:r w:rsidRPr="00B82E92">
        <w:t>Organisation</w:t>
      </w:r>
    </w:p>
    <w:p w:rsidR="000D5C67" w:rsidRDefault="000D5C67" w:rsidP="000D5C67">
      <w:r>
        <w:t xml:space="preserve">For all areas except the balance of payments statistics and financial accounts, all of the National Statistical Institutes (NSI) (or National Statistical Offices) have the responsibility of compiling National Accounts data. </w:t>
      </w:r>
    </w:p>
    <w:p w:rsidR="000D5C67" w:rsidRDefault="000D5C67" w:rsidP="000D5C67">
      <w:r>
        <w:t xml:space="preserve">For the annual National Accounts </w:t>
      </w:r>
      <w:r>
        <w:t xml:space="preserve">there is one </w:t>
      </w:r>
      <w:r>
        <w:t xml:space="preserve">exception </w:t>
      </w:r>
      <w:r>
        <w:t>(</w:t>
      </w:r>
      <w:r>
        <w:t>Belgium</w:t>
      </w:r>
      <w:r>
        <w:t xml:space="preserve">) </w:t>
      </w:r>
      <w:r>
        <w:t xml:space="preserve">where the National Central Bank (NCB) compiles annual and quarterly National Accounts. </w:t>
      </w:r>
    </w:p>
    <w:p w:rsidR="000D5C67" w:rsidRDefault="000D5C67" w:rsidP="000D5C67">
      <w:r>
        <w:t>In Slovakia the NCB and the NSI shares the responsibility of the quarterly National Accounts compilation. In Austria and Switzerland the quarterly National Accounts are under the responsibility of the NSI and of another institute.</w:t>
      </w:r>
    </w:p>
    <w:p w:rsidR="000D5C67" w:rsidRDefault="000D5C67" w:rsidP="000D5C67">
      <w:r>
        <w:t>Balance of Payments statistics are usually under the responsibility of the NCBs, except in Austria, Denmark,</w:t>
      </w:r>
      <w:r w:rsidRPr="00554BD0">
        <w:t xml:space="preserve"> </w:t>
      </w:r>
      <w:r>
        <w:t>Finland, Ireland, Malta, Sweden and United Kingdom, where they are under the NSI.</w:t>
      </w:r>
    </w:p>
    <w:p w:rsidR="000D5C67" w:rsidRDefault="000D5C67" w:rsidP="000D5C67">
      <w:r>
        <w:t>Financial accounts statistics are almost equally shared between NSIs and NCBs.</w:t>
      </w:r>
    </w:p>
    <w:p w:rsidR="000D5C67" w:rsidRDefault="000D5C67" w:rsidP="000D5C67">
      <w:r>
        <w:t>The Supply, Use and Input-Output tables' compilation are in general under the NSI's responsibility except in Belgium where the Federal Planning Bureau is in charge of it. In France the Input-Output tables' compilation is shared between the NSI and another institute.</w:t>
      </w:r>
    </w:p>
    <w:p w:rsidR="000D5C67" w:rsidRDefault="000D5C67" w:rsidP="000D5C67">
      <w:r>
        <w:t xml:space="preserve">In 21 countries (out of 24) the </w:t>
      </w:r>
      <w:r w:rsidRPr="0079199E">
        <w:t xml:space="preserve">SUT/IOT </w:t>
      </w:r>
      <w:r>
        <w:t xml:space="preserve">compilation is </w:t>
      </w:r>
      <w:r w:rsidRPr="0079199E">
        <w:t>integrated in th</w:t>
      </w:r>
      <w:r>
        <w:t>e National Accounts department.</w:t>
      </w:r>
    </w:p>
    <w:p w:rsidR="00941F61" w:rsidRDefault="00941F61" w:rsidP="00941F61">
      <w:pPr>
        <w:pStyle w:val="Heading2"/>
        <w:suppressAutoHyphens/>
        <w:overflowPunct w:val="0"/>
        <w:autoSpaceDE w:val="0"/>
        <w:autoSpaceDN w:val="0"/>
        <w:adjustRightInd w:val="0"/>
        <w:spacing w:line="276" w:lineRule="auto"/>
        <w:ind w:left="1080"/>
        <w:jc w:val="both"/>
        <w:textAlignment w:val="baseline"/>
      </w:pPr>
      <w:r>
        <w:t>Data sources supporting SUIOT</w:t>
      </w:r>
    </w:p>
    <w:p w:rsidR="00941F61" w:rsidRDefault="00941F61" w:rsidP="00941F61">
      <w:r>
        <w:t>The data sources for compiling SUIOTs vary from: business surveys, household surveys, administrative data sources and company accounts.</w:t>
      </w:r>
    </w:p>
    <w:p w:rsidR="00941F61" w:rsidRPr="005A5428" w:rsidRDefault="00941F61" w:rsidP="00941F61">
      <w:pPr>
        <w:pStyle w:val="Heading3"/>
        <w:rPr>
          <w:rStyle w:val="Strong"/>
        </w:rPr>
      </w:pPr>
      <w:r w:rsidRPr="005A5428">
        <w:rPr>
          <w:rStyle w:val="Strong"/>
        </w:rPr>
        <w:t>Business survey data</w:t>
      </w:r>
    </w:p>
    <w:p w:rsidR="00941F61" w:rsidRDefault="00941F61" w:rsidP="00941F61">
      <w:r>
        <w:t xml:space="preserve">Business surveys are of annual or quarterly or monthly frequency and could be used simultaneously for the compilation of SUIOTs.  All countries except </w:t>
      </w:r>
      <w:r w:rsidR="00C37949">
        <w:t>one</w:t>
      </w:r>
      <w:r>
        <w:t xml:space="preserve"> declare to use at least one annual business survey but more than half of the countries use up to five annual business surveys to compile SUIOTs.</w:t>
      </w:r>
    </w:p>
    <w:p w:rsidR="00941F61" w:rsidRDefault="00941F61" w:rsidP="00941F61">
      <w:r>
        <w:t>The annual surveys cited by countries are: production statistics survey, structural business survey,  material input and commodity survey and purchases of goods and services survey, investment survey, census data on some specific industries, financial intermediation activity survey, international trade statistics, survey on R&amp;D activities, tourism activity survey etc.</w:t>
      </w:r>
    </w:p>
    <w:p w:rsidR="00C37949" w:rsidRDefault="00C37949">
      <w:pPr>
        <w:spacing w:after="0"/>
        <w:rPr>
          <w:rFonts w:asciiTheme="majorHAnsi" w:eastAsiaTheme="majorEastAsia" w:hAnsiTheme="majorHAnsi" w:cstheme="majorBidi"/>
          <w:i/>
          <w:iCs/>
          <w:color w:val="4F81BD" w:themeColor="accent1"/>
          <w:spacing w:val="15"/>
          <w:lang w:eastAsia="en-US"/>
        </w:rPr>
      </w:pPr>
      <w:r>
        <w:br w:type="page"/>
      </w:r>
    </w:p>
    <w:p w:rsidR="00C37949" w:rsidRDefault="00C37949" w:rsidP="00C37949">
      <w:pPr>
        <w:pStyle w:val="Subtitle"/>
      </w:pPr>
      <w:r>
        <w:lastRenderedPageBreak/>
        <w:t xml:space="preserve">Graph </w:t>
      </w:r>
      <w:r>
        <w:t>1</w:t>
      </w:r>
      <w:r>
        <w:t>: Histogram of countries using business surveys</w:t>
      </w:r>
    </w:p>
    <w:p w:rsidR="00C37949" w:rsidRDefault="00C37949" w:rsidP="00C37949">
      <w:r>
        <w:rPr>
          <w:noProof/>
          <w:lang w:eastAsia="en-GB"/>
        </w:rPr>
        <w:drawing>
          <wp:inline distT="0" distB="0" distL="0" distR="0" wp14:anchorId="61990F41" wp14:editId="47EB0B6D">
            <wp:extent cx="6064370" cy="2432649"/>
            <wp:effectExtent l="0" t="0" r="127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1F61" w:rsidRDefault="00941F61" w:rsidP="00941F61">
      <w:r>
        <w:t>The quarterly business surveys mentioned are: trade survey, balance of payments survey,  financial sector survey, specific sector survey (catering, for example, in the Former Yugoslav Republic of Macedonia), services producer prices survey, and more generally, short-term statistics survey (turnover indices, industrial production indices, producer prices indices etc…), profits and stock survey etc.</w:t>
      </w:r>
    </w:p>
    <w:p w:rsidR="00941F61" w:rsidRDefault="00941F61" w:rsidP="00941F61">
      <w:r>
        <w:t>On a monthly basis eleven countries indicate to use at least one monthly business survey: foreign trade statistics, balance of payments survey, turnover survey, PRODCOM survey, consumer price indices, monthly business survey, tourism survey</w:t>
      </w:r>
      <w:proofErr w:type="gramStart"/>
      <w:r>
        <w:t>,  producer</w:t>
      </w:r>
      <w:proofErr w:type="gramEnd"/>
      <w:r>
        <w:t xml:space="preserve"> prices survey …</w:t>
      </w:r>
    </w:p>
    <w:p w:rsidR="00941F61" w:rsidRDefault="00941F61" w:rsidP="00941F61">
      <w:r>
        <w:t xml:space="preserve">Business surveys are one pillar for the computation of SUIOTs and National Accounts in general. The business survey is mainly based on samples. Some countries do have census data on an annual basis, for example like Lithuanian structural business statistics or Irish industrial production census or the Swiss complete inventory of 450,000 businesses. </w:t>
      </w:r>
    </w:p>
    <w:p w:rsidR="00941F61" w:rsidRDefault="00941F61" w:rsidP="00941F61">
      <w:r>
        <w:t>Many business surveys consider threshold for exhaustiveness of the survey based on turnover or number of persons employed. The sampling size varies from one country to another: some thousands to 50,000.</w:t>
      </w:r>
    </w:p>
    <w:p w:rsidR="00941F61" w:rsidRPr="005A5428" w:rsidRDefault="00941F61" w:rsidP="00941F61">
      <w:pPr>
        <w:pStyle w:val="Heading3"/>
        <w:rPr>
          <w:rStyle w:val="Strong"/>
        </w:rPr>
      </w:pPr>
      <w:r w:rsidRPr="005A5428">
        <w:rPr>
          <w:rStyle w:val="Strong"/>
        </w:rPr>
        <w:t>Household survey data</w:t>
      </w:r>
    </w:p>
    <w:p w:rsidR="00941F61" w:rsidRDefault="00941F61" w:rsidP="00941F61">
      <w:r>
        <w:t>The main annual household survey used in the compilation of SUIOTs is the Household Budget Survey (HBS) quoted by 15 countries as the first source (out of 16 mentioning at least one annual survey). The second annual source mentioned by four of the five countries is related to holiday/tourism survey and Balance of Payments.</w:t>
      </w:r>
    </w:p>
    <w:p w:rsidR="00941F61" w:rsidRDefault="00941F61" w:rsidP="00941F61">
      <w:r>
        <w:t xml:space="preserve">From the HBS the number of households participating in the survey varies from 865 to 28,000, with a median size of 5,040 and quartiles of 3,500 and 7,000 households. </w:t>
      </w:r>
    </w:p>
    <w:p w:rsidR="00C37949" w:rsidRDefault="00C37949">
      <w:pPr>
        <w:spacing w:after="0"/>
        <w:rPr>
          <w:rFonts w:asciiTheme="majorHAnsi" w:eastAsiaTheme="majorEastAsia" w:hAnsiTheme="majorHAnsi" w:cstheme="majorBidi"/>
          <w:i/>
          <w:iCs/>
          <w:color w:val="4F81BD" w:themeColor="accent1"/>
          <w:spacing w:val="15"/>
          <w:lang w:eastAsia="en-US"/>
        </w:rPr>
      </w:pPr>
      <w:r>
        <w:br w:type="page"/>
      </w:r>
    </w:p>
    <w:p w:rsidR="00C37949" w:rsidRPr="00DD3DA0" w:rsidRDefault="00C37949" w:rsidP="00C37949">
      <w:pPr>
        <w:pStyle w:val="Subtitle"/>
      </w:pPr>
      <w:r>
        <w:lastRenderedPageBreak/>
        <w:t xml:space="preserve">Graph </w:t>
      </w:r>
      <w:r>
        <w:t>2</w:t>
      </w:r>
      <w:r>
        <w:t>: Histogram of countries using household surveys</w:t>
      </w:r>
    </w:p>
    <w:p w:rsidR="00C37949" w:rsidRDefault="00C37949" w:rsidP="00C37949">
      <w:r>
        <w:rPr>
          <w:noProof/>
          <w:lang w:eastAsia="en-GB"/>
        </w:rPr>
        <w:drawing>
          <wp:inline distT="0" distB="0" distL="0" distR="0" wp14:anchorId="2F102C0B" wp14:editId="1A7666EF">
            <wp:extent cx="5840083" cy="2355012"/>
            <wp:effectExtent l="0" t="0" r="2794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7949" w:rsidRDefault="00C37949" w:rsidP="00941F61"/>
    <w:p w:rsidR="00941F61" w:rsidRPr="005A5428" w:rsidRDefault="00941F61" w:rsidP="00941F61">
      <w:pPr>
        <w:pStyle w:val="Heading3"/>
        <w:rPr>
          <w:rStyle w:val="Strong"/>
        </w:rPr>
      </w:pPr>
      <w:r w:rsidRPr="005A5428">
        <w:rPr>
          <w:rStyle w:val="Strong"/>
        </w:rPr>
        <w:t>Administrative data</w:t>
      </w:r>
    </w:p>
    <w:p w:rsidR="00941F61" w:rsidRDefault="00941F61" w:rsidP="00941F61">
      <w:r>
        <w:t>All countries except Montenegro indicated the use of administrative data in the compilation of SUIOTs. The main administrative data cited are the Value Added Tax data, annual financial accounts, income tax data, balance of payments, financial statistics of local or central government, foreign trade statistics, social data etc.</w:t>
      </w:r>
    </w:p>
    <w:p w:rsidR="00941F61" w:rsidRDefault="00941F61" w:rsidP="00941F61">
      <w:r>
        <w:t xml:space="preserve">Eight countries use company accounts as data source. </w:t>
      </w:r>
    </w:p>
    <w:p w:rsidR="00941F61" w:rsidRPr="004D6633" w:rsidRDefault="00941F61" w:rsidP="00941F61">
      <w:pPr>
        <w:pStyle w:val="Heading3"/>
        <w:rPr>
          <w:rStyle w:val="Strong"/>
        </w:rPr>
      </w:pPr>
      <w:r w:rsidRPr="004D6633">
        <w:rPr>
          <w:rStyle w:val="Strong"/>
        </w:rPr>
        <w:t>Statistical unit</w:t>
      </w:r>
    </w:p>
    <w:p w:rsidR="00941F61" w:rsidRDefault="00941F61" w:rsidP="00941F61">
      <w:r>
        <w:t>To the question on which statistical unit is the basis of the SUTs, 12 countries answered that the statistical unit is the local Kind of Activity Unit, the KAU or a unit of homogeneous production (for Switzerland and Romania, which can be identified as well to KAU). Ten countries answered the SUTs are based on the unit enterprise. Belgium and France answered "other".</w:t>
      </w:r>
    </w:p>
    <w:p w:rsidR="00941F61" w:rsidRDefault="00941F61" w:rsidP="00941F61">
      <w:r>
        <w:t xml:space="preserve">Regarding the compilation of the IOTs, 13 countries answered it was based on the local KAU, the KAU or the unit of homogenous production. </w:t>
      </w:r>
    </w:p>
    <w:p w:rsidR="00941F61" w:rsidRDefault="00941F61" w:rsidP="00941F61">
      <w:r>
        <w:t>One must note that countries have plural responses to the question: four countries specified two statistical units for the compilation of SUTs, one country specified three statistical units (Malta mentions KAU, enterprise and institutional unit), while the majority (18) of countries specifies only one statistical unit. Therefore the total does not add up to 24 countries.</w:t>
      </w:r>
    </w:p>
    <w:p w:rsidR="00941F61" w:rsidRDefault="00941F61" w:rsidP="00941F61"/>
    <w:p w:rsidR="00941F61" w:rsidRDefault="00941F61" w:rsidP="00941F61">
      <w:r>
        <w:rPr>
          <w:noProof/>
        </w:rPr>
        <w:lastRenderedPageBreak/>
        <w:drawing>
          <wp:inline distT="0" distB="0" distL="0" distR="0" wp14:anchorId="003D93F8" wp14:editId="55624731">
            <wp:extent cx="5629523" cy="2504661"/>
            <wp:effectExtent l="0" t="0" r="952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1F61" w:rsidRDefault="00941F61" w:rsidP="00941F61">
      <w:pPr>
        <w:pStyle w:val="Heading2"/>
        <w:suppressAutoHyphens/>
        <w:overflowPunct w:val="0"/>
        <w:autoSpaceDE w:val="0"/>
        <w:autoSpaceDN w:val="0"/>
        <w:adjustRightInd w:val="0"/>
        <w:spacing w:line="276" w:lineRule="auto"/>
        <w:ind w:left="1080"/>
        <w:jc w:val="both"/>
        <w:textAlignment w:val="baseline"/>
      </w:pPr>
      <w:r>
        <w:t>Process of compilation</w:t>
      </w:r>
    </w:p>
    <w:p w:rsidR="00941F61" w:rsidRPr="009B661C" w:rsidRDefault="00941F61" w:rsidP="00941F61">
      <w:pPr>
        <w:pStyle w:val="Heading3"/>
        <w:rPr>
          <w:rStyle w:val="Strong"/>
        </w:rPr>
      </w:pPr>
      <w:r w:rsidRPr="009B661C">
        <w:rPr>
          <w:rStyle w:val="Strong"/>
        </w:rPr>
        <w:t>Legal framework</w:t>
      </w:r>
    </w:p>
    <w:p w:rsidR="00941F61" w:rsidRDefault="00941F61" w:rsidP="00941F61">
      <w:r>
        <w:t xml:space="preserve">Supply, Use and Input-Output Tables </w:t>
      </w:r>
      <w:r w:rsidR="00C37949">
        <w:t xml:space="preserve">in European Union </w:t>
      </w:r>
      <w:r>
        <w:t>are compiled under national and supranational requirements.</w:t>
      </w:r>
    </w:p>
    <w:p w:rsidR="00941F61" w:rsidRDefault="00941F61" w:rsidP="00941F61">
      <w:r>
        <w:t xml:space="preserve">In terms of classifications, the NACE Rev. 2 </w:t>
      </w:r>
      <w:r w:rsidR="00C37949">
        <w:t xml:space="preserve">(directly linked to ISIC Rev 4.) </w:t>
      </w:r>
      <w:r>
        <w:t xml:space="preserve">and the CPA </w:t>
      </w:r>
      <w:r w:rsidR="00C37949">
        <w:t xml:space="preserve">(linked to CPC) </w:t>
      </w:r>
      <w:r>
        <w:t xml:space="preserve">classifications </w:t>
      </w:r>
      <w:proofErr w:type="gramStart"/>
      <w:r>
        <w:t>are</w:t>
      </w:r>
      <w:proofErr w:type="gramEnd"/>
      <w:r>
        <w:t xml:space="preserve"> the most common used in the compilation of SUIOTs. A few countries use customised classifications for industries (France) and for products (Belgium, Denmark, France and Malta).</w:t>
      </w:r>
    </w:p>
    <w:p w:rsidR="00941F61" w:rsidRPr="009B661C" w:rsidRDefault="00941F61" w:rsidP="00941F61">
      <w:pPr>
        <w:pStyle w:val="Heading3"/>
        <w:rPr>
          <w:rStyle w:val="Strong"/>
        </w:rPr>
      </w:pPr>
      <w:r w:rsidRPr="009B661C">
        <w:rPr>
          <w:rStyle w:val="Strong"/>
        </w:rPr>
        <w:t>Classifications</w:t>
      </w:r>
    </w:p>
    <w:p w:rsidR="00941F61" w:rsidRDefault="00941F61" w:rsidP="00941F61">
      <w:r>
        <w:t xml:space="preserve">Other classifications such as COICOP, </w:t>
      </w:r>
      <w:r w:rsidRPr="0025757D">
        <w:t xml:space="preserve">Classification Of Individual </w:t>
      </w:r>
      <w:proofErr w:type="spellStart"/>
      <w:r w:rsidRPr="0025757D">
        <w:t>COnsumption</w:t>
      </w:r>
      <w:proofErr w:type="spellEnd"/>
      <w:r w:rsidRPr="0025757D">
        <w:t xml:space="preserve"> by Purpose</w:t>
      </w:r>
      <w:r>
        <w:t xml:space="preserve">, </w:t>
      </w:r>
      <w:r w:rsidRPr="0025757D">
        <w:t>COFOG (Classification Of the Functions Of Government)</w:t>
      </w:r>
      <w:r>
        <w:t xml:space="preserve">, </w:t>
      </w:r>
      <w:r w:rsidRPr="0025757D">
        <w:t>COPNI (Classification Of the Purposes of Non-profit Institutions serving households)</w:t>
      </w:r>
      <w:r>
        <w:t xml:space="preserve">  are used for the compilation of SUIOTs at different level of details.</w:t>
      </w:r>
    </w:p>
    <w:p w:rsidR="00941F61" w:rsidRPr="009B661C" w:rsidRDefault="00941F61" w:rsidP="00941F61">
      <w:pPr>
        <w:pStyle w:val="Heading3"/>
        <w:rPr>
          <w:rStyle w:val="Strong"/>
        </w:rPr>
      </w:pPr>
      <w:r w:rsidRPr="009B661C">
        <w:rPr>
          <w:rStyle w:val="Strong"/>
        </w:rPr>
        <w:t>Size of tables</w:t>
      </w:r>
    </w:p>
    <w:p w:rsidR="00941F61" w:rsidRDefault="00941F61" w:rsidP="00941F61">
      <w:r>
        <w:t xml:space="preserve">The size of the tables varies in terms of number of products and number of industries and is usually larger than the size of 64 products and 64 industries required from the EU Regulation transmission program. In many countries the number of products is much more detailed than the number of industries for the compilation of SUTs: half of countries have more (or less) than 250 products and more than 100 industries in the case of the SUTs. </w:t>
      </w:r>
    </w:p>
    <w:p w:rsidR="00941F61" w:rsidRDefault="00941F61" w:rsidP="00941F61">
      <w:r>
        <w:t>The number of products is the highest for Denmark with 2350 products, followed by Hungary with 820 products, Finland with 776 products, the Netherlands with 630 products and Austria and Poland around 550 products.</w:t>
      </w:r>
    </w:p>
    <w:p w:rsidR="00941F61" w:rsidRDefault="00941F61" w:rsidP="00941F61">
      <w:r>
        <w:t>The number of industries attains at maximum 230 industries for Slovenia followed by Hungary and Finland.</w:t>
      </w:r>
    </w:p>
    <w:p w:rsidR="00941F61" w:rsidRDefault="00941F61" w:rsidP="00941F61">
      <w:r>
        <w:t>On the other hand Croatia, Ireland, Sweden and Switzerland report compiling SUIOTs with details of 54 (Switzerland) or 64 products and industries.</w:t>
      </w:r>
    </w:p>
    <w:p w:rsidR="00941F61" w:rsidRDefault="00941F61" w:rsidP="00941F61">
      <w:r>
        <w:t>From the SUTs to the IOTs the number of products for the compilation is reduced significantly for countries where the number of products for the SUTs compilation is over 200 (except for Italy that keeps 250 detailed products both for the SUTs and IOTs).</w:t>
      </w:r>
    </w:p>
    <w:p w:rsidR="00C37949" w:rsidRDefault="00C37949">
      <w:pPr>
        <w:spacing w:after="0"/>
        <w:rPr>
          <w:rFonts w:asciiTheme="majorHAnsi" w:eastAsiaTheme="majorEastAsia" w:hAnsiTheme="majorHAnsi" w:cstheme="majorBidi"/>
          <w:i/>
          <w:iCs/>
          <w:color w:val="4F81BD" w:themeColor="accent1"/>
          <w:spacing w:val="15"/>
          <w:lang w:eastAsia="en-US"/>
        </w:rPr>
      </w:pPr>
      <w:r>
        <w:br w:type="page"/>
      </w:r>
    </w:p>
    <w:p w:rsidR="00C37949" w:rsidRDefault="00C37949" w:rsidP="00C37949">
      <w:pPr>
        <w:pStyle w:val="Subtitle"/>
      </w:pPr>
      <w:r>
        <w:lastRenderedPageBreak/>
        <w:t xml:space="preserve">Graph </w:t>
      </w:r>
      <w:r>
        <w:t>3</w:t>
      </w:r>
      <w:r>
        <w:t>: Number of products and industries in the compilation of SUT</w:t>
      </w:r>
    </w:p>
    <w:p w:rsidR="00C37949" w:rsidRDefault="00C37949" w:rsidP="00C37949">
      <w:r>
        <w:rPr>
          <w:noProof/>
          <w:lang w:eastAsia="en-GB"/>
        </w:rPr>
        <w:drawing>
          <wp:inline distT="0" distB="0" distL="0" distR="0" wp14:anchorId="653C7AD8" wp14:editId="5C41A5A8">
            <wp:extent cx="6564702" cy="2286000"/>
            <wp:effectExtent l="0" t="0" r="2667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1F61" w:rsidRPr="009B661C" w:rsidRDefault="00941F61" w:rsidP="00941F61">
      <w:pPr>
        <w:pStyle w:val="Heading3"/>
        <w:rPr>
          <w:rStyle w:val="Strong"/>
        </w:rPr>
      </w:pPr>
      <w:r w:rsidRPr="009B661C">
        <w:rPr>
          <w:rStyle w:val="Strong"/>
        </w:rPr>
        <w:t>Frequency</w:t>
      </w:r>
    </w:p>
    <w:p w:rsidR="00941F61" w:rsidRDefault="00941F61" w:rsidP="00941F61">
      <w:r>
        <w:t xml:space="preserve">Supply and Use Tables tend to be annual compilation while Input-Output Tables are equally compiled on an annual basis or 5-yearly basis. As the EU requirement is </w:t>
      </w:r>
      <w:r w:rsidR="001A3A3A">
        <w:t>for</w:t>
      </w:r>
      <w:r>
        <w:t xml:space="preserve"> 5-yearly IOTs this data situation is not surprising.</w:t>
      </w:r>
    </w:p>
    <w:p w:rsidR="00941F61" w:rsidRDefault="00941F61" w:rsidP="00941F61">
      <w:r>
        <w:t xml:space="preserve">The Netherlands and France compile SUTs at a quarterly frequency. Switzerland compiles SUTs on a 3-yearly basis. </w:t>
      </w:r>
    </w:p>
    <w:p w:rsidR="00941F61" w:rsidRPr="009B661C" w:rsidRDefault="00941F61" w:rsidP="00941F61">
      <w:pPr>
        <w:pStyle w:val="Heading3"/>
        <w:rPr>
          <w:rStyle w:val="Strong"/>
        </w:rPr>
      </w:pPr>
      <w:r w:rsidRPr="009B661C">
        <w:rPr>
          <w:rStyle w:val="Strong"/>
        </w:rPr>
        <w:t>Timeliness and revision</w:t>
      </w:r>
    </w:p>
    <w:p w:rsidR="00941F61" w:rsidRDefault="00941F61" w:rsidP="00941F61">
      <w:r>
        <w:t>The EU Regulation sets the deadline for transmitting data to Eurostat to 36 months after the end of the reference period. In practice, the deadline for publication of the SUTs varies from five to 36 months across countries that answered (20 countries gave a response).16 out of the 21 countries publish the data as the final version. The dissemination of the SUTs earlier than two years after the end of the reference period remains minor: the five countries mentioned above, in addition, Finland (24 months) and Romania (21 months).</w:t>
      </w:r>
    </w:p>
    <w:p w:rsidR="00941F61" w:rsidRDefault="00941F61" w:rsidP="00941F61">
      <w:r>
        <w:t>Three countries (Czech Republic, France and the Netherlands) indicate that the compilation of the SUTs is fully integrated in the quarterly National Accounts and sector accounts compilation.</w:t>
      </w:r>
    </w:p>
    <w:p w:rsidR="00941F61" w:rsidRDefault="00941F61" w:rsidP="00941F61">
      <w:r>
        <w:t>Among the seven comments received from countries when the dissemination is close to 36 months after the end of the reference period, SUTs are not revised any longer. The link between main macro-economic statistics (such as GDP) and the SUTs can be in both directions as to which one is benchmarked to the second one. Some countries mention they put the SUTs data in line with the aggregates but others revise the main aggregates to be in line with SUTs at a quarterly or annual basis. It is interesting to read that two different approaches exist.</w:t>
      </w:r>
    </w:p>
    <w:p w:rsidR="00941F61" w:rsidRPr="009B661C" w:rsidRDefault="00941F61" w:rsidP="00941F61">
      <w:pPr>
        <w:pStyle w:val="Heading3"/>
        <w:rPr>
          <w:rStyle w:val="Strong"/>
        </w:rPr>
      </w:pPr>
      <w:r w:rsidRPr="009B661C">
        <w:rPr>
          <w:rStyle w:val="Strong"/>
        </w:rPr>
        <w:t>Resources</w:t>
      </w:r>
    </w:p>
    <w:p w:rsidR="00941F61" w:rsidRDefault="00941F61" w:rsidP="00941F61">
      <w:r>
        <w:t>The resources question was to q</w:t>
      </w:r>
      <w:r w:rsidRPr="000D5875">
        <w:t>uantify in person-months resources needed to compile one typical year SUT (including any subcontracting)</w:t>
      </w:r>
      <w:r>
        <w:t xml:space="preserve">. </w:t>
      </w:r>
    </w:p>
    <w:p w:rsidR="00941F61" w:rsidRDefault="00941F61" w:rsidP="00941F61">
      <w:r>
        <w:t xml:space="preserve">The answers vary from 9 person-months to 120 person-months covering a high variety of situations in terms of the work undertaken by the x person-months. For countries where the compilation of SUIOT is fully integrated into the National Accounts department and compilation of GDP quarterly data the resources may have been consolidated in the answer or not. Some countries may include as well compilation of </w:t>
      </w:r>
      <w:r w:rsidR="00664B68">
        <w:t>IOTs;</w:t>
      </w:r>
      <w:r>
        <w:t xml:space="preserve"> some may have excluded the balancing process…</w:t>
      </w:r>
    </w:p>
    <w:p w:rsidR="00941F61" w:rsidRDefault="00941F61" w:rsidP="00941F61">
      <w:r>
        <w:t>Half of the countries devote less than 24 persons-months, half more than 24 person-months.</w:t>
      </w:r>
    </w:p>
    <w:p w:rsidR="00941F61" w:rsidRDefault="00664B68" w:rsidP="00941F61">
      <w:r>
        <w:t>O</w:t>
      </w:r>
      <w:r w:rsidR="00941F61">
        <w:t>ne conclusion is however remarkable: the volume of human resources identified for one typical year of SUT compilation is not correlated to the size of the country.</w:t>
      </w:r>
    </w:p>
    <w:p w:rsidR="00941F61" w:rsidRDefault="00941F61" w:rsidP="00941F61">
      <w:pPr>
        <w:pStyle w:val="Heading2"/>
        <w:suppressAutoHyphens/>
        <w:overflowPunct w:val="0"/>
        <w:autoSpaceDE w:val="0"/>
        <w:autoSpaceDN w:val="0"/>
        <w:adjustRightInd w:val="0"/>
        <w:spacing w:line="276" w:lineRule="auto"/>
        <w:ind w:left="1080"/>
        <w:jc w:val="both"/>
        <w:textAlignment w:val="baseline"/>
      </w:pPr>
      <w:r>
        <w:lastRenderedPageBreak/>
        <w:t xml:space="preserve"> Methodology of SUTs and IOTs</w:t>
      </w:r>
    </w:p>
    <w:p w:rsidR="00941F61" w:rsidRDefault="00941F61" w:rsidP="00941F61">
      <w:r>
        <w:t>The EU requirements set in the ESA 2010 transmission program are the following:</w:t>
      </w:r>
    </w:p>
    <w:p w:rsidR="00941F61" w:rsidRDefault="00941F61" w:rsidP="00941F61">
      <w:r>
        <w:t xml:space="preserve">On yearly basis, countries have to transmit </w:t>
      </w:r>
    </w:p>
    <w:p w:rsidR="00941F61" w:rsidRPr="00046185" w:rsidRDefault="00941F61" w:rsidP="00941F61">
      <w:pPr>
        <w:pStyle w:val="ListParagraph"/>
        <w:numPr>
          <w:ilvl w:val="0"/>
          <w:numId w:val="43"/>
        </w:numPr>
        <w:spacing w:after="200"/>
        <w:jc w:val="both"/>
      </w:pPr>
      <w:r w:rsidRPr="00046185">
        <w:t>Supply table at basic prices, including transformation into purchasers' prices;</w:t>
      </w:r>
    </w:p>
    <w:p w:rsidR="00941F61" w:rsidRPr="00046185" w:rsidRDefault="00941F61" w:rsidP="00941F61">
      <w:pPr>
        <w:pStyle w:val="ListParagraph"/>
        <w:numPr>
          <w:ilvl w:val="0"/>
          <w:numId w:val="43"/>
        </w:numPr>
        <w:spacing w:after="200"/>
        <w:jc w:val="both"/>
      </w:pPr>
      <w:r w:rsidRPr="00046185">
        <w:t>Use table at purchasers' prices</w:t>
      </w:r>
    </w:p>
    <w:p w:rsidR="00941F61" w:rsidRPr="00046185" w:rsidRDefault="00941F61" w:rsidP="00941F61">
      <w:r>
        <w:t>On</w:t>
      </w:r>
      <w:r w:rsidRPr="00046185">
        <w:t xml:space="preserve"> five-yearly basis, tables:</w:t>
      </w:r>
    </w:p>
    <w:p w:rsidR="00941F61" w:rsidRPr="00046185" w:rsidRDefault="00941F61" w:rsidP="00941F61">
      <w:pPr>
        <w:pStyle w:val="ListParagraph"/>
        <w:numPr>
          <w:ilvl w:val="0"/>
          <w:numId w:val="44"/>
        </w:numPr>
        <w:spacing w:after="200"/>
        <w:jc w:val="both"/>
      </w:pPr>
      <w:r w:rsidRPr="00046185">
        <w:t xml:space="preserve">Input-output table at basic prices (product by product); including two compulsory sub-tables: </w:t>
      </w:r>
      <w:r>
        <w:t xml:space="preserve">Input-Output </w:t>
      </w:r>
      <w:r w:rsidRPr="00046185">
        <w:t xml:space="preserve">table for domestic output at basic prices and </w:t>
      </w:r>
      <w:r>
        <w:t xml:space="preserve">Input-Output </w:t>
      </w:r>
      <w:r w:rsidRPr="00046185">
        <w:t>table for imports at basic prices</w:t>
      </w:r>
      <w:r>
        <w:t>;</w:t>
      </w:r>
    </w:p>
    <w:p w:rsidR="00941F61" w:rsidRPr="00046185" w:rsidRDefault="00941F61" w:rsidP="00941F61">
      <w:pPr>
        <w:pStyle w:val="ListParagraph"/>
        <w:numPr>
          <w:ilvl w:val="0"/>
          <w:numId w:val="44"/>
        </w:numPr>
        <w:spacing w:after="200"/>
        <w:jc w:val="both"/>
      </w:pPr>
      <w:r w:rsidRPr="00046185">
        <w:t>Use table at basic prices;</w:t>
      </w:r>
    </w:p>
    <w:p w:rsidR="00941F61" w:rsidRPr="00046185" w:rsidRDefault="00941F61" w:rsidP="00941F61">
      <w:pPr>
        <w:pStyle w:val="ListParagraph"/>
        <w:numPr>
          <w:ilvl w:val="0"/>
          <w:numId w:val="44"/>
        </w:numPr>
        <w:spacing w:after="200"/>
        <w:jc w:val="both"/>
      </w:pPr>
      <w:r w:rsidRPr="00046185">
        <w:t>Use table for domestic output at basic prices;</w:t>
      </w:r>
    </w:p>
    <w:p w:rsidR="00941F61" w:rsidRPr="00046185" w:rsidRDefault="00941F61" w:rsidP="00941F61">
      <w:pPr>
        <w:pStyle w:val="ListParagraph"/>
        <w:numPr>
          <w:ilvl w:val="0"/>
          <w:numId w:val="44"/>
        </w:numPr>
        <w:spacing w:after="200"/>
        <w:jc w:val="both"/>
      </w:pPr>
      <w:r w:rsidRPr="00046185">
        <w:t>Use table for imports at basic prices;</w:t>
      </w:r>
    </w:p>
    <w:p w:rsidR="00941F61" w:rsidRPr="00046185" w:rsidRDefault="00941F61" w:rsidP="00941F61">
      <w:pPr>
        <w:pStyle w:val="ListParagraph"/>
        <w:numPr>
          <w:ilvl w:val="0"/>
          <w:numId w:val="44"/>
        </w:numPr>
        <w:spacing w:after="200"/>
        <w:jc w:val="both"/>
      </w:pPr>
      <w:r w:rsidRPr="00046185">
        <w:t>Table of trade and transport margins;</w:t>
      </w:r>
    </w:p>
    <w:p w:rsidR="00941F61" w:rsidRPr="00046185" w:rsidRDefault="00941F61" w:rsidP="00941F61">
      <w:pPr>
        <w:pStyle w:val="ListParagraph"/>
        <w:numPr>
          <w:ilvl w:val="0"/>
          <w:numId w:val="44"/>
        </w:numPr>
        <w:spacing w:after="200"/>
        <w:jc w:val="both"/>
      </w:pPr>
      <w:r w:rsidRPr="00046185">
        <w:t>Table of taxes less subsidies on products.</w:t>
      </w:r>
    </w:p>
    <w:p w:rsidR="00941F61" w:rsidRDefault="00941F61" w:rsidP="00941F61">
      <w:r>
        <w:t>Supply and Use tables will have to be transmitted in previous years' prices for the reference year 2015 by end of 2018.</w:t>
      </w:r>
    </w:p>
    <w:p w:rsidR="00941F61" w:rsidRDefault="00941F61" w:rsidP="00941F61">
      <w:pPr>
        <w:pStyle w:val="Heading3"/>
      </w:pPr>
      <w:r>
        <w:t>Price valuation and deflation</w:t>
      </w:r>
    </w:p>
    <w:p w:rsidR="00941F61" w:rsidRDefault="00941F61" w:rsidP="00941F61">
      <w:r>
        <w:t>The SUTs are compiled at current prices by all countries on an annual basis. Two countries mention to compile SUTs at a quarterly frequency. Although the transmission program does not include the provision for tables at previous years' prices, 15 countries compile already tables at previous years' prices and one country (France) compile additional tables at constant prices.</w:t>
      </w:r>
    </w:p>
    <w:p w:rsidR="00941F61" w:rsidRDefault="00941F61" w:rsidP="00941F61">
      <w:r>
        <w:t xml:space="preserve">When countries compile SUTs in volume terms (13 answers) the level of details is equal to the one for SUT at current prices, except for </w:t>
      </w:r>
      <w:r w:rsidR="00321485">
        <w:t>one</w:t>
      </w:r>
      <w:r>
        <w:t xml:space="preserve"> (where the number of industries and products are lower for PYP tables than for current prices dabbles).</w:t>
      </w:r>
    </w:p>
    <w:p w:rsidR="00941F61" w:rsidRDefault="00941F61" w:rsidP="00941F61">
      <w:r>
        <w:t>The prices deflators used by countries vary:</w:t>
      </w:r>
      <w:r w:rsidRPr="002C7A1F">
        <w:t xml:space="preserve"> PPI, CPI, UVI,</w:t>
      </w:r>
      <w:r>
        <w:t xml:space="preserve"> </w:t>
      </w:r>
      <w:r w:rsidRPr="002C7A1F">
        <w:t>SPPI, IPI, EPI, construction and agricultural PIs, implicit price deflators</w:t>
      </w:r>
      <w:r>
        <w:t>.</w:t>
      </w:r>
    </w:p>
    <w:p w:rsidR="00941F61" w:rsidRDefault="00941F61" w:rsidP="00941F61">
      <w:r>
        <w:t xml:space="preserve">16 countries out of the 24 replies use the </w:t>
      </w:r>
      <w:r w:rsidRPr="002C7A1F">
        <w:t>double deflation metho</w:t>
      </w:r>
      <w:r>
        <w:t xml:space="preserve">d to derive GVA in volume terms. </w:t>
      </w:r>
    </w:p>
    <w:p w:rsidR="00941F61" w:rsidRDefault="00941F61" w:rsidP="00941F61">
      <w:r>
        <w:t>Valuation matrices (taxes less subsidies and transport and trade margins) are compiled on a more regular frequency (most of the time annually) than the EU requirement of the 5-yearly frequency. Many countries do compile as well the different layers annually</w:t>
      </w:r>
      <w:r w:rsidRPr="006648DD">
        <w:t>: Non-deductible Value Added Tax table, Taxes on products excluding invoiced VAT table, Subsidies on products table, Transport margins tables, Retail trade margins</w:t>
      </w:r>
      <w:r>
        <w:t xml:space="preserve"> and</w:t>
      </w:r>
      <w:r w:rsidRPr="006648DD">
        <w:t xml:space="preserve"> Wholesale trade margins.</w:t>
      </w:r>
    </w:p>
    <w:p w:rsidR="00321485" w:rsidRDefault="00321485">
      <w:pPr>
        <w:spacing w:after="0"/>
        <w:rPr>
          <w:rFonts w:asciiTheme="majorHAnsi" w:eastAsiaTheme="majorEastAsia" w:hAnsiTheme="majorHAnsi" w:cstheme="majorBidi"/>
          <w:i/>
          <w:iCs/>
          <w:color w:val="4F81BD" w:themeColor="accent1"/>
          <w:spacing w:val="15"/>
          <w:lang w:eastAsia="en-US"/>
        </w:rPr>
      </w:pPr>
      <w:r>
        <w:br w:type="page"/>
      </w:r>
    </w:p>
    <w:p w:rsidR="00321485" w:rsidRDefault="00321485" w:rsidP="00321485">
      <w:pPr>
        <w:pStyle w:val="Subtitle"/>
      </w:pPr>
      <w:r>
        <w:lastRenderedPageBreak/>
        <w:t xml:space="preserve">Table </w:t>
      </w:r>
      <w:r>
        <w:t>1</w:t>
      </w:r>
      <w:r>
        <w:t>: Frequency of valuation matrices transmitted</w:t>
      </w:r>
    </w:p>
    <w:tbl>
      <w:tblPr>
        <w:tblStyle w:val="MediumShading2-Accent4"/>
        <w:tblW w:w="9242" w:type="dxa"/>
        <w:tblLook w:val="04A0" w:firstRow="1" w:lastRow="0" w:firstColumn="1" w:lastColumn="0" w:noHBand="0" w:noVBand="1"/>
      </w:tblPr>
      <w:tblGrid>
        <w:gridCol w:w="4467"/>
        <w:gridCol w:w="2077"/>
        <w:gridCol w:w="1349"/>
        <w:gridCol w:w="1349"/>
      </w:tblGrid>
      <w:tr w:rsidR="00321485" w:rsidRPr="00183521" w:rsidTr="00292E38">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467" w:type="dxa"/>
            <w:noWrap/>
          </w:tcPr>
          <w:p w:rsidR="00321485" w:rsidRPr="00183521" w:rsidRDefault="00321485" w:rsidP="00292E38">
            <w:pPr>
              <w:jc w:val="right"/>
              <w:rPr>
                <w:rFonts w:ascii="Arial" w:eastAsia="Times New Roman" w:hAnsi="Arial" w:cs="Arial"/>
                <w:sz w:val="18"/>
                <w:szCs w:val="18"/>
                <w:lang w:eastAsia="en-GB"/>
              </w:rPr>
            </w:pPr>
          </w:p>
        </w:tc>
        <w:tc>
          <w:tcPr>
            <w:tcW w:w="2077" w:type="dxa"/>
            <w:noWrap/>
          </w:tcPr>
          <w:p w:rsidR="00321485" w:rsidRPr="00183521" w:rsidRDefault="00321485" w:rsidP="00292E3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183521">
              <w:rPr>
                <w:rFonts w:ascii="Arial" w:eastAsia="Times New Roman" w:hAnsi="Arial" w:cs="Arial"/>
                <w:sz w:val="18"/>
                <w:szCs w:val="18"/>
                <w:lang w:eastAsia="en-GB"/>
              </w:rPr>
              <w:t>Number of countries</w:t>
            </w:r>
          </w:p>
        </w:tc>
        <w:tc>
          <w:tcPr>
            <w:tcW w:w="1349" w:type="dxa"/>
          </w:tcPr>
          <w:p w:rsidR="00321485" w:rsidRPr="00183521" w:rsidRDefault="00321485" w:rsidP="00292E3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Annual</w:t>
            </w:r>
          </w:p>
        </w:tc>
        <w:tc>
          <w:tcPr>
            <w:tcW w:w="1349" w:type="dxa"/>
          </w:tcPr>
          <w:p w:rsidR="00321485" w:rsidRPr="00183521" w:rsidRDefault="00321485" w:rsidP="00292E3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5-yearly</w:t>
            </w:r>
          </w:p>
        </w:tc>
      </w:tr>
      <w:tr w:rsidR="00321485" w:rsidRPr="00183521" w:rsidTr="00292E3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67" w:type="dxa"/>
            <w:noWrap/>
            <w:hideMark/>
          </w:tcPr>
          <w:p w:rsidR="00321485" w:rsidRPr="00183521" w:rsidRDefault="00321485" w:rsidP="00292E38">
            <w:pPr>
              <w:jc w:val="right"/>
              <w:rPr>
                <w:rFonts w:ascii="Arial" w:eastAsia="Times New Roman" w:hAnsi="Arial" w:cs="Arial"/>
                <w:sz w:val="18"/>
                <w:szCs w:val="18"/>
                <w:lang w:eastAsia="en-GB"/>
              </w:rPr>
            </w:pPr>
            <w:r w:rsidRPr="00183521">
              <w:rPr>
                <w:rFonts w:ascii="Arial" w:eastAsia="Times New Roman" w:hAnsi="Arial" w:cs="Arial"/>
                <w:sz w:val="18"/>
                <w:szCs w:val="18"/>
                <w:lang w:eastAsia="en-GB"/>
              </w:rPr>
              <w:t>Non-deductible Value Added Tax table</w:t>
            </w:r>
          </w:p>
        </w:tc>
        <w:tc>
          <w:tcPr>
            <w:tcW w:w="2077" w:type="dxa"/>
            <w:noWrap/>
            <w:hideMark/>
          </w:tcPr>
          <w:p w:rsidR="00321485" w:rsidRPr="00183521"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183521">
              <w:rPr>
                <w:rFonts w:ascii="Arial" w:eastAsia="Times New Roman" w:hAnsi="Arial" w:cs="Arial"/>
                <w:color w:val="000000"/>
                <w:sz w:val="18"/>
                <w:szCs w:val="18"/>
                <w:lang w:eastAsia="en-GB"/>
              </w:rPr>
              <w:t>22</w:t>
            </w:r>
          </w:p>
        </w:tc>
        <w:tc>
          <w:tcPr>
            <w:tcW w:w="1349" w:type="dxa"/>
            <w:vAlign w:val="bottom"/>
          </w:tcPr>
          <w:p w:rsidR="00321485"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r>
              <w:rPr>
                <w:rStyle w:val="FootnoteReference"/>
                <w:rFonts w:ascii="Arial" w:hAnsi="Arial" w:cs="Arial"/>
                <w:color w:val="000000"/>
                <w:sz w:val="18"/>
                <w:szCs w:val="18"/>
              </w:rPr>
              <w:footnoteReference w:id="2"/>
            </w:r>
          </w:p>
        </w:tc>
        <w:tc>
          <w:tcPr>
            <w:tcW w:w="1349" w:type="dxa"/>
            <w:vAlign w:val="bottom"/>
          </w:tcPr>
          <w:p w:rsidR="00321485"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321485" w:rsidRPr="00183521" w:rsidTr="00292E38">
        <w:trPr>
          <w:trHeight w:val="339"/>
        </w:trPr>
        <w:tc>
          <w:tcPr>
            <w:cnfStyle w:val="001000000000" w:firstRow="0" w:lastRow="0" w:firstColumn="1" w:lastColumn="0" w:oddVBand="0" w:evenVBand="0" w:oddHBand="0" w:evenHBand="0" w:firstRowFirstColumn="0" w:firstRowLastColumn="0" w:lastRowFirstColumn="0" w:lastRowLastColumn="0"/>
            <w:tcW w:w="4467" w:type="dxa"/>
            <w:hideMark/>
          </w:tcPr>
          <w:p w:rsidR="00321485" w:rsidRPr="00183521" w:rsidRDefault="00321485" w:rsidP="00292E38">
            <w:pPr>
              <w:jc w:val="right"/>
              <w:rPr>
                <w:rFonts w:ascii="Arial" w:eastAsia="Times New Roman" w:hAnsi="Arial" w:cs="Arial"/>
                <w:sz w:val="18"/>
                <w:szCs w:val="18"/>
                <w:lang w:eastAsia="en-GB"/>
              </w:rPr>
            </w:pPr>
            <w:r w:rsidRPr="00183521">
              <w:rPr>
                <w:rFonts w:ascii="Arial" w:eastAsia="Times New Roman" w:hAnsi="Arial" w:cs="Arial"/>
                <w:sz w:val="18"/>
                <w:szCs w:val="18"/>
                <w:lang w:eastAsia="en-GB"/>
              </w:rPr>
              <w:t>Taxes on products excluding invoiced VAT table</w:t>
            </w:r>
          </w:p>
        </w:tc>
        <w:tc>
          <w:tcPr>
            <w:tcW w:w="2077" w:type="dxa"/>
            <w:noWrap/>
            <w:hideMark/>
          </w:tcPr>
          <w:p w:rsidR="00321485" w:rsidRPr="00183521"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183521">
              <w:rPr>
                <w:rFonts w:ascii="Arial" w:eastAsia="Times New Roman" w:hAnsi="Arial" w:cs="Arial"/>
                <w:color w:val="000000"/>
                <w:sz w:val="18"/>
                <w:szCs w:val="18"/>
                <w:lang w:eastAsia="en-GB"/>
              </w:rPr>
              <w:t>19</w:t>
            </w:r>
          </w:p>
        </w:tc>
        <w:tc>
          <w:tcPr>
            <w:tcW w:w="1349" w:type="dxa"/>
            <w:vAlign w:val="bottom"/>
          </w:tcPr>
          <w:p w:rsidR="00321485"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w:t>
            </w:r>
          </w:p>
        </w:tc>
        <w:tc>
          <w:tcPr>
            <w:tcW w:w="1349" w:type="dxa"/>
            <w:vAlign w:val="bottom"/>
          </w:tcPr>
          <w:p w:rsidR="00321485"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w:t>
            </w:r>
          </w:p>
        </w:tc>
      </w:tr>
      <w:tr w:rsidR="00321485" w:rsidRPr="00183521" w:rsidTr="00292E3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67" w:type="dxa"/>
            <w:hideMark/>
          </w:tcPr>
          <w:p w:rsidR="00321485" w:rsidRPr="00183521" w:rsidRDefault="00321485" w:rsidP="00292E38">
            <w:pPr>
              <w:jc w:val="right"/>
              <w:rPr>
                <w:rFonts w:ascii="Arial" w:eastAsia="Times New Roman" w:hAnsi="Arial" w:cs="Arial"/>
                <w:sz w:val="18"/>
                <w:szCs w:val="18"/>
                <w:lang w:eastAsia="en-GB"/>
              </w:rPr>
            </w:pPr>
            <w:r w:rsidRPr="00183521">
              <w:rPr>
                <w:rFonts w:ascii="Arial" w:eastAsia="Times New Roman" w:hAnsi="Arial" w:cs="Arial"/>
                <w:sz w:val="18"/>
                <w:szCs w:val="18"/>
                <w:lang w:eastAsia="en-GB"/>
              </w:rPr>
              <w:t>Subsidies on products table</w:t>
            </w:r>
          </w:p>
        </w:tc>
        <w:tc>
          <w:tcPr>
            <w:tcW w:w="2077" w:type="dxa"/>
            <w:noWrap/>
            <w:hideMark/>
          </w:tcPr>
          <w:p w:rsidR="00321485" w:rsidRPr="00183521"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183521">
              <w:rPr>
                <w:rFonts w:ascii="Arial" w:eastAsia="Times New Roman" w:hAnsi="Arial" w:cs="Arial"/>
                <w:color w:val="000000"/>
                <w:sz w:val="18"/>
                <w:szCs w:val="18"/>
                <w:lang w:eastAsia="en-GB"/>
              </w:rPr>
              <w:t>20</w:t>
            </w:r>
          </w:p>
        </w:tc>
        <w:tc>
          <w:tcPr>
            <w:tcW w:w="1349" w:type="dxa"/>
            <w:vAlign w:val="bottom"/>
          </w:tcPr>
          <w:p w:rsidR="00321485"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349" w:type="dxa"/>
            <w:vAlign w:val="bottom"/>
          </w:tcPr>
          <w:p w:rsidR="00321485"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r>
      <w:tr w:rsidR="00321485" w:rsidRPr="00183521" w:rsidTr="00292E38">
        <w:trPr>
          <w:trHeight w:val="240"/>
        </w:trPr>
        <w:tc>
          <w:tcPr>
            <w:cnfStyle w:val="001000000000" w:firstRow="0" w:lastRow="0" w:firstColumn="1" w:lastColumn="0" w:oddVBand="0" w:evenVBand="0" w:oddHBand="0" w:evenHBand="0" w:firstRowFirstColumn="0" w:firstRowLastColumn="0" w:lastRowFirstColumn="0" w:lastRowLastColumn="0"/>
            <w:tcW w:w="4467" w:type="dxa"/>
            <w:hideMark/>
          </w:tcPr>
          <w:p w:rsidR="00321485" w:rsidRPr="00183521" w:rsidRDefault="00321485" w:rsidP="00292E38">
            <w:pPr>
              <w:jc w:val="right"/>
              <w:rPr>
                <w:rFonts w:ascii="Arial" w:eastAsia="Times New Roman" w:hAnsi="Arial" w:cs="Arial"/>
                <w:sz w:val="18"/>
                <w:szCs w:val="18"/>
                <w:lang w:eastAsia="en-GB"/>
              </w:rPr>
            </w:pPr>
            <w:r w:rsidRPr="00183521">
              <w:rPr>
                <w:rFonts w:ascii="Arial" w:eastAsia="Times New Roman" w:hAnsi="Arial" w:cs="Arial"/>
                <w:sz w:val="18"/>
                <w:szCs w:val="18"/>
                <w:lang w:eastAsia="en-GB"/>
              </w:rPr>
              <w:t>Transport margins tables</w:t>
            </w:r>
          </w:p>
        </w:tc>
        <w:tc>
          <w:tcPr>
            <w:tcW w:w="2077" w:type="dxa"/>
            <w:noWrap/>
            <w:hideMark/>
          </w:tcPr>
          <w:p w:rsidR="00321485" w:rsidRPr="00183521"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183521">
              <w:rPr>
                <w:rFonts w:ascii="Arial" w:eastAsia="Times New Roman" w:hAnsi="Arial" w:cs="Arial"/>
                <w:color w:val="000000"/>
                <w:sz w:val="18"/>
                <w:szCs w:val="18"/>
                <w:lang w:eastAsia="en-GB"/>
              </w:rPr>
              <w:t>18</w:t>
            </w:r>
          </w:p>
        </w:tc>
        <w:tc>
          <w:tcPr>
            <w:tcW w:w="1349" w:type="dxa"/>
            <w:vAlign w:val="bottom"/>
          </w:tcPr>
          <w:p w:rsidR="00321485"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349" w:type="dxa"/>
            <w:vAlign w:val="bottom"/>
          </w:tcPr>
          <w:p w:rsidR="00321485"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r>
      <w:tr w:rsidR="00321485" w:rsidRPr="00183521" w:rsidTr="00292E3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67" w:type="dxa"/>
            <w:hideMark/>
          </w:tcPr>
          <w:p w:rsidR="00321485" w:rsidRPr="00183521" w:rsidRDefault="00321485" w:rsidP="00292E38">
            <w:pPr>
              <w:jc w:val="right"/>
              <w:rPr>
                <w:rFonts w:ascii="Arial" w:eastAsia="Times New Roman" w:hAnsi="Arial" w:cs="Arial"/>
                <w:sz w:val="18"/>
                <w:szCs w:val="18"/>
                <w:lang w:eastAsia="en-GB"/>
              </w:rPr>
            </w:pPr>
            <w:r w:rsidRPr="00183521">
              <w:rPr>
                <w:rFonts w:ascii="Arial" w:eastAsia="Times New Roman" w:hAnsi="Arial" w:cs="Arial"/>
                <w:sz w:val="18"/>
                <w:szCs w:val="18"/>
                <w:lang w:eastAsia="en-GB"/>
              </w:rPr>
              <w:t>Retail trade margins</w:t>
            </w:r>
          </w:p>
        </w:tc>
        <w:tc>
          <w:tcPr>
            <w:tcW w:w="2077" w:type="dxa"/>
            <w:noWrap/>
            <w:hideMark/>
          </w:tcPr>
          <w:p w:rsidR="00321485" w:rsidRPr="00183521"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GB"/>
              </w:rPr>
            </w:pPr>
            <w:r w:rsidRPr="00183521">
              <w:rPr>
                <w:rFonts w:ascii="Arial" w:eastAsia="Times New Roman" w:hAnsi="Arial" w:cs="Arial"/>
                <w:color w:val="000000"/>
                <w:sz w:val="18"/>
                <w:szCs w:val="18"/>
                <w:lang w:eastAsia="en-GB"/>
              </w:rPr>
              <w:t>17</w:t>
            </w:r>
          </w:p>
        </w:tc>
        <w:tc>
          <w:tcPr>
            <w:tcW w:w="1349" w:type="dxa"/>
            <w:vAlign w:val="bottom"/>
          </w:tcPr>
          <w:p w:rsidR="00321485"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w:t>
            </w:r>
          </w:p>
        </w:tc>
        <w:tc>
          <w:tcPr>
            <w:tcW w:w="1349" w:type="dxa"/>
            <w:vAlign w:val="bottom"/>
          </w:tcPr>
          <w:p w:rsidR="00321485" w:rsidRDefault="00321485" w:rsidP="00292E3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p>
        </w:tc>
      </w:tr>
      <w:tr w:rsidR="00321485" w:rsidRPr="00183521" w:rsidTr="00292E38">
        <w:trPr>
          <w:trHeight w:val="240"/>
        </w:trPr>
        <w:tc>
          <w:tcPr>
            <w:cnfStyle w:val="001000000000" w:firstRow="0" w:lastRow="0" w:firstColumn="1" w:lastColumn="0" w:oddVBand="0" w:evenVBand="0" w:oddHBand="0" w:evenHBand="0" w:firstRowFirstColumn="0" w:firstRowLastColumn="0" w:lastRowFirstColumn="0" w:lastRowLastColumn="0"/>
            <w:tcW w:w="4467" w:type="dxa"/>
            <w:hideMark/>
          </w:tcPr>
          <w:p w:rsidR="00321485" w:rsidRPr="00183521" w:rsidRDefault="00321485" w:rsidP="00292E38">
            <w:pPr>
              <w:jc w:val="right"/>
              <w:rPr>
                <w:rFonts w:ascii="Arial" w:eastAsia="Times New Roman" w:hAnsi="Arial" w:cs="Arial"/>
                <w:sz w:val="18"/>
                <w:szCs w:val="18"/>
                <w:lang w:eastAsia="en-GB"/>
              </w:rPr>
            </w:pPr>
            <w:r w:rsidRPr="00183521">
              <w:rPr>
                <w:rFonts w:ascii="Arial" w:eastAsia="Times New Roman" w:hAnsi="Arial" w:cs="Arial"/>
                <w:sz w:val="18"/>
                <w:szCs w:val="18"/>
                <w:lang w:eastAsia="en-GB"/>
              </w:rPr>
              <w:t>Wholesale trade margins</w:t>
            </w:r>
          </w:p>
        </w:tc>
        <w:tc>
          <w:tcPr>
            <w:tcW w:w="2077" w:type="dxa"/>
            <w:noWrap/>
            <w:hideMark/>
          </w:tcPr>
          <w:p w:rsidR="00321485" w:rsidRPr="00183521"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GB"/>
              </w:rPr>
            </w:pPr>
            <w:r w:rsidRPr="00183521">
              <w:rPr>
                <w:rFonts w:ascii="Arial" w:eastAsia="Times New Roman" w:hAnsi="Arial" w:cs="Arial"/>
                <w:color w:val="000000"/>
                <w:sz w:val="18"/>
                <w:szCs w:val="18"/>
                <w:lang w:eastAsia="en-GB"/>
              </w:rPr>
              <w:t>17</w:t>
            </w:r>
          </w:p>
        </w:tc>
        <w:tc>
          <w:tcPr>
            <w:tcW w:w="1349" w:type="dxa"/>
            <w:vAlign w:val="bottom"/>
          </w:tcPr>
          <w:p w:rsidR="00321485"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w:t>
            </w:r>
          </w:p>
        </w:tc>
        <w:tc>
          <w:tcPr>
            <w:tcW w:w="1349" w:type="dxa"/>
            <w:vAlign w:val="bottom"/>
          </w:tcPr>
          <w:p w:rsidR="00321485" w:rsidRDefault="00321485" w:rsidP="00292E3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p>
        </w:tc>
      </w:tr>
    </w:tbl>
    <w:p w:rsidR="00321485" w:rsidRDefault="00321485" w:rsidP="00941F61"/>
    <w:p w:rsidR="00941F61" w:rsidRDefault="00941F61" w:rsidP="00941F61">
      <w:pPr>
        <w:pStyle w:val="Heading3"/>
      </w:pPr>
      <w:r>
        <w:t>Balancing process</w:t>
      </w:r>
    </w:p>
    <w:p w:rsidR="00941F61" w:rsidRDefault="00941F61" w:rsidP="00941F61">
      <w:r>
        <w:t xml:space="preserve">Data confrontation is needed in the compilation of the SUTs and corresponds to a balancing process that will achieve all key identities are consistent in the SUTs framework. Countries may use exclusively an automatic or a manual procedure while others will combine both approaches. </w:t>
      </w:r>
    </w:p>
    <w:p w:rsidR="00941F61" w:rsidRDefault="00941F61" w:rsidP="00941F61">
      <w:r>
        <w:t xml:space="preserve">11 countries balance mostly manually </w:t>
      </w:r>
      <w:proofErr w:type="gramStart"/>
      <w:r>
        <w:t>(between 85% to 100% of the whole table)</w:t>
      </w:r>
      <w:proofErr w:type="gramEnd"/>
      <w:r>
        <w:t xml:space="preserve"> while five countries balance manually 50% or less of the table. When using automatic procedure, five countries balance almost everything this way (85% to 100%), while eight countries use the automatic way f</w:t>
      </w:r>
      <w:r w:rsidR="00321485">
        <w:t>or less than half of the table.</w:t>
      </w:r>
    </w:p>
    <w:p w:rsidR="00941F61" w:rsidRDefault="00941F61" w:rsidP="00941F61">
      <w:r>
        <w:t>For many countries where the manual balancing is used, l</w:t>
      </w:r>
      <w:r w:rsidRPr="005C5A3B">
        <w:t>arge balancing issues are solved manually</w:t>
      </w:r>
      <w:r>
        <w:t xml:space="preserve"> or even nearly all cells, the automatic procedure (like RAS or </w:t>
      </w:r>
      <w:r w:rsidRPr="005C5A3B">
        <w:t xml:space="preserve">Stone, </w:t>
      </w:r>
      <w:proofErr w:type="spellStart"/>
      <w:r w:rsidRPr="005C5A3B">
        <w:t>Champernowne</w:t>
      </w:r>
      <w:proofErr w:type="spellEnd"/>
      <w:r w:rsidRPr="005C5A3B">
        <w:t xml:space="preserve"> and Meade (1942) approach</w:t>
      </w:r>
      <w:r>
        <w:t xml:space="preserve"> for example) solves then the r</w:t>
      </w:r>
      <w:r w:rsidRPr="005C5A3B">
        <w:t>emaining balancing issues</w:t>
      </w:r>
      <w:r>
        <w:t>.</w:t>
      </w:r>
    </w:p>
    <w:p w:rsidR="00941F61" w:rsidRDefault="00941F61" w:rsidP="00941F61">
      <w:r>
        <w:t xml:space="preserve">The manual balancing may take a considerable time; for example in </w:t>
      </w:r>
      <w:r w:rsidR="00321485">
        <w:t>one country</w:t>
      </w:r>
      <w:r>
        <w:t>, the m</w:t>
      </w:r>
      <w:r w:rsidRPr="005C5A3B">
        <w:t>anually balanc</w:t>
      </w:r>
      <w:r>
        <w:t>ing takes around 6 weeks, using eight</w:t>
      </w:r>
      <w:r w:rsidRPr="005C5A3B">
        <w:t xml:space="preserve"> FT</w:t>
      </w:r>
      <w:r>
        <w:t>E</w:t>
      </w:r>
      <w:r w:rsidRPr="005C5A3B">
        <w:t xml:space="preserve"> SUT staff and around 10 seconded staff, until very near the end of the process, when a </w:t>
      </w:r>
      <w:proofErr w:type="spellStart"/>
      <w:r w:rsidRPr="005C5A3B">
        <w:t>RaS</w:t>
      </w:r>
      <w:proofErr w:type="spellEnd"/>
      <w:r w:rsidRPr="005C5A3B">
        <w:t xml:space="preserve"> algorithm </w:t>
      </w:r>
      <w:r>
        <w:t xml:space="preserve">is performed </w:t>
      </w:r>
      <w:r w:rsidRPr="005C5A3B">
        <w:t>to remove final, minor imbalances</w:t>
      </w:r>
      <w:r>
        <w:t>.</w:t>
      </w:r>
    </w:p>
    <w:p w:rsidR="00941F61" w:rsidRDefault="00941F61" w:rsidP="00941F61">
      <w:r>
        <w:t>The balancing process does not take as much in terms of human resources than the compilation itself.</w:t>
      </w:r>
      <w:r w:rsidRPr="00C25562">
        <w:t xml:space="preserve"> </w:t>
      </w:r>
    </w:p>
    <w:p w:rsidR="00941F61" w:rsidRDefault="00941F61" w:rsidP="00941F61">
      <w:r>
        <w:t>It is to be highlighted that at least six countries rely only one or two people responsible for the compilation of the SUTs table and for the balancing.</w:t>
      </w:r>
    </w:p>
    <w:p w:rsidR="00941F61" w:rsidRDefault="00941F61" w:rsidP="00941F61">
      <w:pPr>
        <w:pStyle w:val="Heading3"/>
      </w:pPr>
      <w:r>
        <w:t>Other methodological issues</w:t>
      </w:r>
    </w:p>
    <w:p w:rsidR="00941F61" w:rsidRDefault="00941F61" w:rsidP="00941F61">
      <w:r w:rsidRPr="006A20BF">
        <w:t xml:space="preserve">The </w:t>
      </w:r>
      <w:r>
        <w:t xml:space="preserve">SUTs bring </w:t>
      </w:r>
      <w:r w:rsidRPr="006A20BF">
        <w:t xml:space="preserve">together the components </w:t>
      </w:r>
      <w:r>
        <w:t xml:space="preserve">enabling the compilation of the </w:t>
      </w:r>
      <w:r w:rsidRPr="007F1F38">
        <w:rPr>
          <w:b/>
        </w:rPr>
        <w:t>GDP</w:t>
      </w:r>
      <w:r>
        <w:t xml:space="preserve"> measure via th</w:t>
      </w:r>
      <w:r w:rsidRPr="006A20BF">
        <w:t>ree approaches (production, income and expenditure).  When balanced, the</w:t>
      </w:r>
      <w:r>
        <w:t xml:space="preserve"> SUTs </w:t>
      </w:r>
      <w:r w:rsidRPr="006A20BF">
        <w:t>enable</w:t>
      </w:r>
      <w:r>
        <w:t xml:space="preserve"> a single estimate of GDP which is one of the most important aims of SUTs.</w:t>
      </w:r>
      <w:r w:rsidRPr="006A20BF">
        <w:t xml:space="preserve"> </w:t>
      </w:r>
      <w:r>
        <w:t>Not all countries do use SUT in the three approaches. The different number of countries using SUTs to measure GDP under income approach and production approach may be related to the timing of the GDP calculation according to those different approaches.</w:t>
      </w:r>
    </w:p>
    <w:p w:rsidR="00941F61" w:rsidRDefault="00941F61" w:rsidP="00941F61">
      <w:r>
        <w:t xml:space="preserve">15 countries compile </w:t>
      </w:r>
      <w:r w:rsidRPr="007F1F38">
        <w:rPr>
          <w:b/>
        </w:rPr>
        <w:t>regional</w:t>
      </w:r>
      <w:r>
        <w:t>/provincial accounts that are consistent with the national SUTs using the same framework. Their regional accounts are compiled at NUTS3 level for the majority.</w:t>
      </w:r>
    </w:p>
    <w:p w:rsidR="00941F61" w:rsidRDefault="00941F61" w:rsidP="00941F61">
      <w:r>
        <w:t>A specific question to goods sent abroad for processing shows that 17 countries declare a net approach to this measure, while seven declare a gross approach.</w:t>
      </w:r>
    </w:p>
    <w:p w:rsidR="00941F61" w:rsidRDefault="00941F61" w:rsidP="00941F61">
      <w:r>
        <w:t>In addition to 12 countries producing IOTs on a 5-yearly basis, seven compile IOTs</w:t>
      </w:r>
      <w:r w:rsidR="00321485">
        <w:t xml:space="preserve"> annually and one every 3 years. </w:t>
      </w:r>
      <w:r>
        <w:t>The majority of countries compile a product by product table: 17 countries, six countries produce industry by industry IOTs out of which three countries produce both kind of tables product by product and industry by industry tables (Belgium, Czech Republic and Hungary).</w:t>
      </w:r>
    </w:p>
    <w:p w:rsidR="00941F61" w:rsidRDefault="00941F61" w:rsidP="00941F61">
      <w:r>
        <w:lastRenderedPageBreak/>
        <w:t>The IOTs are often the results of a transformation model run on the SUTs. Most countries use the product technology assumption to derive IOTs where eac</w:t>
      </w:r>
      <w:r w:rsidRPr="00B12EAA">
        <w:t>h product has its specific technology, irrespective of the industry that produces that product</w:t>
      </w:r>
      <w:r>
        <w:t>.</w:t>
      </w:r>
    </w:p>
    <w:p w:rsidR="00941F61" w:rsidRDefault="00941F61" w:rsidP="00941F61">
      <w:pPr>
        <w:pStyle w:val="Heading2"/>
        <w:suppressAutoHyphens/>
        <w:overflowPunct w:val="0"/>
        <w:autoSpaceDE w:val="0"/>
        <w:autoSpaceDN w:val="0"/>
        <w:adjustRightInd w:val="0"/>
        <w:spacing w:line="276" w:lineRule="auto"/>
        <w:ind w:left="1080"/>
        <w:jc w:val="both"/>
        <w:textAlignment w:val="baseline"/>
      </w:pPr>
      <w:r>
        <w:t>Dissemination and quality</w:t>
      </w:r>
    </w:p>
    <w:p w:rsidR="00941F61" w:rsidRDefault="00941F61" w:rsidP="00941F61">
      <w:r>
        <w:t xml:space="preserve">European countries may not disseminate the full Supply, Use and Input-Output Tables because of confidentiality issues. Nine countries apply confidentiality rules that apply to 1% to 20% of the number of cells. </w:t>
      </w:r>
    </w:p>
    <w:p w:rsidR="00941F61" w:rsidRDefault="00941F61" w:rsidP="00941F61">
      <w:r>
        <w:t>In terms of quality, 13 countries assess the quality which is part of the National Code of Practice put into force in the NSO.</w:t>
      </w:r>
    </w:p>
    <w:p w:rsidR="00321485" w:rsidRDefault="00941F61" w:rsidP="00941F61">
      <w:r>
        <w:t xml:space="preserve">Except for </w:t>
      </w:r>
      <w:r w:rsidR="00321485">
        <w:t>two countries</w:t>
      </w:r>
      <w:r>
        <w:t>, the SUTs are made publicly available via website or paper publication</w:t>
      </w:r>
    </w:p>
    <w:p w:rsidR="00941F61" w:rsidRDefault="00941F61" w:rsidP="00941F61">
      <w:r>
        <w:t>The users' needs are taken into account by NSO (13 countries answered positively to the question). User's survey is not done on a regular basis (except in Slovakia and Sweden). Supply, Use and Input-Output Tables are made available to Eurostat but as well to many other users: for example instances of policy analysis, universities, research institutes, national banks, local and international organisations, ministries (in particular ministry of finances). Ad-hoc requests may be answered as well.</w:t>
      </w:r>
    </w:p>
    <w:p w:rsidR="00941F61" w:rsidRDefault="00941F61" w:rsidP="00941F61">
      <w:r>
        <w:t>Documentation is usually made available publicly regarding Supply, Use and Input-Output Tables. An annex with the list of link to useful documentation would be available with the paper on Eurostat website.</w:t>
      </w:r>
    </w:p>
    <w:p w:rsidR="00941F61" w:rsidRDefault="00941F61" w:rsidP="00941F61">
      <w:pPr>
        <w:pStyle w:val="Heading2"/>
        <w:suppressAutoHyphens/>
        <w:overflowPunct w:val="0"/>
        <w:autoSpaceDE w:val="0"/>
        <w:autoSpaceDN w:val="0"/>
        <w:adjustRightInd w:val="0"/>
        <w:spacing w:line="276" w:lineRule="auto"/>
        <w:ind w:left="1080"/>
        <w:jc w:val="both"/>
        <w:textAlignment w:val="baseline"/>
      </w:pPr>
      <w:r>
        <w:t>Applications and satellite systems</w:t>
      </w:r>
    </w:p>
    <w:p w:rsidR="00941F61" w:rsidRPr="00762287" w:rsidRDefault="00941F61" w:rsidP="00941F61">
      <w:r>
        <w:t>13 countries compile environmental accounts (from which 9 are done under the NSI responsibility) and 16 countries produce tourism accounts.</w:t>
      </w:r>
    </w:p>
    <w:tbl>
      <w:tblPr>
        <w:tblStyle w:val="LightList-Accent4"/>
        <w:tblW w:w="9800" w:type="dxa"/>
        <w:tblLook w:val="04A0" w:firstRow="1" w:lastRow="0" w:firstColumn="1" w:lastColumn="0" w:noHBand="0" w:noVBand="1"/>
      </w:tblPr>
      <w:tblGrid>
        <w:gridCol w:w="7479"/>
        <w:gridCol w:w="617"/>
        <w:gridCol w:w="957"/>
        <w:gridCol w:w="747"/>
      </w:tblGrid>
      <w:tr w:rsidR="00941F61" w:rsidRPr="00762287" w:rsidTr="00321485">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479" w:type="dxa"/>
            <w:noWrap/>
            <w:hideMark/>
          </w:tcPr>
          <w:p w:rsidR="00941F61" w:rsidRPr="00762287" w:rsidRDefault="00941F61" w:rsidP="00292E38">
            <w:pPr>
              <w:rPr>
                <w:rFonts w:ascii="Arial" w:eastAsia="Times New Roman" w:hAnsi="Arial" w:cs="Arial"/>
                <w:color w:val="000000"/>
                <w:sz w:val="18"/>
                <w:szCs w:val="18"/>
              </w:rPr>
            </w:pPr>
            <w:r w:rsidRPr="00762287">
              <w:rPr>
                <w:rFonts w:ascii="Arial" w:eastAsia="Times New Roman" w:hAnsi="Arial" w:cs="Arial"/>
                <w:color w:val="000000"/>
                <w:sz w:val="18"/>
                <w:szCs w:val="18"/>
              </w:rPr>
              <w:t>Are the following applications/systems compiled in your organisation (if not in your organisation, please indicate who is the producer)?</w:t>
            </w:r>
          </w:p>
        </w:tc>
        <w:tc>
          <w:tcPr>
            <w:tcW w:w="617" w:type="dxa"/>
            <w:noWrap/>
            <w:hideMark/>
          </w:tcPr>
          <w:p w:rsidR="00941F61" w:rsidRPr="00762287" w:rsidRDefault="00941F61" w:rsidP="00292E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NSI</w:t>
            </w:r>
          </w:p>
        </w:tc>
        <w:tc>
          <w:tcPr>
            <w:tcW w:w="957" w:type="dxa"/>
            <w:noWrap/>
            <w:hideMark/>
          </w:tcPr>
          <w:p w:rsidR="00941F61" w:rsidRPr="00762287" w:rsidRDefault="00941F61" w:rsidP="00292E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outside</w:t>
            </w:r>
          </w:p>
        </w:tc>
        <w:tc>
          <w:tcPr>
            <w:tcW w:w="747" w:type="dxa"/>
          </w:tcPr>
          <w:p w:rsidR="00941F61" w:rsidRPr="00762287" w:rsidRDefault="00941F61" w:rsidP="00292E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Total</w:t>
            </w:r>
          </w:p>
        </w:tc>
      </w:tr>
      <w:tr w:rsidR="00941F61" w:rsidRPr="00762287" w:rsidTr="0032148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Physical Input-output tables</w:t>
            </w:r>
          </w:p>
        </w:tc>
        <w:tc>
          <w:tcPr>
            <w:tcW w:w="61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5</w:t>
            </w:r>
          </w:p>
        </w:tc>
        <w:tc>
          <w:tcPr>
            <w:tcW w:w="95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1</w:t>
            </w:r>
          </w:p>
        </w:tc>
        <w:tc>
          <w:tcPr>
            <w:tcW w:w="747" w:type="dxa"/>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6</w:t>
            </w:r>
          </w:p>
        </w:tc>
      </w:tr>
      <w:tr w:rsidR="00941F61" w:rsidRPr="00762287" w:rsidTr="00321485">
        <w:trPr>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Environmental accounts</w:t>
            </w:r>
          </w:p>
        </w:tc>
        <w:tc>
          <w:tcPr>
            <w:tcW w:w="61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9</w:t>
            </w:r>
          </w:p>
        </w:tc>
        <w:tc>
          <w:tcPr>
            <w:tcW w:w="95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4</w:t>
            </w:r>
          </w:p>
        </w:tc>
        <w:tc>
          <w:tcPr>
            <w:tcW w:w="747" w:type="dxa"/>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13</w:t>
            </w:r>
          </w:p>
        </w:tc>
      </w:tr>
      <w:tr w:rsidR="00941F61" w:rsidRPr="00762287" w:rsidTr="0032148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Education accounts</w:t>
            </w:r>
          </w:p>
        </w:tc>
        <w:tc>
          <w:tcPr>
            <w:tcW w:w="61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3</w:t>
            </w:r>
          </w:p>
        </w:tc>
        <w:tc>
          <w:tcPr>
            <w:tcW w:w="95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1</w:t>
            </w:r>
          </w:p>
        </w:tc>
        <w:tc>
          <w:tcPr>
            <w:tcW w:w="747" w:type="dxa"/>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4</w:t>
            </w:r>
          </w:p>
        </w:tc>
      </w:tr>
      <w:tr w:rsidR="00941F61" w:rsidRPr="00762287" w:rsidTr="00321485">
        <w:trPr>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Health accounts</w:t>
            </w:r>
          </w:p>
        </w:tc>
        <w:tc>
          <w:tcPr>
            <w:tcW w:w="61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6</w:t>
            </w:r>
          </w:p>
        </w:tc>
        <w:tc>
          <w:tcPr>
            <w:tcW w:w="95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6</w:t>
            </w:r>
          </w:p>
        </w:tc>
        <w:tc>
          <w:tcPr>
            <w:tcW w:w="747" w:type="dxa"/>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12</w:t>
            </w:r>
          </w:p>
        </w:tc>
      </w:tr>
      <w:tr w:rsidR="00941F61" w:rsidRPr="00762287" w:rsidTr="0032148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Tourism accounts</w:t>
            </w:r>
          </w:p>
        </w:tc>
        <w:tc>
          <w:tcPr>
            <w:tcW w:w="61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9</w:t>
            </w:r>
          </w:p>
        </w:tc>
        <w:tc>
          <w:tcPr>
            <w:tcW w:w="95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7</w:t>
            </w:r>
          </w:p>
        </w:tc>
        <w:tc>
          <w:tcPr>
            <w:tcW w:w="747" w:type="dxa"/>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16</w:t>
            </w:r>
          </w:p>
        </w:tc>
      </w:tr>
      <w:tr w:rsidR="00941F61" w:rsidRPr="00762287" w:rsidTr="00321485">
        <w:trPr>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Employment statistics</w:t>
            </w:r>
          </w:p>
        </w:tc>
        <w:tc>
          <w:tcPr>
            <w:tcW w:w="61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6</w:t>
            </w:r>
          </w:p>
        </w:tc>
        <w:tc>
          <w:tcPr>
            <w:tcW w:w="95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3</w:t>
            </w:r>
          </w:p>
        </w:tc>
        <w:tc>
          <w:tcPr>
            <w:tcW w:w="747" w:type="dxa"/>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9</w:t>
            </w:r>
          </w:p>
        </w:tc>
      </w:tr>
      <w:tr w:rsidR="00941F61" w:rsidRPr="00762287" w:rsidTr="0032148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Productivity accounts</w:t>
            </w:r>
          </w:p>
        </w:tc>
        <w:tc>
          <w:tcPr>
            <w:tcW w:w="61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3</w:t>
            </w:r>
          </w:p>
        </w:tc>
        <w:tc>
          <w:tcPr>
            <w:tcW w:w="957" w:type="dxa"/>
            <w:noWrap/>
            <w:hideMark/>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p>
        </w:tc>
        <w:tc>
          <w:tcPr>
            <w:tcW w:w="747" w:type="dxa"/>
          </w:tcPr>
          <w:p w:rsidR="00941F61" w:rsidRPr="00762287" w:rsidRDefault="00941F61" w:rsidP="00292E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3</w:t>
            </w:r>
          </w:p>
        </w:tc>
      </w:tr>
      <w:tr w:rsidR="00941F61" w:rsidRPr="00762287" w:rsidTr="00321485">
        <w:trPr>
          <w:trHeight w:val="240"/>
        </w:trPr>
        <w:tc>
          <w:tcPr>
            <w:cnfStyle w:val="001000000000" w:firstRow="0" w:lastRow="0" w:firstColumn="1" w:lastColumn="0" w:oddVBand="0" w:evenVBand="0" w:oddHBand="0" w:evenHBand="0" w:firstRowFirstColumn="0" w:firstRowLastColumn="0" w:lastRowFirstColumn="0" w:lastRowLastColumn="0"/>
            <w:tcW w:w="7479" w:type="dxa"/>
            <w:hideMark/>
          </w:tcPr>
          <w:p w:rsidR="00941F61" w:rsidRPr="00762287" w:rsidRDefault="00941F61" w:rsidP="00292E38">
            <w:pPr>
              <w:jc w:val="right"/>
              <w:rPr>
                <w:rFonts w:ascii="Arial" w:eastAsia="Times New Roman" w:hAnsi="Arial" w:cs="Arial"/>
                <w:color w:val="000000"/>
                <w:sz w:val="18"/>
                <w:szCs w:val="18"/>
              </w:rPr>
            </w:pPr>
            <w:r w:rsidRPr="00762287">
              <w:rPr>
                <w:rFonts w:ascii="Arial" w:eastAsia="Times New Roman" w:hAnsi="Arial" w:cs="Arial"/>
                <w:color w:val="000000"/>
                <w:sz w:val="18"/>
                <w:szCs w:val="18"/>
              </w:rPr>
              <w:t>Social accounting matrices</w:t>
            </w:r>
          </w:p>
        </w:tc>
        <w:tc>
          <w:tcPr>
            <w:tcW w:w="61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2</w:t>
            </w:r>
          </w:p>
        </w:tc>
        <w:tc>
          <w:tcPr>
            <w:tcW w:w="957" w:type="dxa"/>
            <w:noWrap/>
            <w:hideMark/>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62287">
              <w:rPr>
                <w:rFonts w:ascii="Arial" w:eastAsia="Times New Roman" w:hAnsi="Arial" w:cs="Arial"/>
                <w:color w:val="000000"/>
                <w:sz w:val="18"/>
                <w:szCs w:val="18"/>
              </w:rPr>
              <w:t>1</w:t>
            </w:r>
          </w:p>
        </w:tc>
        <w:tc>
          <w:tcPr>
            <w:tcW w:w="747" w:type="dxa"/>
          </w:tcPr>
          <w:p w:rsidR="00941F61" w:rsidRPr="00762287" w:rsidRDefault="00941F61" w:rsidP="00292E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Pr>
                <w:rFonts w:ascii="Arial" w:eastAsia="Times New Roman" w:hAnsi="Arial" w:cs="Arial"/>
                <w:color w:val="000000"/>
                <w:sz w:val="18"/>
                <w:szCs w:val="18"/>
              </w:rPr>
              <w:t>3</w:t>
            </w:r>
          </w:p>
        </w:tc>
      </w:tr>
    </w:tbl>
    <w:p w:rsidR="00941F61" w:rsidRDefault="00941F61" w:rsidP="00941F61">
      <w:pPr>
        <w:pStyle w:val="Heading1"/>
        <w:keepLines/>
        <w:spacing w:before="480" w:after="240"/>
        <w:jc w:val="both"/>
      </w:pPr>
      <w:r>
        <w:t>Questionnaire results conclusions</w:t>
      </w:r>
    </w:p>
    <w:p w:rsidR="00941F61" w:rsidRDefault="00941F61" w:rsidP="00941F61">
      <w:r>
        <w:t>The review of the national questionnaire related to the compilation of supply, Use and Input-Output tables underlines the way for harmonisation that the European Union pushes through the adoption of common methodological, classifications standards.</w:t>
      </w:r>
    </w:p>
    <w:p w:rsidR="00941F61" w:rsidRDefault="00941F61" w:rsidP="00941F61">
      <w:r>
        <w:t>However there are still room for improvements in this direction to stress even more the comparability of data across countries:</w:t>
      </w:r>
    </w:p>
    <w:p w:rsidR="00941F61" w:rsidRDefault="00941F61" w:rsidP="00941F61">
      <w:pPr>
        <w:pStyle w:val="ListParagraph"/>
        <w:numPr>
          <w:ilvl w:val="0"/>
          <w:numId w:val="45"/>
        </w:numPr>
        <w:spacing w:after="200"/>
      </w:pPr>
      <w:r>
        <w:t xml:space="preserve">The definition of the statistical unit on which SUTs and IOTs are based remains diverse among countries: ten countries base the compilation of SUTs on enterprises while five countries do it for the IOTs compilation. </w:t>
      </w:r>
    </w:p>
    <w:p w:rsidR="00941F61" w:rsidRDefault="00941F61" w:rsidP="00941F61">
      <w:pPr>
        <w:pStyle w:val="ListParagraph"/>
        <w:numPr>
          <w:ilvl w:val="0"/>
          <w:numId w:val="45"/>
        </w:numPr>
        <w:spacing w:after="200"/>
      </w:pPr>
      <w:r>
        <w:t>The compilation of valuation matrices is not systematic on an annual basis for all countries. However those valuation matrices are a key element for compilation SUTs.</w:t>
      </w:r>
    </w:p>
    <w:p w:rsidR="00941F61" w:rsidRDefault="00941F61" w:rsidP="00941F61">
      <w:pPr>
        <w:pStyle w:val="ListParagraph"/>
        <w:numPr>
          <w:ilvl w:val="0"/>
          <w:numId w:val="45"/>
        </w:numPr>
        <w:spacing w:after="200"/>
      </w:pPr>
      <w:r>
        <w:lastRenderedPageBreak/>
        <w:t>The treatment of goods sent abroad for processing is not consistent across countries: 17 countries declare a net approach to this measure, while seven declare a gross approach.</w:t>
      </w:r>
    </w:p>
    <w:p w:rsidR="00941F61" w:rsidRDefault="00941F61" w:rsidP="00941F61">
      <w:pPr>
        <w:pStyle w:val="ListParagraph"/>
        <w:numPr>
          <w:ilvl w:val="0"/>
          <w:numId w:val="45"/>
        </w:numPr>
        <w:spacing w:after="200"/>
      </w:pPr>
      <w:r>
        <w:t>The compilation of IOTs is subject to assumptions made on the input structure of the producing industries. The two main models are p</w:t>
      </w:r>
      <w:r w:rsidRPr="00C92AAB">
        <w:t xml:space="preserve">roduct technology assumption (model A) </w:t>
      </w:r>
      <w:r>
        <w:t>used by 15 countries or the f</w:t>
      </w:r>
      <w:r w:rsidRPr="00C92AAB">
        <w:t xml:space="preserve">ixed product sales structure assumption (model D) </w:t>
      </w:r>
      <w:r>
        <w:t>used by six countries. The compilation of IOT may gain for using a hybrid assumption.</w:t>
      </w:r>
    </w:p>
    <w:p w:rsidR="00941F61" w:rsidRDefault="00941F61" w:rsidP="00941F61">
      <w:r>
        <w:t>Two other issues emerge from the review:</w:t>
      </w:r>
    </w:p>
    <w:p w:rsidR="00941F61" w:rsidRDefault="00941F61" w:rsidP="00941F61">
      <w:pPr>
        <w:pStyle w:val="ListParagraph"/>
        <w:numPr>
          <w:ilvl w:val="1"/>
          <w:numId w:val="46"/>
        </w:numPr>
        <w:spacing w:after="200"/>
      </w:pPr>
      <w:r>
        <w:t>The organisation centralised against decentralised: most NSIs have a centralised organisation covering annual, quarterly National Accounts as well as Supply, Use and Input-Output tables;</w:t>
      </w:r>
    </w:p>
    <w:p w:rsidR="00941F61" w:rsidRDefault="00941F61" w:rsidP="00941F61">
      <w:pPr>
        <w:pStyle w:val="ListParagraph"/>
        <w:numPr>
          <w:ilvl w:val="1"/>
          <w:numId w:val="46"/>
        </w:numPr>
        <w:spacing w:after="200"/>
      </w:pPr>
      <w:r>
        <w:t>The size of Input-Output Tables is smaller than the Supply and Use tables when the number of products in the SUTs is larger than 140.</w:t>
      </w:r>
    </w:p>
    <w:p w:rsidR="00941F61" w:rsidRDefault="00941F61" w:rsidP="00941F61">
      <w:r>
        <w:t>This review points out some advantages of the SUIOT framework in the National Accounts domain: a greater integration of SUT within National Accounts domain ensures the revision process of GDP figures to be always coherent. This approach is highly recommended in Eurostat manual (2008) and in the UN Handbook edition 2015.</w:t>
      </w:r>
    </w:p>
    <w:p w:rsidR="000D5C67" w:rsidRDefault="000D5C67" w:rsidP="000D5C67">
      <w:bookmarkStart w:id="0" w:name="_GoBack"/>
      <w:bookmarkEnd w:id="0"/>
    </w:p>
    <w:sectPr w:rsidR="000D5C67" w:rsidSect="00370EB7">
      <w:footerReference w:type="default" r:id="rId14"/>
      <w:pgSz w:w="11905" w:h="17337"/>
      <w:pgMar w:top="1290" w:right="668" w:bottom="1113" w:left="6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0E" w:rsidRDefault="00B1470E">
      <w:r>
        <w:separator/>
      </w:r>
    </w:p>
  </w:endnote>
  <w:endnote w:type="continuationSeparator" w:id="0">
    <w:p w:rsidR="00B1470E" w:rsidRDefault="00B1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Schoolbook">
    <w:altName w:val="NewCenturySchlbk"/>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09" w:rsidRDefault="00220F09">
    <w:pPr>
      <w:pStyle w:val="Footer"/>
      <w:jc w:val="center"/>
    </w:pPr>
    <w:r>
      <w:fldChar w:fldCharType="begin"/>
    </w:r>
    <w:r>
      <w:instrText>PAGE   \* MERGEFORMAT</w:instrText>
    </w:r>
    <w:r>
      <w:fldChar w:fldCharType="separate"/>
    </w:r>
    <w:r w:rsidR="002D0548" w:rsidRPr="002D0548">
      <w:rPr>
        <w:noProof/>
        <w:lang w:val="es-ES"/>
      </w:rPr>
      <w:t>10</w:t>
    </w:r>
    <w:r>
      <w:fldChar w:fldCharType="end"/>
    </w:r>
  </w:p>
  <w:p w:rsidR="00220F09" w:rsidRDefault="00220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0E" w:rsidRDefault="00B1470E">
      <w:r>
        <w:separator/>
      </w:r>
    </w:p>
  </w:footnote>
  <w:footnote w:type="continuationSeparator" w:id="0">
    <w:p w:rsidR="00B1470E" w:rsidRDefault="00B1470E">
      <w:r>
        <w:continuationSeparator/>
      </w:r>
    </w:p>
  </w:footnote>
  <w:footnote w:id="1">
    <w:p w:rsidR="00D01EB4" w:rsidRPr="00D01EB4" w:rsidRDefault="00D01EB4">
      <w:pPr>
        <w:pStyle w:val="FootnoteText"/>
        <w:rPr>
          <w:lang w:val="fr-BE"/>
        </w:rPr>
      </w:pPr>
      <w:r>
        <w:rPr>
          <w:rStyle w:val="FootnoteReference"/>
        </w:rPr>
        <w:footnoteRef/>
      </w:r>
      <w:r>
        <w:t xml:space="preserve"> </w:t>
      </w:r>
      <w:r w:rsidRPr="004E1273">
        <w:rPr>
          <w:szCs w:val="22"/>
        </w:rPr>
        <w:t>The views expressed in this paper belong to the author and should not be attributed to the European Commission, Eurostat or its services.</w:t>
      </w:r>
    </w:p>
  </w:footnote>
  <w:footnote w:id="2">
    <w:p w:rsidR="00321485" w:rsidRPr="00797C80" w:rsidRDefault="00321485" w:rsidP="00321485">
      <w:pPr>
        <w:pStyle w:val="FootnoteText"/>
      </w:pPr>
      <w:r>
        <w:rPr>
          <w:rStyle w:val="FootnoteReference"/>
        </w:rPr>
        <w:footnoteRef/>
      </w:r>
      <w:r>
        <w:t xml:space="preserve"> </w:t>
      </w:r>
      <w:r w:rsidRPr="00797C80">
        <w:t>Czech Republic and France indicate that the tables are updated as often as the SUT is compiled.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4ABEE"/>
    <w:lvl w:ilvl="0">
      <w:start w:val="1"/>
      <w:numFmt w:val="decimal"/>
      <w:lvlText w:val="%1."/>
      <w:lvlJc w:val="left"/>
      <w:pPr>
        <w:tabs>
          <w:tab w:val="num" w:pos="1492"/>
        </w:tabs>
        <w:ind w:left="1492" w:hanging="360"/>
      </w:pPr>
    </w:lvl>
  </w:abstractNum>
  <w:abstractNum w:abstractNumId="1">
    <w:nsid w:val="FFFFFF7D"/>
    <w:multiLevelType w:val="singleLevel"/>
    <w:tmpl w:val="ED1C0276"/>
    <w:lvl w:ilvl="0">
      <w:start w:val="1"/>
      <w:numFmt w:val="decimal"/>
      <w:lvlText w:val="%1."/>
      <w:lvlJc w:val="left"/>
      <w:pPr>
        <w:tabs>
          <w:tab w:val="num" w:pos="1209"/>
        </w:tabs>
        <w:ind w:left="1209" w:hanging="360"/>
      </w:pPr>
    </w:lvl>
  </w:abstractNum>
  <w:abstractNum w:abstractNumId="2">
    <w:nsid w:val="FFFFFF7E"/>
    <w:multiLevelType w:val="singleLevel"/>
    <w:tmpl w:val="9BF69224"/>
    <w:lvl w:ilvl="0">
      <w:start w:val="1"/>
      <w:numFmt w:val="decimal"/>
      <w:lvlText w:val="%1."/>
      <w:lvlJc w:val="left"/>
      <w:pPr>
        <w:tabs>
          <w:tab w:val="num" w:pos="926"/>
        </w:tabs>
        <w:ind w:left="926" w:hanging="360"/>
      </w:pPr>
    </w:lvl>
  </w:abstractNum>
  <w:abstractNum w:abstractNumId="3">
    <w:nsid w:val="FFFFFF7F"/>
    <w:multiLevelType w:val="singleLevel"/>
    <w:tmpl w:val="FF2E3100"/>
    <w:lvl w:ilvl="0">
      <w:start w:val="1"/>
      <w:numFmt w:val="decimal"/>
      <w:lvlText w:val="%1."/>
      <w:lvlJc w:val="left"/>
      <w:pPr>
        <w:tabs>
          <w:tab w:val="num" w:pos="643"/>
        </w:tabs>
        <w:ind w:left="643" w:hanging="360"/>
      </w:pPr>
    </w:lvl>
  </w:abstractNum>
  <w:abstractNum w:abstractNumId="4">
    <w:nsid w:val="FFFFFF80"/>
    <w:multiLevelType w:val="singleLevel"/>
    <w:tmpl w:val="3F2E31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60C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7CC2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EF4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0BB92"/>
    <w:lvl w:ilvl="0">
      <w:start w:val="1"/>
      <w:numFmt w:val="decimal"/>
      <w:lvlText w:val="%1."/>
      <w:lvlJc w:val="left"/>
      <w:pPr>
        <w:tabs>
          <w:tab w:val="num" w:pos="360"/>
        </w:tabs>
        <w:ind w:left="360" w:hanging="360"/>
      </w:pPr>
    </w:lvl>
  </w:abstractNum>
  <w:abstractNum w:abstractNumId="9">
    <w:nsid w:val="FFFFFF89"/>
    <w:multiLevelType w:val="singleLevel"/>
    <w:tmpl w:val="E160D184"/>
    <w:lvl w:ilvl="0">
      <w:start w:val="1"/>
      <w:numFmt w:val="bullet"/>
      <w:lvlText w:val=""/>
      <w:lvlJc w:val="left"/>
      <w:pPr>
        <w:tabs>
          <w:tab w:val="num" w:pos="360"/>
        </w:tabs>
        <w:ind w:left="360" w:hanging="360"/>
      </w:pPr>
      <w:rPr>
        <w:rFonts w:ascii="Symbol" w:hAnsi="Symbol" w:hint="default"/>
      </w:rPr>
    </w:lvl>
  </w:abstractNum>
  <w:abstractNum w:abstractNumId="10">
    <w:nsid w:val="016A7DEC"/>
    <w:multiLevelType w:val="hybridMultilevel"/>
    <w:tmpl w:val="51BCFD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1B938EF"/>
    <w:multiLevelType w:val="hybridMultilevel"/>
    <w:tmpl w:val="C1F211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1CB6F4E"/>
    <w:multiLevelType w:val="hybridMultilevel"/>
    <w:tmpl w:val="AD681B8E"/>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0B364F77"/>
    <w:multiLevelType w:val="hybridMultilevel"/>
    <w:tmpl w:val="8DFEE7F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D">
      <w:start w:val="1"/>
      <w:numFmt w:val="bullet"/>
      <w:lvlText w:val=""/>
      <w:lvlJc w:val="left"/>
      <w:pPr>
        <w:ind w:left="2160" w:hanging="360"/>
      </w:pPr>
      <w:rPr>
        <w:rFonts w:ascii="Wingdings" w:hAnsi="Wingdings" w:hint="default"/>
      </w:rPr>
    </w:lvl>
    <w:lvl w:ilvl="3" w:tplc="60C49E92">
      <w:numFmt w:val="bullet"/>
      <w:lvlText w:val="-"/>
      <w:lvlJc w:val="left"/>
      <w:pPr>
        <w:ind w:left="2880" w:hanging="360"/>
      </w:pPr>
      <w:rPr>
        <w:rFonts w:ascii="Times New Roman" w:eastAsia="MS Mincho"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3E5B08"/>
    <w:multiLevelType w:val="hybridMultilevel"/>
    <w:tmpl w:val="F446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EA336D"/>
    <w:multiLevelType w:val="hybridMultilevel"/>
    <w:tmpl w:val="02F01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7A542FF"/>
    <w:multiLevelType w:val="hybridMultilevel"/>
    <w:tmpl w:val="41FE28E2"/>
    <w:lvl w:ilvl="0" w:tplc="BF9A0D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7D752BF"/>
    <w:multiLevelType w:val="hybridMultilevel"/>
    <w:tmpl w:val="73026C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8A81363"/>
    <w:multiLevelType w:val="hybridMultilevel"/>
    <w:tmpl w:val="DA30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1A850C2C"/>
    <w:multiLevelType w:val="hybridMultilevel"/>
    <w:tmpl w:val="31109E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1D4C2A97"/>
    <w:multiLevelType w:val="hybridMultilevel"/>
    <w:tmpl w:val="575E4D22"/>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20505751"/>
    <w:multiLevelType w:val="hybridMultilevel"/>
    <w:tmpl w:val="1EBEE22C"/>
    <w:lvl w:ilvl="0" w:tplc="33641536">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nsid w:val="21353077"/>
    <w:multiLevelType w:val="hybridMultilevel"/>
    <w:tmpl w:val="FCEC7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424210C"/>
    <w:multiLevelType w:val="hybridMultilevel"/>
    <w:tmpl w:val="A606A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251B2E37"/>
    <w:multiLevelType w:val="hybridMultilevel"/>
    <w:tmpl w:val="7B40B77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D">
      <w:start w:val="1"/>
      <w:numFmt w:val="bullet"/>
      <w:lvlText w:val=""/>
      <w:lvlJc w:val="left"/>
      <w:pPr>
        <w:ind w:left="2160" w:hanging="360"/>
      </w:pPr>
      <w:rPr>
        <w:rFonts w:ascii="Wingdings" w:hAnsi="Wingdings" w:hint="default"/>
      </w:rPr>
    </w:lvl>
    <w:lvl w:ilvl="3" w:tplc="60C49E92">
      <w:numFmt w:val="bullet"/>
      <w:lvlText w:val="-"/>
      <w:lvlJc w:val="left"/>
      <w:pPr>
        <w:ind w:left="2880" w:hanging="360"/>
      </w:pPr>
      <w:rPr>
        <w:rFonts w:ascii="Times New Roman" w:eastAsia="MS Mincho"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95727A"/>
    <w:multiLevelType w:val="hybridMultilevel"/>
    <w:tmpl w:val="0B5E7BEE"/>
    <w:lvl w:ilvl="0" w:tplc="60C49E92">
      <w:numFmt w:val="bullet"/>
      <w:lvlText w:val="-"/>
      <w:lvlJc w:val="left"/>
      <w:pPr>
        <w:ind w:left="720" w:hanging="360"/>
      </w:pPr>
      <w:rPr>
        <w:rFonts w:ascii="Times New Roman" w:eastAsia="MS Mincho"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906FA"/>
    <w:multiLevelType w:val="hybridMultilevel"/>
    <w:tmpl w:val="51BCFD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E856F27"/>
    <w:multiLevelType w:val="hybridMultilevel"/>
    <w:tmpl w:val="1A046DD6"/>
    <w:lvl w:ilvl="0" w:tplc="09AC76CE">
      <w:start w:val="6"/>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22F0465"/>
    <w:multiLevelType w:val="hybridMultilevel"/>
    <w:tmpl w:val="92EAA79A"/>
    <w:lvl w:ilvl="0" w:tplc="606A24FC">
      <w:start w:val="1"/>
      <w:numFmt w:val="bullet"/>
      <w:lvlText w:val=""/>
      <w:lvlJc w:val="left"/>
      <w:pPr>
        <w:tabs>
          <w:tab w:val="num" w:pos="720"/>
        </w:tabs>
        <w:ind w:left="720" w:hanging="360"/>
      </w:pPr>
      <w:rPr>
        <w:rFonts w:ascii="Wingdings" w:hAnsi="Wingdings" w:hint="default"/>
      </w:rPr>
    </w:lvl>
    <w:lvl w:ilvl="1" w:tplc="21AC03DE">
      <w:start w:val="4849"/>
      <w:numFmt w:val="bullet"/>
      <w:lvlText w:val="•"/>
      <w:lvlJc w:val="left"/>
      <w:pPr>
        <w:tabs>
          <w:tab w:val="num" w:pos="1440"/>
        </w:tabs>
        <w:ind w:left="1440" w:hanging="360"/>
      </w:pPr>
      <w:rPr>
        <w:rFonts w:ascii="Times New Roman" w:hAnsi="Times New Roman" w:hint="default"/>
      </w:rPr>
    </w:lvl>
    <w:lvl w:ilvl="2" w:tplc="B0DC6164">
      <w:start w:val="1"/>
      <w:numFmt w:val="bullet"/>
      <w:lvlText w:val=""/>
      <w:lvlJc w:val="left"/>
      <w:pPr>
        <w:tabs>
          <w:tab w:val="num" w:pos="2160"/>
        </w:tabs>
        <w:ind w:left="2160" w:hanging="360"/>
      </w:pPr>
      <w:rPr>
        <w:rFonts w:ascii="Wingdings" w:hAnsi="Wingdings" w:hint="default"/>
      </w:rPr>
    </w:lvl>
    <w:lvl w:ilvl="3" w:tplc="A3E64F44" w:tentative="1">
      <w:start w:val="1"/>
      <w:numFmt w:val="bullet"/>
      <w:lvlText w:val=""/>
      <w:lvlJc w:val="left"/>
      <w:pPr>
        <w:tabs>
          <w:tab w:val="num" w:pos="2880"/>
        </w:tabs>
        <w:ind w:left="2880" w:hanging="360"/>
      </w:pPr>
      <w:rPr>
        <w:rFonts w:ascii="Wingdings" w:hAnsi="Wingdings" w:hint="default"/>
      </w:rPr>
    </w:lvl>
    <w:lvl w:ilvl="4" w:tplc="7DEA1DB6" w:tentative="1">
      <w:start w:val="1"/>
      <w:numFmt w:val="bullet"/>
      <w:lvlText w:val=""/>
      <w:lvlJc w:val="left"/>
      <w:pPr>
        <w:tabs>
          <w:tab w:val="num" w:pos="3600"/>
        </w:tabs>
        <w:ind w:left="3600" w:hanging="360"/>
      </w:pPr>
      <w:rPr>
        <w:rFonts w:ascii="Wingdings" w:hAnsi="Wingdings" w:hint="default"/>
      </w:rPr>
    </w:lvl>
    <w:lvl w:ilvl="5" w:tplc="47D40954" w:tentative="1">
      <w:start w:val="1"/>
      <w:numFmt w:val="bullet"/>
      <w:lvlText w:val=""/>
      <w:lvlJc w:val="left"/>
      <w:pPr>
        <w:tabs>
          <w:tab w:val="num" w:pos="4320"/>
        </w:tabs>
        <w:ind w:left="4320" w:hanging="360"/>
      </w:pPr>
      <w:rPr>
        <w:rFonts w:ascii="Wingdings" w:hAnsi="Wingdings" w:hint="default"/>
      </w:rPr>
    </w:lvl>
    <w:lvl w:ilvl="6" w:tplc="42B43E46" w:tentative="1">
      <w:start w:val="1"/>
      <w:numFmt w:val="bullet"/>
      <w:lvlText w:val=""/>
      <w:lvlJc w:val="left"/>
      <w:pPr>
        <w:tabs>
          <w:tab w:val="num" w:pos="5040"/>
        </w:tabs>
        <w:ind w:left="5040" w:hanging="360"/>
      </w:pPr>
      <w:rPr>
        <w:rFonts w:ascii="Wingdings" w:hAnsi="Wingdings" w:hint="default"/>
      </w:rPr>
    </w:lvl>
    <w:lvl w:ilvl="7" w:tplc="7A1ACE6A" w:tentative="1">
      <w:start w:val="1"/>
      <w:numFmt w:val="bullet"/>
      <w:lvlText w:val=""/>
      <w:lvlJc w:val="left"/>
      <w:pPr>
        <w:tabs>
          <w:tab w:val="num" w:pos="5760"/>
        </w:tabs>
        <w:ind w:left="5760" w:hanging="360"/>
      </w:pPr>
      <w:rPr>
        <w:rFonts w:ascii="Wingdings" w:hAnsi="Wingdings" w:hint="default"/>
      </w:rPr>
    </w:lvl>
    <w:lvl w:ilvl="8" w:tplc="38100E58" w:tentative="1">
      <w:start w:val="1"/>
      <w:numFmt w:val="bullet"/>
      <w:lvlText w:val=""/>
      <w:lvlJc w:val="left"/>
      <w:pPr>
        <w:tabs>
          <w:tab w:val="num" w:pos="6480"/>
        </w:tabs>
        <w:ind w:left="6480" w:hanging="360"/>
      </w:pPr>
      <w:rPr>
        <w:rFonts w:ascii="Wingdings" w:hAnsi="Wingdings" w:hint="default"/>
      </w:rPr>
    </w:lvl>
  </w:abstractNum>
  <w:abstractNum w:abstractNumId="29">
    <w:nsid w:val="34E737A3"/>
    <w:multiLevelType w:val="hybridMultilevel"/>
    <w:tmpl w:val="7BC22A52"/>
    <w:lvl w:ilvl="0" w:tplc="47A62BFA">
      <w:start w:val="1"/>
      <w:numFmt w:val="lowerLetter"/>
      <w:lvlText w:val="(%1)"/>
      <w:lvlJc w:val="left"/>
      <w:pPr>
        <w:ind w:left="335" w:hanging="360"/>
      </w:pPr>
      <w:rPr>
        <w:rFonts w:hint="default"/>
      </w:rPr>
    </w:lvl>
    <w:lvl w:ilvl="1" w:tplc="0C0A0019" w:tentative="1">
      <w:start w:val="1"/>
      <w:numFmt w:val="lowerLetter"/>
      <w:lvlText w:val="%2."/>
      <w:lvlJc w:val="left"/>
      <w:pPr>
        <w:ind w:left="1055" w:hanging="360"/>
      </w:pPr>
    </w:lvl>
    <w:lvl w:ilvl="2" w:tplc="0C0A001B" w:tentative="1">
      <w:start w:val="1"/>
      <w:numFmt w:val="lowerRoman"/>
      <w:lvlText w:val="%3."/>
      <w:lvlJc w:val="right"/>
      <w:pPr>
        <w:ind w:left="1775" w:hanging="180"/>
      </w:pPr>
    </w:lvl>
    <w:lvl w:ilvl="3" w:tplc="0C0A000F" w:tentative="1">
      <w:start w:val="1"/>
      <w:numFmt w:val="decimal"/>
      <w:lvlText w:val="%4."/>
      <w:lvlJc w:val="left"/>
      <w:pPr>
        <w:ind w:left="2495" w:hanging="360"/>
      </w:pPr>
    </w:lvl>
    <w:lvl w:ilvl="4" w:tplc="0C0A0019" w:tentative="1">
      <w:start w:val="1"/>
      <w:numFmt w:val="lowerLetter"/>
      <w:lvlText w:val="%5."/>
      <w:lvlJc w:val="left"/>
      <w:pPr>
        <w:ind w:left="3215" w:hanging="360"/>
      </w:pPr>
    </w:lvl>
    <w:lvl w:ilvl="5" w:tplc="0C0A001B" w:tentative="1">
      <w:start w:val="1"/>
      <w:numFmt w:val="lowerRoman"/>
      <w:lvlText w:val="%6."/>
      <w:lvlJc w:val="right"/>
      <w:pPr>
        <w:ind w:left="3935" w:hanging="180"/>
      </w:pPr>
    </w:lvl>
    <w:lvl w:ilvl="6" w:tplc="0C0A000F" w:tentative="1">
      <w:start w:val="1"/>
      <w:numFmt w:val="decimal"/>
      <w:lvlText w:val="%7."/>
      <w:lvlJc w:val="left"/>
      <w:pPr>
        <w:ind w:left="4655" w:hanging="360"/>
      </w:pPr>
    </w:lvl>
    <w:lvl w:ilvl="7" w:tplc="0C0A0019" w:tentative="1">
      <w:start w:val="1"/>
      <w:numFmt w:val="lowerLetter"/>
      <w:lvlText w:val="%8."/>
      <w:lvlJc w:val="left"/>
      <w:pPr>
        <w:ind w:left="5375" w:hanging="360"/>
      </w:pPr>
    </w:lvl>
    <w:lvl w:ilvl="8" w:tplc="0C0A001B" w:tentative="1">
      <w:start w:val="1"/>
      <w:numFmt w:val="lowerRoman"/>
      <w:lvlText w:val="%9."/>
      <w:lvlJc w:val="right"/>
      <w:pPr>
        <w:ind w:left="6095" w:hanging="180"/>
      </w:pPr>
    </w:lvl>
  </w:abstractNum>
  <w:abstractNum w:abstractNumId="30">
    <w:nsid w:val="35BF0EAC"/>
    <w:multiLevelType w:val="hybridMultilevel"/>
    <w:tmpl w:val="574EC9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3D702A21"/>
    <w:multiLevelType w:val="hybridMultilevel"/>
    <w:tmpl w:val="0046C34A"/>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D">
      <w:start w:val="1"/>
      <w:numFmt w:val="bullet"/>
      <w:lvlText w:val=""/>
      <w:lvlJc w:val="left"/>
      <w:pPr>
        <w:ind w:left="2160" w:hanging="360"/>
      </w:pPr>
      <w:rPr>
        <w:rFonts w:ascii="Wingdings" w:hAnsi="Wingdings" w:hint="default"/>
      </w:rPr>
    </w:lvl>
    <w:lvl w:ilvl="3" w:tplc="60C49E92">
      <w:numFmt w:val="bullet"/>
      <w:lvlText w:val="-"/>
      <w:lvlJc w:val="left"/>
      <w:pPr>
        <w:ind w:left="2880" w:hanging="360"/>
      </w:pPr>
      <w:rPr>
        <w:rFonts w:ascii="Times New Roman" w:eastAsia="MS Mincho"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0005DA"/>
    <w:multiLevelType w:val="hybridMultilevel"/>
    <w:tmpl w:val="69F67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9C79D8"/>
    <w:multiLevelType w:val="hybridMultilevel"/>
    <w:tmpl w:val="3B3603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EA3E91"/>
    <w:multiLevelType w:val="hybridMultilevel"/>
    <w:tmpl w:val="0B9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3A0632"/>
    <w:multiLevelType w:val="hybridMultilevel"/>
    <w:tmpl w:val="B582D078"/>
    <w:lvl w:ilvl="0" w:tplc="4D949ADE">
      <w:start w:val="1"/>
      <w:numFmt w:val="lowerLetter"/>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4C303EF"/>
    <w:multiLevelType w:val="hybridMultilevel"/>
    <w:tmpl w:val="2D44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CE6D13"/>
    <w:multiLevelType w:val="hybridMultilevel"/>
    <w:tmpl w:val="5016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184647"/>
    <w:multiLevelType w:val="hybridMultilevel"/>
    <w:tmpl w:val="F2589F1C"/>
    <w:lvl w:ilvl="0" w:tplc="F1584664">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9">
    <w:nsid w:val="636A2276"/>
    <w:multiLevelType w:val="hybridMultilevel"/>
    <w:tmpl w:val="838AD9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F26B75"/>
    <w:multiLevelType w:val="hybridMultilevel"/>
    <w:tmpl w:val="56EAE880"/>
    <w:lvl w:ilvl="0" w:tplc="A5BA668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C0272B"/>
    <w:multiLevelType w:val="hybridMultilevel"/>
    <w:tmpl w:val="60E46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AC59F7"/>
    <w:multiLevelType w:val="hybridMultilevel"/>
    <w:tmpl w:val="28F49E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F1E6533"/>
    <w:multiLevelType w:val="hybridMultilevel"/>
    <w:tmpl w:val="456A5F76"/>
    <w:lvl w:ilvl="0" w:tplc="1CD6993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3"/>
  </w:num>
  <w:num w:numId="13">
    <w:abstractNumId w:val="42"/>
  </w:num>
  <w:num w:numId="14">
    <w:abstractNumId w:val="16"/>
  </w:num>
  <w:num w:numId="15">
    <w:abstractNumId w:val="38"/>
  </w:num>
  <w:num w:numId="16">
    <w:abstractNumId w:val="21"/>
  </w:num>
  <w:num w:numId="17">
    <w:abstractNumId w:val="29"/>
  </w:num>
  <w:num w:numId="18">
    <w:abstractNumId w:val="15"/>
  </w:num>
  <w:num w:numId="19">
    <w:abstractNumId w:val="40"/>
  </w:num>
  <w:num w:numId="20">
    <w:abstractNumId w:val="37"/>
  </w:num>
  <w:num w:numId="21">
    <w:abstractNumId w:val="32"/>
  </w:num>
  <w:num w:numId="22">
    <w:abstractNumId w:val="31"/>
  </w:num>
  <w:num w:numId="23">
    <w:abstractNumId w:val="18"/>
  </w:num>
  <w:num w:numId="24">
    <w:abstractNumId w:val="19"/>
  </w:num>
  <w:num w:numId="25">
    <w:abstractNumId w:val="12"/>
  </w:num>
  <w:num w:numId="26">
    <w:abstractNumId w:val="36"/>
  </w:num>
  <w:num w:numId="27">
    <w:abstractNumId w:val="11"/>
  </w:num>
  <w:num w:numId="28">
    <w:abstractNumId w:val="17"/>
  </w:num>
  <w:num w:numId="29">
    <w:abstractNumId w:val="25"/>
  </w:num>
  <w:num w:numId="30">
    <w:abstractNumId w:val="13"/>
  </w:num>
  <w:num w:numId="31">
    <w:abstractNumId w:val="24"/>
  </w:num>
  <w:num w:numId="32">
    <w:abstractNumId w:val="43"/>
  </w:num>
  <w:num w:numId="33">
    <w:abstractNumId w:val="20"/>
  </w:num>
  <w:num w:numId="34">
    <w:abstractNumId w:val="27"/>
  </w:num>
  <w:num w:numId="35">
    <w:abstractNumId w:val="35"/>
  </w:num>
  <w:num w:numId="36">
    <w:abstractNumId w:val="10"/>
  </w:num>
  <w:num w:numId="37">
    <w:abstractNumId w:val="26"/>
  </w:num>
  <w:num w:numId="38">
    <w:abstractNumId w:val="28"/>
  </w:num>
  <w:num w:numId="39">
    <w:abstractNumId w:val="35"/>
    <w:lvlOverride w:ilvl="0">
      <w:startOverride w:val="1"/>
    </w:lvlOverride>
  </w:num>
  <w:num w:numId="40">
    <w:abstractNumId w:val="39"/>
  </w:num>
  <w:num w:numId="41">
    <w:abstractNumId w:val="35"/>
    <w:lvlOverride w:ilvl="0">
      <w:startOverride w:val="2"/>
    </w:lvlOverride>
  </w:num>
  <w:num w:numId="42">
    <w:abstractNumId w:val="33"/>
  </w:num>
  <w:num w:numId="43">
    <w:abstractNumId w:val="34"/>
  </w:num>
  <w:num w:numId="44">
    <w:abstractNumId w:val="14"/>
  </w:num>
  <w:num w:numId="45">
    <w:abstractNumId w:val="4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C7F70"/>
    <w:rsid w:val="00004356"/>
    <w:rsid w:val="000070BC"/>
    <w:rsid w:val="000079A4"/>
    <w:rsid w:val="000079B9"/>
    <w:rsid w:val="000110DC"/>
    <w:rsid w:val="00012A50"/>
    <w:rsid w:val="00013163"/>
    <w:rsid w:val="00013771"/>
    <w:rsid w:val="00015096"/>
    <w:rsid w:val="000168F2"/>
    <w:rsid w:val="00020154"/>
    <w:rsid w:val="0002015A"/>
    <w:rsid w:val="00020E0F"/>
    <w:rsid w:val="00021B60"/>
    <w:rsid w:val="00022AA9"/>
    <w:rsid w:val="0002343A"/>
    <w:rsid w:val="00025B81"/>
    <w:rsid w:val="00026B10"/>
    <w:rsid w:val="00027832"/>
    <w:rsid w:val="00027C40"/>
    <w:rsid w:val="00027E3C"/>
    <w:rsid w:val="00031415"/>
    <w:rsid w:val="000316F8"/>
    <w:rsid w:val="000357CB"/>
    <w:rsid w:val="00035F38"/>
    <w:rsid w:val="00036D92"/>
    <w:rsid w:val="000378D0"/>
    <w:rsid w:val="00037FE7"/>
    <w:rsid w:val="0004076D"/>
    <w:rsid w:val="000412C8"/>
    <w:rsid w:val="00041EDE"/>
    <w:rsid w:val="0004371A"/>
    <w:rsid w:val="00043AE9"/>
    <w:rsid w:val="00044100"/>
    <w:rsid w:val="00045138"/>
    <w:rsid w:val="0004727B"/>
    <w:rsid w:val="0004730B"/>
    <w:rsid w:val="00047E2F"/>
    <w:rsid w:val="0005131E"/>
    <w:rsid w:val="00051FEB"/>
    <w:rsid w:val="00052655"/>
    <w:rsid w:val="00055F43"/>
    <w:rsid w:val="00056231"/>
    <w:rsid w:val="000565E4"/>
    <w:rsid w:val="0005667C"/>
    <w:rsid w:val="00056F59"/>
    <w:rsid w:val="00056F65"/>
    <w:rsid w:val="00060427"/>
    <w:rsid w:val="00060AE2"/>
    <w:rsid w:val="00062102"/>
    <w:rsid w:val="00062524"/>
    <w:rsid w:val="000658F8"/>
    <w:rsid w:val="00066741"/>
    <w:rsid w:val="00067A29"/>
    <w:rsid w:val="000725EB"/>
    <w:rsid w:val="00072F21"/>
    <w:rsid w:val="0007473F"/>
    <w:rsid w:val="00074BC2"/>
    <w:rsid w:val="000752BA"/>
    <w:rsid w:val="00081B4B"/>
    <w:rsid w:val="00083FD2"/>
    <w:rsid w:val="00083FF1"/>
    <w:rsid w:val="000841CE"/>
    <w:rsid w:val="00085351"/>
    <w:rsid w:val="000858E6"/>
    <w:rsid w:val="00090311"/>
    <w:rsid w:val="00092B74"/>
    <w:rsid w:val="00095C1F"/>
    <w:rsid w:val="000A12D7"/>
    <w:rsid w:val="000A21E4"/>
    <w:rsid w:val="000A4E6D"/>
    <w:rsid w:val="000A7EA3"/>
    <w:rsid w:val="000B152A"/>
    <w:rsid w:val="000B232B"/>
    <w:rsid w:val="000B4C57"/>
    <w:rsid w:val="000B5749"/>
    <w:rsid w:val="000B5EF6"/>
    <w:rsid w:val="000B6886"/>
    <w:rsid w:val="000B7181"/>
    <w:rsid w:val="000C014E"/>
    <w:rsid w:val="000C04B9"/>
    <w:rsid w:val="000C1319"/>
    <w:rsid w:val="000C1F26"/>
    <w:rsid w:val="000C4EDE"/>
    <w:rsid w:val="000C78F9"/>
    <w:rsid w:val="000C7F70"/>
    <w:rsid w:val="000D0373"/>
    <w:rsid w:val="000D1BA8"/>
    <w:rsid w:val="000D2B62"/>
    <w:rsid w:val="000D3BEF"/>
    <w:rsid w:val="000D445C"/>
    <w:rsid w:val="000D5676"/>
    <w:rsid w:val="000D5C67"/>
    <w:rsid w:val="000D604A"/>
    <w:rsid w:val="000D67AA"/>
    <w:rsid w:val="000D6A04"/>
    <w:rsid w:val="000D7060"/>
    <w:rsid w:val="000D78B9"/>
    <w:rsid w:val="000E03BE"/>
    <w:rsid w:val="000E1626"/>
    <w:rsid w:val="000E1E73"/>
    <w:rsid w:val="000E2389"/>
    <w:rsid w:val="000E2A4E"/>
    <w:rsid w:val="000E41B1"/>
    <w:rsid w:val="000E5713"/>
    <w:rsid w:val="000E6B6F"/>
    <w:rsid w:val="000F1173"/>
    <w:rsid w:val="000F36FD"/>
    <w:rsid w:val="000F43A0"/>
    <w:rsid w:val="000F4C5E"/>
    <w:rsid w:val="000F5E14"/>
    <w:rsid w:val="000F6AF3"/>
    <w:rsid w:val="000F7BE9"/>
    <w:rsid w:val="00102B34"/>
    <w:rsid w:val="00104197"/>
    <w:rsid w:val="00104AAC"/>
    <w:rsid w:val="00107AD8"/>
    <w:rsid w:val="0011112D"/>
    <w:rsid w:val="00111902"/>
    <w:rsid w:val="00111AF5"/>
    <w:rsid w:val="00112888"/>
    <w:rsid w:val="00113589"/>
    <w:rsid w:val="001140BA"/>
    <w:rsid w:val="001142F1"/>
    <w:rsid w:val="00114461"/>
    <w:rsid w:val="0011565D"/>
    <w:rsid w:val="00115F49"/>
    <w:rsid w:val="001212C6"/>
    <w:rsid w:val="00121F50"/>
    <w:rsid w:val="001234A1"/>
    <w:rsid w:val="0012659A"/>
    <w:rsid w:val="00126F9B"/>
    <w:rsid w:val="00127686"/>
    <w:rsid w:val="0013175D"/>
    <w:rsid w:val="00132E48"/>
    <w:rsid w:val="00134041"/>
    <w:rsid w:val="00134DB3"/>
    <w:rsid w:val="00134FD2"/>
    <w:rsid w:val="001350A6"/>
    <w:rsid w:val="00135C0E"/>
    <w:rsid w:val="0013603D"/>
    <w:rsid w:val="00136400"/>
    <w:rsid w:val="00141205"/>
    <w:rsid w:val="00142002"/>
    <w:rsid w:val="00143BBD"/>
    <w:rsid w:val="00145792"/>
    <w:rsid w:val="00146410"/>
    <w:rsid w:val="001469E6"/>
    <w:rsid w:val="00147077"/>
    <w:rsid w:val="00147C1C"/>
    <w:rsid w:val="001502AE"/>
    <w:rsid w:val="0015068A"/>
    <w:rsid w:val="001542E2"/>
    <w:rsid w:val="0015455B"/>
    <w:rsid w:val="0015485C"/>
    <w:rsid w:val="00154B95"/>
    <w:rsid w:val="00156447"/>
    <w:rsid w:val="0015708B"/>
    <w:rsid w:val="00157F82"/>
    <w:rsid w:val="00163A08"/>
    <w:rsid w:val="00165267"/>
    <w:rsid w:val="00166B8F"/>
    <w:rsid w:val="00166DFD"/>
    <w:rsid w:val="00167E36"/>
    <w:rsid w:val="00170CE8"/>
    <w:rsid w:val="001723FB"/>
    <w:rsid w:val="00180A7E"/>
    <w:rsid w:val="00181888"/>
    <w:rsid w:val="00182B4B"/>
    <w:rsid w:val="00184D87"/>
    <w:rsid w:val="001872B9"/>
    <w:rsid w:val="00191D54"/>
    <w:rsid w:val="00192385"/>
    <w:rsid w:val="00193633"/>
    <w:rsid w:val="00193860"/>
    <w:rsid w:val="00193D68"/>
    <w:rsid w:val="001963BF"/>
    <w:rsid w:val="001973A9"/>
    <w:rsid w:val="001A0198"/>
    <w:rsid w:val="001A0F9B"/>
    <w:rsid w:val="001A1158"/>
    <w:rsid w:val="001A1B0D"/>
    <w:rsid w:val="001A2647"/>
    <w:rsid w:val="001A37FC"/>
    <w:rsid w:val="001A3A3A"/>
    <w:rsid w:val="001A3B23"/>
    <w:rsid w:val="001A4C0F"/>
    <w:rsid w:val="001A6423"/>
    <w:rsid w:val="001A75E8"/>
    <w:rsid w:val="001B212F"/>
    <w:rsid w:val="001B3E15"/>
    <w:rsid w:val="001B4C1D"/>
    <w:rsid w:val="001B4F28"/>
    <w:rsid w:val="001B5D7C"/>
    <w:rsid w:val="001B64B8"/>
    <w:rsid w:val="001B7522"/>
    <w:rsid w:val="001C207A"/>
    <w:rsid w:val="001C2719"/>
    <w:rsid w:val="001C2848"/>
    <w:rsid w:val="001C3B3D"/>
    <w:rsid w:val="001C3FDA"/>
    <w:rsid w:val="001C4B29"/>
    <w:rsid w:val="001C593C"/>
    <w:rsid w:val="001C6F2E"/>
    <w:rsid w:val="001D0A71"/>
    <w:rsid w:val="001D14AB"/>
    <w:rsid w:val="001D251A"/>
    <w:rsid w:val="001D2E48"/>
    <w:rsid w:val="001D2EC1"/>
    <w:rsid w:val="001D3BD9"/>
    <w:rsid w:val="001D7020"/>
    <w:rsid w:val="001E19DF"/>
    <w:rsid w:val="001E29A5"/>
    <w:rsid w:val="001E2FB1"/>
    <w:rsid w:val="001E30BE"/>
    <w:rsid w:val="001E3A8B"/>
    <w:rsid w:val="001E4408"/>
    <w:rsid w:val="001E4BAA"/>
    <w:rsid w:val="001E736B"/>
    <w:rsid w:val="001E7455"/>
    <w:rsid w:val="001E7DA9"/>
    <w:rsid w:val="001F0E15"/>
    <w:rsid w:val="001F1A82"/>
    <w:rsid w:val="001F1E43"/>
    <w:rsid w:val="001F2B99"/>
    <w:rsid w:val="001F3F29"/>
    <w:rsid w:val="001F4668"/>
    <w:rsid w:val="001F479D"/>
    <w:rsid w:val="001F55B1"/>
    <w:rsid w:val="001F6D26"/>
    <w:rsid w:val="00200060"/>
    <w:rsid w:val="00200694"/>
    <w:rsid w:val="00200943"/>
    <w:rsid w:val="00200E06"/>
    <w:rsid w:val="00201375"/>
    <w:rsid w:val="002014B3"/>
    <w:rsid w:val="00202C84"/>
    <w:rsid w:val="00204526"/>
    <w:rsid w:val="002065A3"/>
    <w:rsid w:val="00206A2B"/>
    <w:rsid w:val="00206ABB"/>
    <w:rsid w:val="002073FE"/>
    <w:rsid w:val="00215C0D"/>
    <w:rsid w:val="00215D0E"/>
    <w:rsid w:val="002200E9"/>
    <w:rsid w:val="00220375"/>
    <w:rsid w:val="00220F09"/>
    <w:rsid w:val="00222558"/>
    <w:rsid w:val="002228CF"/>
    <w:rsid w:val="00222D29"/>
    <w:rsid w:val="00222FF9"/>
    <w:rsid w:val="0022301A"/>
    <w:rsid w:val="002245C4"/>
    <w:rsid w:val="00226C19"/>
    <w:rsid w:val="00230610"/>
    <w:rsid w:val="002315A3"/>
    <w:rsid w:val="00234D44"/>
    <w:rsid w:val="00236AD3"/>
    <w:rsid w:val="00236CEB"/>
    <w:rsid w:val="00237158"/>
    <w:rsid w:val="002378CF"/>
    <w:rsid w:val="002407F9"/>
    <w:rsid w:val="00240CC2"/>
    <w:rsid w:val="00243E25"/>
    <w:rsid w:val="00245D75"/>
    <w:rsid w:val="00245DD3"/>
    <w:rsid w:val="002461E1"/>
    <w:rsid w:val="00246810"/>
    <w:rsid w:val="00246CEC"/>
    <w:rsid w:val="00246D85"/>
    <w:rsid w:val="0025008F"/>
    <w:rsid w:val="00250580"/>
    <w:rsid w:val="00252096"/>
    <w:rsid w:val="00253D8D"/>
    <w:rsid w:val="0025536F"/>
    <w:rsid w:val="0025694F"/>
    <w:rsid w:val="0025778B"/>
    <w:rsid w:val="00262751"/>
    <w:rsid w:val="002651E9"/>
    <w:rsid w:val="00265ABF"/>
    <w:rsid w:val="00270B6B"/>
    <w:rsid w:val="00271328"/>
    <w:rsid w:val="00272D67"/>
    <w:rsid w:val="002739ED"/>
    <w:rsid w:val="0027442D"/>
    <w:rsid w:val="00275BE0"/>
    <w:rsid w:val="00276A40"/>
    <w:rsid w:val="00280659"/>
    <w:rsid w:val="002825BA"/>
    <w:rsid w:val="00282810"/>
    <w:rsid w:val="00283C64"/>
    <w:rsid w:val="00285AD3"/>
    <w:rsid w:val="00285ED0"/>
    <w:rsid w:val="00291645"/>
    <w:rsid w:val="002931BF"/>
    <w:rsid w:val="00293809"/>
    <w:rsid w:val="002945A1"/>
    <w:rsid w:val="00294DE7"/>
    <w:rsid w:val="00294E64"/>
    <w:rsid w:val="00296B53"/>
    <w:rsid w:val="002A0B27"/>
    <w:rsid w:val="002A194D"/>
    <w:rsid w:val="002A69D7"/>
    <w:rsid w:val="002A6ED6"/>
    <w:rsid w:val="002A7069"/>
    <w:rsid w:val="002A75AC"/>
    <w:rsid w:val="002A7754"/>
    <w:rsid w:val="002B056C"/>
    <w:rsid w:val="002B072A"/>
    <w:rsid w:val="002B2149"/>
    <w:rsid w:val="002B2887"/>
    <w:rsid w:val="002B3536"/>
    <w:rsid w:val="002B3816"/>
    <w:rsid w:val="002B3DA4"/>
    <w:rsid w:val="002C0BD1"/>
    <w:rsid w:val="002C0C15"/>
    <w:rsid w:val="002C1EC9"/>
    <w:rsid w:val="002C30F1"/>
    <w:rsid w:val="002C3D6C"/>
    <w:rsid w:val="002C4CE5"/>
    <w:rsid w:val="002C6703"/>
    <w:rsid w:val="002C72EC"/>
    <w:rsid w:val="002C7DCE"/>
    <w:rsid w:val="002D0548"/>
    <w:rsid w:val="002D1D56"/>
    <w:rsid w:val="002D20CA"/>
    <w:rsid w:val="002D30B0"/>
    <w:rsid w:val="002D4133"/>
    <w:rsid w:val="002D5777"/>
    <w:rsid w:val="002E04BA"/>
    <w:rsid w:val="002E1634"/>
    <w:rsid w:val="002E335A"/>
    <w:rsid w:val="002E44B9"/>
    <w:rsid w:val="002E4C3B"/>
    <w:rsid w:val="002E58BF"/>
    <w:rsid w:val="002F0310"/>
    <w:rsid w:val="002F258C"/>
    <w:rsid w:val="002F3646"/>
    <w:rsid w:val="002F5C5E"/>
    <w:rsid w:val="002F6441"/>
    <w:rsid w:val="002F6A3D"/>
    <w:rsid w:val="002F7623"/>
    <w:rsid w:val="002F7C3B"/>
    <w:rsid w:val="0030045E"/>
    <w:rsid w:val="003018E4"/>
    <w:rsid w:val="00302A2D"/>
    <w:rsid w:val="00303DB1"/>
    <w:rsid w:val="00305375"/>
    <w:rsid w:val="00311D5D"/>
    <w:rsid w:val="0031446A"/>
    <w:rsid w:val="00315A5A"/>
    <w:rsid w:val="00315F2C"/>
    <w:rsid w:val="00321485"/>
    <w:rsid w:val="00324AEE"/>
    <w:rsid w:val="0033091E"/>
    <w:rsid w:val="00332ADA"/>
    <w:rsid w:val="00332C56"/>
    <w:rsid w:val="00333B1C"/>
    <w:rsid w:val="0033512F"/>
    <w:rsid w:val="00335521"/>
    <w:rsid w:val="00335D7C"/>
    <w:rsid w:val="00337BA4"/>
    <w:rsid w:val="00340269"/>
    <w:rsid w:val="00342769"/>
    <w:rsid w:val="003438C0"/>
    <w:rsid w:val="00343CB4"/>
    <w:rsid w:val="0034444C"/>
    <w:rsid w:val="0034553F"/>
    <w:rsid w:val="00345D20"/>
    <w:rsid w:val="00345F8C"/>
    <w:rsid w:val="00346C40"/>
    <w:rsid w:val="00347242"/>
    <w:rsid w:val="00350061"/>
    <w:rsid w:val="00350DA1"/>
    <w:rsid w:val="003531AD"/>
    <w:rsid w:val="003533E8"/>
    <w:rsid w:val="00353B04"/>
    <w:rsid w:val="00357BC5"/>
    <w:rsid w:val="00357E27"/>
    <w:rsid w:val="00363B0E"/>
    <w:rsid w:val="00364585"/>
    <w:rsid w:val="00365233"/>
    <w:rsid w:val="00367A61"/>
    <w:rsid w:val="00367D4B"/>
    <w:rsid w:val="00367FE5"/>
    <w:rsid w:val="0037095C"/>
    <w:rsid w:val="00370EB7"/>
    <w:rsid w:val="00371386"/>
    <w:rsid w:val="00371AC6"/>
    <w:rsid w:val="003745D5"/>
    <w:rsid w:val="003849CE"/>
    <w:rsid w:val="00386E79"/>
    <w:rsid w:val="00387354"/>
    <w:rsid w:val="0039435E"/>
    <w:rsid w:val="003947E9"/>
    <w:rsid w:val="00395127"/>
    <w:rsid w:val="003A0052"/>
    <w:rsid w:val="003A00E3"/>
    <w:rsid w:val="003A0730"/>
    <w:rsid w:val="003A161B"/>
    <w:rsid w:val="003A179C"/>
    <w:rsid w:val="003A21B6"/>
    <w:rsid w:val="003A5212"/>
    <w:rsid w:val="003A55BE"/>
    <w:rsid w:val="003A586A"/>
    <w:rsid w:val="003A6384"/>
    <w:rsid w:val="003A75E4"/>
    <w:rsid w:val="003B1091"/>
    <w:rsid w:val="003B2013"/>
    <w:rsid w:val="003B2242"/>
    <w:rsid w:val="003B2339"/>
    <w:rsid w:val="003B3E47"/>
    <w:rsid w:val="003B4248"/>
    <w:rsid w:val="003B6A5F"/>
    <w:rsid w:val="003B7511"/>
    <w:rsid w:val="003B77A7"/>
    <w:rsid w:val="003B7CBE"/>
    <w:rsid w:val="003C46B2"/>
    <w:rsid w:val="003C47B5"/>
    <w:rsid w:val="003C6DB0"/>
    <w:rsid w:val="003C7506"/>
    <w:rsid w:val="003D0C4A"/>
    <w:rsid w:val="003D120F"/>
    <w:rsid w:val="003D1E8F"/>
    <w:rsid w:val="003D2F75"/>
    <w:rsid w:val="003D321D"/>
    <w:rsid w:val="003D6024"/>
    <w:rsid w:val="003D61ED"/>
    <w:rsid w:val="003E05B3"/>
    <w:rsid w:val="003E301A"/>
    <w:rsid w:val="003E3463"/>
    <w:rsid w:val="003E50BB"/>
    <w:rsid w:val="003E51FD"/>
    <w:rsid w:val="003E7668"/>
    <w:rsid w:val="003E7852"/>
    <w:rsid w:val="003F2675"/>
    <w:rsid w:val="003F3DC0"/>
    <w:rsid w:val="003F4537"/>
    <w:rsid w:val="003F5FF4"/>
    <w:rsid w:val="003F748F"/>
    <w:rsid w:val="004006E8"/>
    <w:rsid w:val="0040154B"/>
    <w:rsid w:val="004019F6"/>
    <w:rsid w:val="00402437"/>
    <w:rsid w:val="00402B7A"/>
    <w:rsid w:val="00404306"/>
    <w:rsid w:val="00405EDC"/>
    <w:rsid w:val="00406E37"/>
    <w:rsid w:val="00410832"/>
    <w:rsid w:val="004116C6"/>
    <w:rsid w:val="004118B6"/>
    <w:rsid w:val="00412840"/>
    <w:rsid w:val="00412EED"/>
    <w:rsid w:val="0041304E"/>
    <w:rsid w:val="00413965"/>
    <w:rsid w:val="00413ACC"/>
    <w:rsid w:val="00414007"/>
    <w:rsid w:val="004154E2"/>
    <w:rsid w:val="00415886"/>
    <w:rsid w:val="0042582B"/>
    <w:rsid w:val="00427995"/>
    <w:rsid w:val="00434D07"/>
    <w:rsid w:val="00436E8A"/>
    <w:rsid w:val="00437850"/>
    <w:rsid w:val="0044024A"/>
    <w:rsid w:val="004404EC"/>
    <w:rsid w:val="00441CB4"/>
    <w:rsid w:val="00442BF9"/>
    <w:rsid w:val="004434F6"/>
    <w:rsid w:val="00445FD3"/>
    <w:rsid w:val="00446872"/>
    <w:rsid w:val="00447A19"/>
    <w:rsid w:val="00450B0A"/>
    <w:rsid w:val="00450E22"/>
    <w:rsid w:val="00451695"/>
    <w:rsid w:val="004526F0"/>
    <w:rsid w:val="004527D8"/>
    <w:rsid w:val="004533C1"/>
    <w:rsid w:val="00454097"/>
    <w:rsid w:val="00454401"/>
    <w:rsid w:val="00456041"/>
    <w:rsid w:val="00456520"/>
    <w:rsid w:val="00460E78"/>
    <w:rsid w:val="00462B53"/>
    <w:rsid w:val="0046315C"/>
    <w:rsid w:val="00463615"/>
    <w:rsid w:val="00463FDB"/>
    <w:rsid w:val="004654EC"/>
    <w:rsid w:val="0047105A"/>
    <w:rsid w:val="00472A68"/>
    <w:rsid w:val="00472CE9"/>
    <w:rsid w:val="00474ACE"/>
    <w:rsid w:val="00475114"/>
    <w:rsid w:val="004766F6"/>
    <w:rsid w:val="0047761F"/>
    <w:rsid w:val="00477F92"/>
    <w:rsid w:val="00480E52"/>
    <w:rsid w:val="00492472"/>
    <w:rsid w:val="00493327"/>
    <w:rsid w:val="00493A58"/>
    <w:rsid w:val="00493FAB"/>
    <w:rsid w:val="00494B31"/>
    <w:rsid w:val="00494C4D"/>
    <w:rsid w:val="00496190"/>
    <w:rsid w:val="00496B00"/>
    <w:rsid w:val="0049724E"/>
    <w:rsid w:val="0049754D"/>
    <w:rsid w:val="004A0F6C"/>
    <w:rsid w:val="004A33A0"/>
    <w:rsid w:val="004A4E86"/>
    <w:rsid w:val="004A672B"/>
    <w:rsid w:val="004A7851"/>
    <w:rsid w:val="004A7F2D"/>
    <w:rsid w:val="004B0B78"/>
    <w:rsid w:val="004B16A9"/>
    <w:rsid w:val="004B1FA3"/>
    <w:rsid w:val="004B20AC"/>
    <w:rsid w:val="004B246A"/>
    <w:rsid w:val="004B31E4"/>
    <w:rsid w:val="004B379F"/>
    <w:rsid w:val="004B3DC2"/>
    <w:rsid w:val="004B795F"/>
    <w:rsid w:val="004C0073"/>
    <w:rsid w:val="004C07E6"/>
    <w:rsid w:val="004C0BE7"/>
    <w:rsid w:val="004C1F7C"/>
    <w:rsid w:val="004C2491"/>
    <w:rsid w:val="004C25D3"/>
    <w:rsid w:val="004C26AD"/>
    <w:rsid w:val="004C5E87"/>
    <w:rsid w:val="004C7CF0"/>
    <w:rsid w:val="004D1A40"/>
    <w:rsid w:val="004D2722"/>
    <w:rsid w:val="004D2D92"/>
    <w:rsid w:val="004D309D"/>
    <w:rsid w:val="004D4F83"/>
    <w:rsid w:val="004D4FCA"/>
    <w:rsid w:val="004D67C1"/>
    <w:rsid w:val="004E06E0"/>
    <w:rsid w:val="004E0787"/>
    <w:rsid w:val="004E17C4"/>
    <w:rsid w:val="004E1FBB"/>
    <w:rsid w:val="004E3B4A"/>
    <w:rsid w:val="004E4D80"/>
    <w:rsid w:val="004E5076"/>
    <w:rsid w:val="004E7074"/>
    <w:rsid w:val="004E716D"/>
    <w:rsid w:val="004E7607"/>
    <w:rsid w:val="004F00E4"/>
    <w:rsid w:val="004F06BC"/>
    <w:rsid w:val="004F0B99"/>
    <w:rsid w:val="004F2357"/>
    <w:rsid w:val="004F56A6"/>
    <w:rsid w:val="00500589"/>
    <w:rsid w:val="005008CF"/>
    <w:rsid w:val="005008FD"/>
    <w:rsid w:val="005011C4"/>
    <w:rsid w:val="005043A2"/>
    <w:rsid w:val="00505663"/>
    <w:rsid w:val="00505F05"/>
    <w:rsid w:val="00506442"/>
    <w:rsid w:val="00510D70"/>
    <w:rsid w:val="00512B71"/>
    <w:rsid w:val="00512FAD"/>
    <w:rsid w:val="00513F81"/>
    <w:rsid w:val="005177B8"/>
    <w:rsid w:val="00520013"/>
    <w:rsid w:val="0052127D"/>
    <w:rsid w:val="005226F0"/>
    <w:rsid w:val="005229E4"/>
    <w:rsid w:val="00523873"/>
    <w:rsid w:val="00524BB5"/>
    <w:rsid w:val="00526B04"/>
    <w:rsid w:val="00527FB1"/>
    <w:rsid w:val="0053173E"/>
    <w:rsid w:val="00533EBC"/>
    <w:rsid w:val="00534166"/>
    <w:rsid w:val="00534E08"/>
    <w:rsid w:val="005358F5"/>
    <w:rsid w:val="00535C4B"/>
    <w:rsid w:val="00536B42"/>
    <w:rsid w:val="00540BB2"/>
    <w:rsid w:val="00542CD9"/>
    <w:rsid w:val="00544C3E"/>
    <w:rsid w:val="005455DF"/>
    <w:rsid w:val="00547288"/>
    <w:rsid w:val="00550BFE"/>
    <w:rsid w:val="00554012"/>
    <w:rsid w:val="0055482A"/>
    <w:rsid w:val="005553E4"/>
    <w:rsid w:val="00555A53"/>
    <w:rsid w:val="005569A6"/>
    <w:rsid w:val="00557DAF"/>
    <w:rsid w:val="005605FF"/>
    <w:rsid w:val="005618A3"/>
    <w:rsid w:val="00561B10"/>
    <w:rsid w:val="0056399E"/>
    <w:rsid w:val="00564382"/>
    <w:rsid w:val="00564938"/>
    <w:rsid w:val="00565D2A"/>
    <w:rsid w:val="00565D64"/>
    <w:rsid w:val="0056715D"/>
    <w:rsid w:val="00570130"/>
    <w:rsid w:val="00572371"/>
    <w:rsid w:val="00574689"/>
    <w:rsid w:val="00574ACD"/>
    <w:rsid w:val="005753D1"/>
    <w:rsid w:val="005760B7"/>
    <w:rsid w:val="00576774"/>
    <w:rsid w:val="00576AD3"/>
    <w:rsid w:val="00577644"/>
    <w:rsid w:val="005803D7"/>
    <w:rsid w:val="00583D5C"/>
    <w:rsid w:val="00584202"/>
    <w:rsid w:val="00585745"/>
    <w:rsid w:val="005858B9"/>
    <w:rsid w:val="005866D9"/>
    <w:rsid w:val="00586D7A"/>
    <w:rsid w:val="00587F1E"/>
    <w:rsid w:val="00590B15"/>
    <w:rsid w:val="00592008"/>
    <w:rsid w:val="00592A5E"/>
    <w:rsid w:val="00595C25"/>
    <w:rsid w:val="00596998"/>
    <w:rsid w:val="00596FC6"/>
    <w:rsid w:val="00596FC9"/>
    <w:rsid w:val="005A19B0"/>
    <w:rsid w:val="005A44A1"/>
    <w:rsid w:val="005A5639"/>
    <w:rsid w:val="005B121C"/>
    <w:rsid w:val="005B20CD"/>
    <w:rsid w:val="005B4007"/>
    <w:rsid w:val="005B68E0"/>
    <w:rsid w:val="005B69C5"/>
    <w:rsid w:val="005C13F8"/>
    <w:rsid w:val="005C3B0C"/>
    <w:rsid w:val="005C6323"/>
    <w:rsid w:val="005C6ABA"/>
    <w:rsid w:val="005D04B6"/>
    <w:rsid w:val="005D092B"/>
    <w:rsid w:val="005D2D0B"/>
    <w:rsid w:val="005D3469"/>
    <w:rsid w:val="005D4FFA"/>
    <w:rsid w:val="005D6ED2"/>
    <w:rsid w:val="005D7B53"/>
    <w:rsid w:val="005E147A"/>
    <w:rsid w:val="005E1C94"/>
    <w:rsid w:val="005E2C25"/>
    <w:rsid w:val="005E7733"/>
    <w:rsid w:val="005F0546"/>
    <w:rsid w:val="005F0E2C"/>
    <w:rsid w:val="005F0FC2"/>
    <w:rsid w:val="005F2025"/>
    <w:rsid w:val="005F6E30"/>
    <w:rsid w:val="005F7FFE"/>
    <w:rsid w:val="0060078B"/>
    <w:rsid w:val="00600C34"/>
    <w:rsid w:val="00601047"/>
    <w:rsid w:val="006037C5"/>
    <w:rsid w:val="00607302"/>
    <w:rsid w:val="006077AE"/>
    <w:rsid w:val="006101CB"/>
    <w:rsid w:val="006117D8"/>
    <w:rsid w:val="00611D93"/>
    <w:rsid w:val="0061238C"/>
    <w:rsid w:val="00613991"/>
    <w:rsid w:val="00613B9D"/>
    <w:rsid w:val="006149F6"/>
    <w:rsid w:val="006153A2"/>
    <w:rsid w:val="0061610B"/>
    <w:rsid w:val="006161F1"/>
    <w:rsid w:val="0062291E"/>
    <w:rsid w:val="0062379B"/>
    <w:rsid w:val="0062418E"/>
    <w:rsid w:val="006248B8"/>
    <w:rsid w:val="00625B1A"/>
    <w:rsid w:val="00625DC6"/>
    <w:rsid w:val="00626A21"/>
    <w:rsid w:val="0062787B"/>
    <w:rsid w:val="00627898"/>
    <w:rsid w:val="00631299"/>
    <w:rsid w:val="0063239A"/>
    <w:rsid w:val="00633905"/>
    <w:rsid w:val="006352F2"/>
    <w:rsid w:val="00636752"/>
    <w:rsid w:val="00641DDF"/>
    <w:rsid w:val="00644688"/>
    <w:rsid w:val="00646FC0"/>
    <w:rsid w:val="00650C94"/>
    <w:rsid w:val="0065112F"/>
    <w:rsid w:val="006514B2"/>
    <w:rsid w:val="006519FB"/>
    <w:rsid w:val="00652BF6"/>
    <w:rsid w:val="00652CC2"/>
    <w:rsid w:val="00654610"/>
    <w:rsid w:val="00654E81"/>
    <w:rsid w:val="006550D3"/>
    <w:rsid w:val="00656075"/>
    <w:rsid w:val="00656454"/>
    <w:rsid w:val="00656815"/>
    <w:rsid w:val="00657DBA"/>
    <w:rsid w:val="00657F5B"/>
    <w:rsid w:val="006626BD"/>
    <w:rsid w:val="00662EBF"/>
    <w:rsid w:val="00664313"/>
    <w:rsid w:val="006648A5"/>
    <w:rsid w:val="00664B68"/>
    <w:rsid w:val="00666491"/>
    <w:rsid w:val="006671C7"/>
    <w:rsid w:val="00673415"/>
    <w:rsid w:val="00673D03"/>
    <w:rsid w:val="00674426"/>
    <w:rsid w:val="00675FE6"/>
    <w:rsid w:val="00677872"/>
    <w:rsid w:val="00677F28"/>
    <w:rsid w:val="00677F5C"/>
    <w:rsid w:val="006815A1"/>
    <w:rsid w:val="00681FCF"/>
    <w:rsid w:val="006827DA"/>
    <w:rsid w:val="00683A6C"/>
    <w:rsid w:val="00685686"/>
    <w:rsid w:val="006879FC"/>
    <w:rsid w:val="0069230F"/>
    <w:rsid w:val="00695528"/>
    <w:rsid w:val="0069558E"/>
    <w:rsid w:val="006955B8"/>
    <w:rsid w:val="006A022F"/>
    <w:rsid w:val="006A196B"/>
    <w:rsid w:val="006A1A65"/>
    <w:rsid w:val="006A47F4"/>
    <w:rsid w:val="006A78C7"/>
    <w:rsid w:val="006A7A25"/>
    <w:rsid w:val="006B116C"/>
    <w:rsid w:val="006B29F0"/>
    <w:rsid w:val="006B37F5"/>
    <w:rsid w:val="006B41EA"/>
    <w:rsid w:val="006B58C1"/>
    <w:rsid w:val="006B5D70"/>
    <w:rsid w:val="006B6D55"/>
    <w:rsid w:val="006B7198"/>
    <w:rsid w:val="006C0469"/>
    <w:rsid w:val="006C5074"/>
    <w:rsid w:val="006C5398"/>
    <w:rsid w:val="006C54A5"/>
    <w:rsid w:val="006C5A38"/>
    <w:rsid w:val="006C6273"/>
    <w:rsid w:val="006D0AEC"/>
    <w:rsid w:val="006D0DE9"/>
    <w:rsid w:val="006D2156"/>
    <w:rsid w:val="006D2E3A"/>
    <w:rsid w:val="006D2EF3"/>
    <w:rsid w:val="006D2FB8"/>
    <w:rsid w:val="006D3D6C"/>
    <w:rsid w:val="006D4B23"/>
    <w:rsid w:val="006D56CF"/>
    <w:rsid w:val="006D5C95"/>
    <w:rsid w:val="006D7736"/>
    <w:rsid w:val="006D7C6A"/>
    <w:rsid w:val="006E0202"/>
    <w:rsid w:val="006E0FF2"/>
    <w:rsid w:val="006E12C0"/>
    <w:rsid w:val="006E3CA0"/>
    <w:rsid w:val="006E61A2"/>
    <w:rsid w:val="006E66BD"/>
    <w:rsid w:val="006E6820"/>
    <w:rsid w:val="006F04F9"/>
    <w:rsid w:val="006F217B"/>
    <w:rsid w:val="006F28C7"/>
    <w:rsid w:val="006F2A67"/>
    <w:rsid w:val="006F5268"/>
    <w:rsid w:val="006F6FD3"/>
    <w:rsid w:val="00700E8B"/>
    <w:rsid w:val="00702731"/>
    <w:rsid w:val="0070300D"/>
    <w:rsid w:val="00704095"/>
    <w:rsid w:val="007041B7"/>
    <w:rsid w:val="0070642A"/>
    <w:rsid w:val="00706A91"/>
    <w:rsid w:val="00712A75"/>
    <w:rsid w:val="00712EF1"/>
    <w:rsid w:val="0071523B"/>
    <w:rsid w:val="00715495"/>
    <w:rsid w:val="007159FA"/>
    <w:rsid w:val="00716E70"/>
    <w:rsid w:val="0071723C"/>
    <w:rsid w:val="007206FC"/>
    <w:rsid w:val="007222C2"/>
    <w:rsid w:val="00722529"/>
    <w:rsid w:val="00722729"/>
    <w:rsid w:val="007228EF"/>
    <w:rsid w:val="00722B77"/>
    <w:rsid w:val="00723F02"/>
    <w:rsid w:val="00726AA5"/>
    <w:rsid w:val="00727EF1"/>
    <w:rsid w:val="00732D64"/>
    <w:rsid w:val="00733878"/>
    <w:rsid w:val="007354BF"/>
    <w:rsid w:val="007362F8"/>
    <w:rsid w:val="00737462"/>
    <w:rsid w:val="00740807"/>
    <w:rsid w:val="00743E76"/>
    <w:rsid w:val="007450A7"/>
    <w:rsid w:val="00745D1E"/>
    <w:rsid w:val="0074610D"/>
    <w:rsid w:val="007462B6"/>
    <w:rsid w:val="007470BD"/>
    <w:rsid w:val="00753D50"/>
    <w:rsid w:val="0075518A"/>
    <w:rsid w:val="00757633"/>
    <w:rsid w:val="007607FC"/>
    <w:rsid w:val="00761D50"/>
    <w:rsid w:val="00762C82"/>
    <w:rsid w:val="007632EB"/>
    <w:rsid w:val="00763A00"/>
    <w:rsid w:val="00764037"/>
    <w:rsid w:val="00765438"/>
    <w:rsid w:val="00765A12"/>
    <w:rsid w:val="00767C2F"/>
    <w:rsid w:val="00771AD3"/>
    <w:rsid w:val="00772BF3"/>
    <w:rsid w:val="00772C9E"/>
    <w:rsid w:val="007734D8"/>
    <w:rsid w:val="00773BA4"/>
    <w:rsid w:val="00773D83"/>
    <w:rsid w:val="00774C71"/>
    <w:rsid w:val="0077553F"/>
    <w:rsid w:val="00775FB6"/>
    <w:rsid w:val="0077692E"/>
    <w:rsid w:val="00776CEC"/>
    <w:rsid w:val="00780921"/>
    <w:rsid w:val="00783672"/>
    <w:rsid w:val="00784F88"/>
    <w:rsid w:val="00785CEE"/>
    <w:rsid w:val="00786013"/>
    <w:rsid w:val="00787B2E"/>
    <w:rsid w:val="00790C04"/>
    <w:rsid w:val="00793B91"/>
    <w:rsid w:val="00795B8A"/>
    <w:rsid w:val="007965AC"/>
    <w:rsid w:val="007A22D1"/>
    <w:rsid w:val="007A3780"/>
    <w:rsid w:val="007A46E4"/>
    <w:rsid w:val="007A49A2"/>
    <w:rsid w:val="007A59D7"/>
    <w:rsid w:val="007A6FB8"/>
    <w:rsid w:val="007B0A95"/>
    <w:rsid w:val="007B4000"/>
    <w:rsid w:val="007B5D57"/>
    <w:rsid w:val="007B73AD"/>
    <w:rsid w:val="007C2F7F"/>
    <w:rsid w:val="007C499F"/>
    <w:rsid w:val="007C6027"/>
    <w:rsid w:val="007C76F1"/>
    <w:rsid w:val="007D031A"/>
    <w:rsid w:val="007D0D97"/>
    <w:rsid w:val="007D3BEA"/>
    <w:rsid w:val="007D4E06"/>
    <w:rsid w:val="007D6BD5"/>
    <w:rsid w:val="007E068B"/>
    <w:rsid w:val="007E0EC0"/>
    <w:rsid w:val="007E1195"/>
    <w:rsid w:val="007E14C0"/>
    <w:rsid w:val="007E176F"/>
    <w:rsid w:val="007E194E"/>
    <w:rsid w:val="007E1B16"/>
    <w:rsid w:val="007E462E"/>
    <w:rsid w:val="007E5B35"/>
    <w:rsid w:val="007E64BE"/>
    <w:rsid w:val="007E6AD2"/>
    <w:rsid w:val="007E7F24"/>
    <w:rsid w:val="007F02E3"/>
    <w:rsid w:val="007F11E1"/>
    <w:rsid w:val="007F131F"/>
    <w:rsid w:val="007F29AC"/>
    <w:rsid w:val="007F34D6"/>
    <w:rsid w:val="007F4D01"/>
    <w:rsid w:val="007F7F8A"/>
    <w:rsid w:val="00800925"/>
    <w:rsid w:val="008010C8"/>
    <w:rsid w:val="008031A5"/>
    <w:rsid w:val="008032D1"/>
    <w:rsid w:val="008040EA"/>
    <w:rsid w:val="0080479B"/>
    <w:rsid w:val="00804BEA"/>
    <w:rsid w:val="008055D7"/>
    <w:rsid w:val="008115C4"/>
    <w:rsid w:val="00811BC5"/>
    <w:rsid w:val="00811D70"/>
    <w:rsid w:val="00812448"/>
    <w:rsid w:val="008145E6"/>
    <w:rsid w:val="00814E20"/>
    <w:rsid w:val="0081528F"/>
    <w:rsid w:val="0081605F"/>
    <w:rsid w:val="00816C66"/>
    <w:rsid w:val="00816E85"/>
    <w:rsid w:val="00816F96"/>
    <w:rsid w:val="008210A3"/>
    <w:rsid w:val="00821632"/>
    <w:rsid w:val="008223CD"/>
    <w:rsid w:val="008223D0"/>
    <w:rsid w:val="0082306D"/>
    <w:rsid w:val="00823CAF"/>
    <w:rsid w:val="00824B12"/>
    <w:rsid w:val="00826E00"/>
    <w:rsid w:val="00827407"/>
    <w:rsid w:val="00827BB4"/>
    <w:rsid w:val="0083056E"/>
    <w:rsid w:val="00831E12"/>
    <w:rsid w:val="00833A7F"/>
    <w:rsid w:val="00835432"/>
    <w:rsid w:val="00836F43"/>
    <w:rsid w:val="008378EB"/>
    <w:rsid w:val="008405BD"/>
    <w:rsid w:val="00841049"/>
    <w:rsid w:val="008429D0"/>
    <w:rsid w:val="008448F0"/>
    <w:rsid w:val="008458F6"/>
    <w:rsid w:val="00846DCC"/>
    <w:rsid w:val="00847300"/>
    <w:rsid w:val="00850DD7"/>
    <w:rsid w:val="008514B4"/>
    <w:rsid w:val="00851BFE"/>
    <w:rsid w:val="00852134"/>
    <w:rsid w:val="008545A2"/>
    <w:rsid w:val="008563F1"/>
    <w:rsid w:val="00857F61"/>
    <w:rsid w:val="00862F89"/>
    <w:rsid w:val="00864406"/>
    <w:rsid w:val="0086750B"/>
    <w:rsid w:val="008677F1"/>
    <w:rsid w:val="00873EB2"/>
    <w:rsid w:val="008755D2"/>
    <w:rsid w:val="00876B51"/>
    <w:rsid w:val="00876EC8"/>
    <w:rsid w:val="008827A1"/>
    <w:rsid w:val="008832CF"/>
    <w:rsid w:val="008863A4"/>
    <w:rsid w:val="00886668"/>
    <w:rsid w:val="008867E3"/>
    <w:rsid w:val="00886824"/>
    <w:rsid w:val="00887D39"/>
    <w:rsid w:val="00893524"/>
    <w:rsid w:val="00894C55"/>
    <w:rsid w:val="0089789C"/>
    <w:rsid w:val="00897BD5"/>
    <w:rsid w:val="008A2250"/>
    <w:rsid w:val="008A2878"/>
    <w:rsid w:val="008A674C"/>
    <w:rsid w:val="008A6D76"/>
    <w:rsid w:val="008B27F5"/>
    <w:rsid w:val="008B2D1A"/>
    <w:rsid w:val="008B512C"/>
    <w:rsid w:val="008B54B4"/>
    <w:rsid w:val="008B5ED3"/>
    <w:rsid w:val="008B6354"/>
    <w:rsid w:val="008C173F"/>
    <w:rsid w:val="008C2575"/>
    <w:rsid w:val="008C2EA1"/>
    <w:rsid w:val="008C5741"/>
    <w:rsid w:val="008C65BE"/>
    <w:rsid w:val="008C6674"/>
    <w:rsid w:val="008C6AF9"/>
    <w:rsid w:val="008C75A8"/>
    <w:rsid w:val="008C7F3D"/>
    <w:rsid w:val="008D05D3"/>
    <w:rsid w:val="008D09C4"/>
    <w:rsid w:val="008D121E"/>
    <w:rsid w:val="008D17BD"/>
    <w:rsid w:val="008D2E37"/>
    <w:rsid w:val="008E10DC"/>
    <w:rsid w:val="008E2099"/>
    <w:rsid w:val="008E2ED3"/>
    <w:rsid w:val="008E3317"/>
    <w:rsid w:val="008E4B18"/>
    <w:rsid w:val="008E4BFE"/>
    <w:rsid w:val="008E53E4"/>
    <w:rsid w:val="008E700F"/>
    <w:rsid w:val="008E7CFD"/>
    <w:rsid w:val="008E7D91"/>
    <w:rsid w:val="008E7F91"/>
    <w:rsid w:val="008F278D"/>
    <w:rsid w:val="008F3A0A"/>
    <w:rsid w:val="008F3FC1"/>
    <w:rsid w:val="008F5F48"/>
    <w:rsid w:val="008F717A"/>
    <w:rsid w:val="008F77A2"/>
    <w:rsid w:val="00900567"/>
    <w:rsid w:val="009070FD"/>
    <w:rsid w:val="00910AD1"/>
    <w:rsid w:val="009112E3"/>
    <w:rsid w:val="00914101"/>
    <w:rsid w:val="0091443C"/>
    <w:rsid w:val="00916B77"/>
    <w:rsid w:val="009203FA"/>
    <w:rsid w:val="009210CB"/>
    <w:rsid w:val="0092334E"/>
    <w:rsid w:val="00923881"/>
    <w:rsid w:val="00924331"/>
    <w:rsid w:val="00924767"/>
    <w:rsid w:val="00925123"/>
    <w:rsid w:val="00926674"/>
    <w:rsid w:val="009274C8"/>
    <w:rsid w:val="00931CCE"/>
    <w:rsid w:val="0093247A"/>
    <w:rsid w:val="009327FC"/>
    <w:rsid w:val="0093349B"/>
    <w:rsid w:val="00934A54"/>
    <w:rsid w:val="00934BB5"/>
    <w:rsid w:val="009362AF"/>
    <w:rsid w:val="009365F1"/>
    <w:rsid w:val="00940441"/>
    <w:rsid w:val="00941F61"/>
    <w:rsid w:val="00941FAD"/>
    <w:rsid w:val="009452BB"/>
    <w:rsid w:val="00946878"/>
    <w:rsid w:val="009501C1"/>
    <w:rsid w:val="00950A49"/>
    <w:rsid w:val="00953FDF"/>
    <w:rsid w:val="00954DA5"/>
    <w:rsid w:val="009565DB"/>
    <w:rsid w:val="00960B22"/>
    <w:rsid w:val="00961CFE"/>
    <w:rsid w:val="00965A1F"/>
    <w:rsid w:val="00970645"/>
    <w:rsid w:val="00972522"/>
    <w:rsid w:val="009733B4"/>
    <w:rsid w:val="00974707"/>
    <w:rsid w:val="00974D81"/>
    <w:rsid w:val="00976F07"/>
    <w:rsid w:val="00977727"/>
    <w:rsid w:val="00980193"/>
    <w:rsid w:val="00980197"/>
    <w:rsid w:val="00985977"/>
    <w:rsid w:val="00985C9C"/>
    <w:rsid w:val="00986A9E"/>
    <w:rsid w:val="009875FD"/>
    <w:rsid w:val="00991538"/>
    <w:rsid w:val="00994CCD"/>
    <w:rsid w:val="009950E6"/>
    <w:rsid w:val="009958C1"/>
    <w:rsid w:val="00996448"/>
    <w:rsid w:val="00996812"/>
    <w:rsid w:val="00997A46"/>
    <w:rsid w:val="009A145B"/>
    <w:rsid w:val="009A1878"/>
    <w:rsid w:val="009A1961"/>
    <w:rsid w:val="009A7127"/>
    <w:rsid w:val="009B033A"/>
    <w:rsid w:val="009B15AF"/>
    <w:rsid w:val="009B3876"/>
    <w:rsid w:val="009B42DA"/>
    <w:rsid w:val="009B693C"/>
    <w:rsid w:val="009C0577"/>
    <w:rsid w:val="009C175C"/>
    <w:rsid w:val="009C27B4"/>
    <w:rsid w:val="009C2A04"/>
    <w:rsid w:val="009C3017"/>
    <w:rsid w:val="009C433B"/>
    <w:rsid w:val="009C4B35"/>
    <w:rsid w:val="009C53E0"/>
    <w:rsid w:val="009C6AD7"/>
    <w:rsid w:val="009D0ABA"/>
    <w:rsid w:val="009D2346"/>
    <w:rsid w:val="009D2673"/>
    <w:rsid w:val="009D3302"/>
    <w:rsid w:val="009D604A"/>
    <w:rsid w:val="009D7BC0"/>
    <w:rsid w:val="009E1E30"/>
    <w:rsid w:val="009E30D6"/>
    <w:rsid w:val="009E45AC"/>
    <w:rsid w:val="009E4B89"/>
    <w:rsid w:val="009E4F3C"/>
    <w:rsid w:val="009E5221"/>
    <w:rsid w:val="009E6F07"/>
    <w:rsid w:val="009E7F91"/>
    <w:rsid w:val="009F1212"/>
    <w:rsid w:val="009F42C3"/>
    <w:rsid w:val="009F45C6"/>
    <w:rsid w:val="009F7829"/>
    <w:rsid w:val="00A036B2"/>
    <w:rsid w:val="00A06492"/>
    <w:rsid w:val="00A20009"/>
    <w:rsid w:val="00A204DD"/>
    <w:rsid w:val="00A21A52"/>
    <w:rsid w:val="00A233FB"/>
    <w:rsid w:val="00A240F7"/>
    <w:rsid w:val="00A24F8E"/>
    <w:rsid w:val="00A25D5F"/>
    <w:rsid w:val="00A2682A"/>
    <w:rsid w:val="00A26B50"/>
    <w:rsid w:val="00A30341"/>
    <w:rsid w:val="00A307EA"/>
    <w:rsid w:val="00A30CB3"/>
    <w:rsid w:val="00A31289"/>
    <w:rsid w:val="00A31945"/>
    <w:rsid w:val="00A319B5"/>
    <w:rsid w:val="00A32BD6"/>
    <w:rsid w:val="00A32E09"/>
    <w:rsid w:val="00A33654"/>
    <w:rsid w:val="00A340A8"/>
    <w:rsid w:val="00A341ED"/>
    <w:rsid w:val="00A34FC9"/>
    <w:rsid w:val="00A358A6"/>
    <w:rsid w:val="00A363D4"/>
    <w:rsid w:val="00A40242"/>
    <w:rsid w:val="00A42862"/>
    <w:rsid w:val="00A45057"/>
    <w:rsid w:val="00A455D6"/>
    <w:rsid w:val="00A45C55"/>
    <w:rsid w:val="00A505A1"/>
    <w:rsid w:val="00A50B43"/>
    <w:rsid w:val="00A50CF0"/>
    <w:rsid w:val="00A51ABA"/>
    <w:rsid w:val="00A5546F"/>
    <w:rsid w:val="00A5578D"/>
    <w:rsid w:val="00A563AC"/>
    <w:rsid w:val="00A57674"/>
    <w:rsid w:val="00A60097"/>
    <w:rsid w:val="00A60368"/>
    <w:rsid w:val="00A60AF0"/>
    <w:rsid w:val="00A60BAB"/>
    <w:rsid w:val="00A60E30"/>
    <w:rsid w:val="00A65499"/>
    <w:rsid w:val="00A65D7E"/>
    <w:rsid w:val="00A663DE"/>
    <w:rsid w:val="00A67527"/>
    <w:rsid w:val="00A70ADE"/>
    <w:rsid w:val="00A71542"/>
    <w:rsid w:val="00A731CF"/>
    <w:rsid w:val="00A74392"/>
    <w:rsid w:val="00A750B2"/>
    <w:rsid w:val="00A758F5"/>
    <w:rsid w:val="00A76AC7"/>
    <w:rsid w:val="00A803AA"/>
    <w:rsid w:val="00A80D3E"/>
    <w:rsid w:val="00A82E81"/>
    <w:rsid w:val="00A84709"/>
    <w:rsid w:val="00A84B45"/>
    <w:rsid w:val="00A85369"/>
    <w:rsid w:val="00A87723"/>
    <w:rsid w:val="00A90A90"/>
    <w:rsid w:val="00A91FC3"/>
    <w:rsid w:val="00A945A6"/>
    <w:rsid w:val="00A94F9C"/>
    <w:rsid w:val="00A973E7"/>
    <w:rsid w:val="00AA01A6"/>
    <w:rsid w:val="00AA0F89"/>
    <w:rsid w:val="00AA1B67"/>
    <w:rsid w:val="00AA3D52"/>
    <w:rsid w:val="00AA6079"/>
    <w:rsid w:val="00AB0524"/>
    <w:rsid w:val="00AB2FD8"/>
    <w:rsid w:val="00AB57DB"/>
    <w:rsid w:val="00AB740D"/>
    <w:rsid w:val="00AB7F7F"/>
    <w:rsid w:val="00AC25A4"/>
    <w:rsid w:val="00AC32B6"/>
    <w:rsid w:val="00AC400B"/>
    <w:rsid w:val="00AD0CFC"/>
    <w:rsid w:val="00AD1606"/>
    <w:rsid w:val="00AD31A7"/>
    <w:rsid w:val="00AD336F"/>
    <w:rsid w:val="00AD58F3"/>
    <w:rsid w:val="00AE4935"/>
    <w:rsid w:val="00AE49F6"/>
    <w:rsid w:val="00AE4B98"/>
    <w:rsid w:val="00AE4C7E"/>
    <w:rsid w:val="00AE6BD7"/>
    <w:rsid w:val="00AE7EA3"/>
    <w:rsid w:val="00AF00F3"/>
    <w:rsid w:val="00AF201C"/>
    <w:rsid w:val="00AF29B6"/>
    <w:rsid w:val="00AF2DE8"/>
    <w:rsid w:val="00AF3A39"/>
    <w:rsid w:val="00AF3B0C"/>
    <w:rsid w:val="00AF3F31"/>
    <w:rsid w:val="00AF6470"/>
    <w:rsid w:val="00AF6A5A"/>
    <w:rsid w:val="00B014FC"/>
    <w:rsid w:val="00B02060"/>
    <w:rsid w:val="00B02F70"/>
    <w:rsid w:val="00B0345A"/>
    <w:rsid w:val="00B05BAE"/>
    <w:rsid w:val="00B064A5"/>
    <w:rsid w:val="00B07A2D"/>
    <w:rsid w:val="00B07B37"/>
    <w:rsid w:val="00B111A1"/>
    <w:rsid w:val="00B11356"/>
    <w:rsid w:val="00B1470E"/>
    <w:rsid w:val="00B14766"/>
    <w:rsid w:val="00B17C4A"/>
    <w:rsid w:val="00B21614"/>
    <w:rsid w:val="00B23DC5"/>
    <w:rsid w:val="00B2533A"/>
    <w:rsid w:val="00B2591D"/>
    <w:rsid w:val="00B276E6"/>
    <w:rsid w:val="00B305C7"/>
    <w:rsid w:val="00B33F5D"/>
    <w:rsid w:val="00B34FA3"/>
    <w:rsid w:val="00B35329"/>
    <w:rsid w:val="00B37CC6"/>
    <w:rsid w:val="00B406BE"/>
    <w:rsid w:val="00B409CB"/>
    <w:rsid w:val="00B42202"/>
    <w:rsid w:val="00B4333D"/>
    <w:rsid w:val="00B4345A"/>
    <w:rsid w:val="00B44E48"/>
    <w:rsid w:val="00B44FB4"/>
    <w:rsid w:val="00B45A2E"/>
    <w:rsid w:val="00B46092"/>
    <w:rsid w:val="00B47C74"/>
    <w:rsid w:val="00B50072"/>
    <w:rsid w:val="00B51A3B"/>
    <w:rsid w:val="00B55709"/>
    <w:rsid w:val="00B55ADA"/>
    <w:rsid w:val="00B5637D"/>
    <w:rsid w:val="00B569B2"/>
    <w:rsid w:val="00B576B6"/>
    <w:rsid w:val="00B613EA"/>
    <w:rsid w:val="00B6246C"/>
    <w:rsid w:val="00B624C1"/>
    <w:rsid w:val="00B63A8C"/>
    <w:rsid w:val="00B63C90"/>
    <w:rsid w:val="00B67F52"/>
    <w:rsid w:val="00B70BBF"/>
    <w:rsid w:val="00B726A3"/>
    <w:rsid w:val="00B72C4F"/>
    <w:rsid w:val="00B733E9"/>
    <w:rsid w:val="00B75A73"/>
    <w:rsid w:val="00B77C90"/>
    <w:rsid w:val="00B802C3"/>
    <w:rsid w:val="00B810F5"/>
    <w:rsid w:val="00B8129B"/>
    <w:rsid w:val="00B82B23"/>
    <w:rsid w:val="00B830D1"/>
    <w:rsid w:val="00B83494"/>
    <w:rsid w:val="00B839C9"/>
    <w:rsid w:val="00B85AAF"/>
    <w:rsid w:val="00B86AA2"/>
    <w:rsid w:val="00B93BC8"/>
    <w:rsid w:val="00B94CC2"/>
    <w:rsid w:val="00B963C9"/>
    <w:rsid w:val="00B978B0"/>
    <w:rsid w:val="00BA0D8F"/>
    <w:rsid w:val="00BA0F04"/>
    <w:rsid w:val="00BA1B67"/>
    <w:rsid w:val="00BA2811"/>
    <w:rsid w:val="00BA37F6"/>
    <w:rsid w:val="00BA3BFF"/>
    <w:rsid w:val="00BA792D"/>
    <w:rsid w:val="00BB206C"/>
    <w:rsid w:val="00BB3EF4"/>
    <w:rsid w:val="00BB4560"/>
    <w:rsid w:val="00BB54EE"/>
    <w:rsid w:val="00BB5D7E"/>
    <w:rsid w:val="00BB6E4B"/>
    <w:rsid w:val="00BB70FA"/>
    <w:rsid w:val="00BB72D6"/>
    <w:rsid w:val="00BB779F"/>
    <w:rsid w:val="00BB7AA4"/>
    <w:rsid w:val="00BB7D92"/>
    <w:rsid w:val="00BC07BF"/>
    <w:rsid w:val="00BC21C5"/>
    <w:rsid w:val="00BC3D43"/>
    <w:rsid w:val="00BC3FEB"/>
    <w:rsid w:val="00BC5794"/>
    <w:rsid w:val="00BC765B"/>
    <w:rsid w:val="00BD237C"/>
    <w:rsid w:val="00BD47D6"/>
    <w:rsid w:val="00BD57B6"/>
    <w:rsid w:val="00BD6CAD"/>
    <w:rsid w:val="00BD7DDD"/>
    <w:rsid w:val="00BE0E02"/>
    <w:rsid w:val="00BE179E"/>
    <w:rsid w:val="00BE26BF"/>
    <w:rsid w:val="00BE36ED"/>
    <w:rsid w:val="00BE4A82"/>
    <w:rsid w:val="00BE6DF8"/>
    <w:rsid w:val="00BE7117"/>
    <w:rsid w:val="00BE756D"/>
    <w:rsid w:val="00BF32E4"/>
    <w:rsid w:val="00BF33DF"/>
    <w:rsid w:val="00BF59BC"/>
    <w:rsid w:val="00BF670A"/>
    <w:rsid w:val="00BF7006"/>
    <w:rsid w:val="00BF73E0"/>
    <w:rsid w:val="00BF7C4A"/>
    <w:rsid w:val="00C00AFC"/>
    <w:rsid w:val="00C00EB1"/>
    <w:rsid w:val="00C0163F"/>
    <w:rsid w:val="00C04631"/>
    <w:rsid w:val="00C04678"/>
    <w:rsid w:val="00C0493C"/>
    <w:rsid w:val="00C10DCA"/>
    <w:rsid w:val="00C10E2B"/>
    <w:rsid w:val="00C15997"/>
    <w:rsid w:val="00C15B7C"/>
    <w:rsid w:val="00C16A85"/>
    <w:rsid w:val="00C219AB"/>
    <w:rsid w:val="00C21E19"/>
    <w:rsid w:val="00C228D2"/>
    <w:rsid w:val="00C23A16"/>
    <w:rsid w:val="00C23AB4"/>
    <w:rsid w:val="00C245F5"/>
    <w:rsid w:val="00C25673"/>
    <w:rsid w:val="00C25F50"/>
    <w:rsid w:val="00C279F8"/>
    <w:rsid w:val="00C301A1"/>
    <w:rsid w:val="00C30316"/>
    <w:rsid w:val="00C30AF8"/>
    <w:rsid w:val="00C313F2"/>
    <w:rsid w:val="00C316AB"/>
    <w:rsid w:val="00C31AC3"/>
    <w:rsid w:val="00C3408F"/>
    <w:rsid w:val="00C3414A"/>
    <w:rsid w:val="00C36DBF"/>
    <w:rsid w:val="00C37949"/>
    <w:rsid w:val="00C40289"/>
    <w:rsid w:val="00C433A1"/>
    <w:rsid w:val="00C45384"/>
    <w:rsid w:val="00C465BC"/>
    <w:rsid w:val="00C517B9"/>
    <w:rsid w:val="00C51BD5"/>
    <w:rsid w:val="00C5394E"/>
    <w:rsid w:val="00C550B5"/>
    <w:rsid w:val="00C565AB"/>
    <w:rsid w:val="00C56EFD"/>
    <w:rsid w:val="00C60F39"/>
    <w:rsid w:val="00C612C8"/>
    <w:rsid w:val="00C6407E"/>
    <w:rsid w:val="00C642BF"/>
    <w:rsid w:val="00C6457D"/>
    <w:rsid w:val="00C657DE"/>
    <w:rsid w:val="00C6604F"/>
    <w:rsid w:val="00C70D50"/>
    <w:rsid w:val="00C720F8"/>
    <w:rsid w:val="00C744ED"/>
    <w:rsid w:val="00C75895"/>
    <w:rsid w:val="00C77418"/>
    <w:rsid w:val="00C80A63"/>
    <w:rsid w:val="00C83417"/>
    <w:rsid w:val="00C855DD"/>
    <w:rsid w:val="00C90F29"/>
    <w:rsid w:val="00C92980"/>
    <w:rsid w:val="00C9379F"/>
    <w:rsid w:val="00C94262"/>
    <w:rsid w:val="00C947DF"/>
    <w:rsid w:val="00CA22CB"/>
    <w:rsid w:val="00CA267E"/>
    <w:rsid w:val="00CA30D8"/>
    <w:rsid w:val="00CA3752"/>
    <w:rsid w:val="00CA4E62"/>
    <w:rsid w:val="00CA62F9"/>
    <w:rsid w:val="00CA6612"/>
    <w:rsid w:val="00CB0ED4"/>
    <w:rsid w:val="00CB17A3"/>
    <w:rsid w:val="00CB1F3E"/>
    <w:rsid w:val="00CB21FA"/>
    <w:rsid w:val="00CB4C32"/>
    <w:rsid w:val="00CB4C92"/>
    <w:rsid w:val="00CB4D60"/>
    <w:rsid w:val="00CB55E9"/>
    <w:rsid w:val="00CB5606"/>
    <w:rsid w:val="00CC00A9"/>
    <w:rsid w:val="00CC0711"/>
    <w:rsid w:val="00CC11D6"/>
    <w:rsid w:val="00CC37EF"/>
    <w:rsid w:val="00CD315F"/>
    <w:rsid w:val="00CD40B2"/>
    <w:rsid w:val="00CD492B"/>
    <w:rsid w:val="00CD79E5"/>
    <w:rsid w:val="00CE2E2A"/>
    <w:rsid w:val="00CE3C77"/>
    <w:rsid w:val="00CE5538"/>
    <w:rsid w:val="00CE58FC"/>
    <w:rsid w:val="00CE64C3"/>
    <w:rsid w:val="00CE6715"/>
    <w:rsid w:val="00CE72D2"/>
    <w:rsid w:val="00CF0254"/>
    <w:rsid w:val="00CF1953"/>
    <w:rsid w:val="00CF2F49"/>
    <w:rsid w:val="00CF32EC"/>
    <w:rsid w:val="00CF34EF"/>
    <w:rsid w:val="00CF38E6"/>
    <w:rsid w:val="00CF3F44"/>
    <w:rsid w:val="00CF4146"/>
    <w:rsid w:val="00D00171"/>
    <w:rsid w:val="00D0088E"/>
    <w:rsid w:val="00D01505"/>
    <w:rsid w:val="00D0151D"/>
    <w:rsid w:val="00D018E4"/>
    <w:rsid w:val="00D01EB4"/>
    <w:rsid w:val="00D02F57"/>
    <w:rsid w:val="00D03561"/>
    <w:rsid w:val="00D03A6F"/>
    <w:rsid w:val="00D05481"/>
    <w:rsid w:val="00D055A3"/>
    <w:rsid w:val="00D07EA5"/>
    <w:rsid w:val="00D10D51"/>
    <w:rsid w:val="00D111BF"/>
    <w:rsid w:val="00D12199"/>
    <w:rsid w:val="00D14CF5"/>
    <w:rsid w:val="00D1501B"/>
    <w:rsid w:val="00D15C2E"/>
    <w:rsid w:val="00D200A8"/>
    <w:rsid w:val="00D20108"/>
    <w:rsid w:val="00D21CE0"/>
    <w:rsid w:val="00D24570"/>
    <w:rsid w:val="00D254B0"/>
    <w:rsid w:val="00D256CD"/>
    <w:rsid w:val="00D2623E"/>
    <w:rsid w:val="00D27131"/>
    <w:rsid w:val="00D27B3C"/>
    <w:rsid w:val="00D27EA6"/>
    <w:rsid w:val="00D303EA"/>
    <w:rsid w:val="00D3247A"/>
    <w:rsid w:val="00D329BD"/>
    <w:rsid w:val="00D33FBB"/>
    <w:rsid w:val="00D3536F"/>
    <w:rsid w:val="00D370D6"/>
    <w:rsid w:val="00D370DA"/>
    <w:rsid w:val="00D3715E"/>
    <w:rsid w:val="00D410D7"/>
    <w:rsid w:val="00D4172E"/>
    <w:rsid w:val="00D42DBB"/>
    <w:rsid w:val="00D43E35"/>
    <w:rsid w:val="00D443AB"/>
    <w:rsid w:val="00D446FF"/>
    <w:rsid w:val="00D45097"/>
    <w:rsid w:val="00D477BA"/>
    <w:rsid w:val="00D507B1"/>
    <w:rsid w:val="00D50C6B"/>
    <w:rsid w:val="00D51FC7"/>
    <w:rsid w:val="00D543DD"/>
    <w:rsid w:val="00D54B2D"/>
    <w:rsid w:val="00D56B57"/>
    <w:rsid w:val="00D574AB"/>
    <w:rsid w:val="00D62F83"/>
    <w:rsid w:val="00D6394B"/>
    <w:rsid w:val="00D63DF1"/>
    <w:rsid w:val="00D63F7D"/>
    <w:rsid w:val="00D65684"/>
    <w:rsid w:val="00D65FE7"/>
    <w:rsid w:val="00D67ED4"/>
    <w:rsid w:val="00D704C4"/>
    <w:rsid w:val="00D70B8C"/>
    <w:rsid w:val="00D72B1D"/>
    <w:rsid w:val="00D73E60"/>
    <w:rsid w:val="00D73F19"/>
    <w:rsid w:val="00D745C7"/>
    <w:rsid w:val="00D74819"/>
    <w:rsid w:val="00D7780A"/>
    <w:rsid w:val="00D77C1C"/>
    <w:rsid w:val="00D80A75"/>
    <w:rsid w:val="00D80BAF"/>
    <w:rsid w:val="00D80E23"/>
    <w:rsid w:val="00D819BC"/>
    <w:rsid w:val="00D81B0D"/>
    <w:rsid w:val="00D826FD"/>
    <w:rsid w:val="00D828D5"/>
    <w:rsid w:val="00D830EC"/>
    <w:rsid w:val="00D83960"/>
    <w:rsid w:val="00D8688D"/>
    <w:rsid w:val="00D8706F"/>
    <w:rsid w:val="00D87460"/>
    <w:rsid w:val="00D9110C"/>
    <w:rsid w:val="00D93AE7"/>
    <w:rsid w:val="00D9424B"/>
    <w:rsid w:val="00D94819"/>
    <w:rsid w:val="00D963CA"/>
    <w:rsid w:val="00D96942"/>
    <w:rsid w:val="00D96B67"/>
    <w:rsid w:val="00D96F85"/>
    <w:rsid w:val="00D97355"/>
    <w:rsid w:val="00DA0068"/>
    <w:rsid w:val="00DA1BAC"/>
    <w:rsid w:val="00DA2C02"/>
    <w:rsid w:val="00DA5CEB"/>
    <w:rsid w:val="00DA5EE4"/>
    <w:rsid w:val="00DA714E"/>
    <w:rsid w:val="00DA7986"/>
    <w:rsid w:val="00DB0435"/>
    <w:rsid w:val="00DB1A14"/>
    <w:rsid w:val="00DB21A3"/>
    <w:rsid w:val="00DB2406"/>
    <w:rsid w:val="00DB2CA5"/>
    <w:rsid w:val="00DB35BD"/>
    <w:rsid w:val="00DB3A33"/>
    <w:rsid w:val="00DB3D70"/>
    <w:rsid w:val="00DB604F"/>
    <w:rsid w:val="00DC049F"/>
    <w:rsid w:val="00DC1E12"/>
    <w:rsid w:val="00DC46CA"/>
    <w:rsid w:val="00DC47C3"/>
    <w:rsid w:val="00DD0C59"/>
    <w:rsid w:val="00DD3A86"/>
    <w:rsid w:val="00DD3F20"/>
    <w:rsid w:val="00DD56B5"/>
    <w:rsid w:val="00DD6581"/>
    <w:rsid w:val="00DD726E"/>
    <w:rsid w:val="00DD79A8"/>
    <w:rsid w:val="00DE2127"/>
    <w:rsid w:val="00DE362A"/>
    <w:rsid w:val="00DE4DD6"/>
    <w:rsid w:val="00DE58E1"/>
    <w:rsid w:val="00DE7C48"/>
    <w:rsid w:val="00DF079E"/>
    <w:rsid w:val="00DF13A0"/>
    <w:rsid w:val="00DF16F1"/>
    <w:rsid w:val="00DF2546"/>
    <w:rsid w:val="00DF33BF"/>
    <w:rsid w:val="00DF3EE3"/>
    <w:rsid w:val="00DF45F8"/>
    <w:rsid w:val="00DF4A27"/>
    <w:rsid w:val="00DF667B"/>
    <w:rsid w:val="00DF6936"/>
    <w:rsid w:val="00DF6F65"/>
    <w:rsid w:val="00DF7F5E"/>
    <w:rsid w:val="00E00165"/>
    <w:rsid w:val="00E0028F"/>
    <w:rsid w:val="00E0059B"/>
    <w:rsid w:val="00E02B3D"/>
    <w:rsid w:val="00E043EC"/>
    <w:rsid w:val="00E04BAC"/>
    <w:rsid w:val="00E0501E"/>
    <w:rsid w:val="00E10529"/>
    <w:rsid w:val="00E10937"/>
    <w:rsid w:val="00E10EAE"/>
    <w:rsid w:val="00E10F08"/>
    <w:rsid w:val="00E11F93"/>
    <w:rsid w:val="00E1253B"/>
    <w:rsid w:val="00E13AD5"/>
    <w:rsid w:val="00E13F3C"/>
    <w:rsid w:val="00E14224"/>
    <w:rsid w:val="00E16636"/>
    <w:rsid w:val="00E177C6"/>
    <w:rsid w:val="00E206CB"/>
    <w:rsid w:val="00E20D5F"/>
    <w:rsid w:val="00E21C05"/>
    <w:rsid w:val="00E23712"/>
    <w:rsid w:val="00E241B5"/>
    <w:rsid w:val="00E24C3B"/>
    <w:rsid w:val="00E275D6"/>
    <w:rsid w:val="00E27ABC"/>
    <w:rsid w:val="00E27FB8"/>
    <w:rsid w:val="00E31694"/>
    <w:rsid w:val="00E32ADB"/>
    <w:rsid w:val="00E32BA8"/>
    <w:rsid w:val="00E33AE4"/>
    <w:rsid w:val="00E35106"/>
    <w:rsid w:val="00E35BE1"/>
    <w:rsid w:val="00E36051"/>
    <w:rsid w:val="00E37644"/>
    <w:rsid w:val="00E41A2D"/>
    <w:rsid w:val="00E41D60"/>
    <w:rsid w:val="00E4312F"/>
    <w:rsid w:val="00E4346B"/>
    <w:rsid w:val="00E45FAD"/>
    <w:rsid w:val="00E46E2D"/>
    <w:rsid w:val="00E50A44"/>
    <w:rsid w:val="00E50E70"/>
    <w:rsid w:val="00E5259C"/>
    <w:rsid w:val="00E5295D"/>
    <w:rsid w:val="00E52978"/>
    <w:rsid w:val="00E52D87"/>
    <w:rsid w:val="00E531A8"/>
    <w:rsid w:val="00E541A1"/>
    <w:rsid w:val="00E56767"/>
    <w:rsid w:val="00E56CCE"/>
    <w:rsid w:val="00E611D7"/>
    <w:rsid w:val="00E6316E"/>
    <w:rsid w:val="00E667A5"/>
    <w:rsid w:val="00E71004"/>
    <w:rsid w:val="00E72B71"/>
    <w:rsid w:val="00E75145"/>
    <w:rsid w:val="00E75DBA"/>
    <w:rsid w:val="00E76D62"/>
    <w:rsid w:val="00E7787B"/>
    <w:rsid w:val="00E81953"/>
    <w:rsid w:val="00E82097"/>
    <w:rsid w:val="00E836AF"/>
    <w:rsid w:val="00E83A5A"/>
    <w:rsid w:val="00E85056"/>
    <w:rsid w:val="00E8546B"/>
    <w:rsid w:val="00E90050"/>
    <w:rsid w:val="00E931E6"/>
    <w:rsid w:val="00E950D0"/>
    <w:rsid w:val="00EA0BBA"/>
    <w:rsid w:val="00EA203E"/>
    <w:rsid w:val="00EA4043"/>
    <w:rsid w:val="00EA4F69"/>
    <w:rsid w:val="00EA6947"/>
    <w:rsid w:val="00EB3FFC"/>
    <w:rsid w:val="00EB657E"/>
    <w:rsid w:val="00EC27BB"/>
    <w:rsid w:val="00EC2E8C"/>
    <w:rsid w:val="00EC54F8"/>
    <w:rsid w:val="00EC6933"/>
    <w:rsid w:val="00ED2077"/>
    <w:rsid w:val="00ED3F2F"/>
    <w:rsid w:val="00ED5634"/>
    <w:rsid w:val="00ED60CF"/>
    <w:rsid w:val="00ED6A90"/>
    <w:rsid w:val="00ED7A20"/>
    <w:rsid w:val="00EE1018"/>
    <w:rsid w:val="00EE26BF"/>
    <w:rsid w:val="00EE2CED"/>
    <w:rsid w:val="00EE320D"/>
    <w:rsid w:val="00EE3C94"/>
    <w:rsid w:val="00EF1BC0"/>
    <w:rsid w:val="00EF3920"/>
    <w:rsid w:val="00EF47F8"/>
    <w:rsid w:val="00EF74D4"/>
    <w:rsid w:val="00F022CF"/>
    <w:rsid w:val="00F02C4A"/>
    <w:rsid w:val="00F04156"/>
    <w:rsid w:val="00F069AA"/>
    <w:rsid w:val="00F06B2F"/>
    <w:rsid w:val="00F06BBA"/>
    <w:rsid w:val="00F11E2C"/>
    <w:rsid w:val="00F12027"/>
    <w:rsid w:val="00F133ED"/>
    <w:rsid w:val="00F13733"/>
    <w:rsid w:val="00F13E2D"/>
    <w:rsid w:val="00F16771"/>
    <w:rsid w:val="00F16AE6"/>
    <w:rsid w:val="00F2195D"/>
    <w:rsid w:val="00F21CDB"/>
    <w:rsid w:val="00F22501"/>
    <w:rsid w:val="00F22A0B"/>
    <w:rsid w:val="00F22BC0"/>
    <w:rsid w:val="00F22CFD"/>
    <w:rsid w:val="00F24A5D"/>
    <w:rsid w:val="00F25C4E"/>
    <w:rsid w:val="00F30201"/>
    <w:rsid w:val="00F31DED"/>
    <w:rsid w:val="00F33902"/>
    <w:rsid w:val="00F34AB2"/>
    <w:rsid w:val="00F34CC4"/>
    <w:rsid w:val="00F35127"/>
    <w:rsid w:val="00F355C2"/>
    <w:rsid w:val="00F3719F"/>
    <w:rsid w:val="00F41FE9"/>
    <w:rsid w:val="00F4296F"/>
    <w:rsid w:val="00F43436"/>
    <w:rsid w:val="00F44DF6"/>
    <w:rsid w:val="00F4526B"/>
    <w:rsid w:val="00F468C0"/>
    <w:rsid w:val="00F46C85"/>
    <w:rsid w:val="00F509A3"/>
    <w:rsid w:val="00F52D03"/>
    <w:rsid w:val="00F53560"/>
    <w:rsid w:val="00F53C42"/>
    <w:rsid w:val="00F54F00"/>
    <w:rsid w:val="00F54F43"/>
    <w:rsid w:val="00F557B4"/>
    <w:rsid w:val="00F55C05"/>
    <w:rsid w:val="00F576AA"/>
    <w:rsid w:val="00F57B82"/>
    <w:rsid w:val="00F6104E"/>
    <w:rsid w:val="00F617C0"/>
    <w:rsid w:val="00F617DA"/>
    <w:rsid w:val="00F628B6"/>
    <w:rsid w:val="00F63FE6"/>
    <w:rsid w:val="00F63FFB"/>
    <w:rsid w:val="00F641C4"/>
    <w:rsid w:val="00F652E1"/>
    <w:rsid w:val="00F65680"/>
    <w:rsid w:val="00F65E3F"/>
    <w:rsid w:val="00F702A4"/>
    <w:rsid w:val="00F707E2"/>
    <w:rsid w:val="00F71419"/>
    <w:rsid w:val="00F732E5"/>
    <w:rsid w:val="00F73F88"/>
    <w:rsid w:val="00F749A1"/>
    <w:rsid w:val="00F75094"/>
    <w:rsid w:val="00F76947"/>
    <w:rsid w:val="00F806F1"/>
    <w:rsid w:val="00F820A2"/>
    <w:rsid w:val="00F8230E"/>
    <w:rsid w:val="00F82971"/>
    <w:rsid w:val="00F83EB7"/>
    <w:rsid w:val="00F86D15"/>
    <w:rsid w:val="00F90805"/>
    <w:rsid w:val="00F90A84"/>
    <w:rsid w:val="00F91B51"/>
    <w:rsid w:val="00F91BD9"/>
    <w:rsid w:val="00F91F47"/>
    <w:rsid w:val="00F9219D"/>
    <w:rsid w:val="00F96204"/>
    <w:rsid w:val="00F96E9C"/>
    <w:rsid w:val="00FA102C"/>
    <w:rsid w:val="00FA14AE"/>
    <w:rsid w:val="00FA1E9A"/>
    <w:rsid w:val="00FA4D1E"/>
    <w:rsid w:val="00FA6A0F"/>
    <w:rsid w:val="00FB0202"/>
    <w:rsid w:val="00FB16B4"/>
    <w:rsid w:val="00FB1964"/>
    <w:rsid w:val="00FB38D7"/>
    <w:rsid w:val="00FB4667"/>
    <w:rsid w:val="00FB52C8"/>
    <w:rsid w:val="00FB6593"/>
    <w:rsid w:val="00FB6DA1"/>
    <w:rsid w:val="00FC1126"/>
    <w:rsid w:val="00FC1312"/>
    <w:rsid w:val="00FC1602"/>
    <w:rsid w:val="00FC22DF"/>
    <w:rsid w:val="00FC45B6"/>
    <w:rsid w:val="00FC4958"/>
    <w:rsid w:val="00FC55D5"/>
    <w:rsid w:val="00FC5A07"/>
    <w:rsid w:val="00FC6E19"/>
    <w:rsid w:val="00FC7F15"/>
    <w:rsid w:val="00FD0044"/>
    <w:rsid w:val="00FD0956"/>
    <w:rsid w:val="00FD0E06"/>
    <w:rsid w:val="00FD1536"/>
    <w:rsid w:val="00FD1A21"/>
    <w:rsid w:val="00FD2BD5"/>
    <w:rsid w:val="00FD4743"/>
    <w:rsid w:val="00FD5273"/>
    <w:rsid w:val="00FD58A5"/>
    <w:rsid w:val="00FD7C87"/>
    <w:rsid w:val="00FE1CFF"/>
    <w:rsid w:val="00FE20C8"/>
    <w:rsid w:val="00FE3DB8"/>
    <w:rsid w:val="00FE3E7D"/>
    <w:rsid w:val="00FE6CE8"/>
    <w:rsid w:val="00FE7533"/>
    <w:rsid w:val="00FF0BEA"/>
    <w:rsid w:val="00FF202C"/>
    <w:rsid w:val="00FF2D77"/>
    <w:rsid w:val="00FF2FBC"/>
    <w:rsid w:val="00FF3963"/>
    <w:rsid w:val="00FF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C67"/>
    <w:pPr>
      <w:spacing w:after="120"/>
    </w:pPr>
    <w:rPr>
      <w:sz w:val="24"/>
      <w:szCs w:val="24"/>
      <w:lang w:eastAsia="ja-JP"/>
    </w:rPr>
  </w:style>
  <w:style w:type="paragraph" w:styleId="Heading1">
    <w:name w:val="heading 1"/>
    <w:basedOn w:val="Normal"/>
    <w:next w:val="Normal"/>
    <w:link w:val="Heading1Char"/>
    <w:qFormat/>
    <w:rsid w:val="00D65FE7"/>
    <w:pPr>
      <w:keepNext/>
      <w:numPr>
        <w:numId w:val="19"/>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413965"/>
    <w:pPr>
      <w:keepNext/>
      <w:numPr>
        <w:numId w:val="35"/>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0C7F70"/>
    <w:pPr>
      <w:keepNext/>
      <w:spacing w:before="240" w:after="60"/>
      <w:outlineLvl w:val="2"/>
    </w:pPr>
    <w:rPr>
      <w:rFonts w:ascii="Arial" w:hAnsi="Arial" w:cs="Arial"/>
      <w:b/>
      <w:bCs/>
      <w:sz w:val="26"/>
      <w:szCs w:val="26"/>
    </w:rPr>
  </w:style>
  <w:style w:type="paragraph" w:styleId="Heading4">
    <w:name w:val="heading 4"/>
    <w:aliases w:val="Title 4"/>
    <w:basedOn w:val="Heading3"/>
    <w:next w:val="Normal"/>
    <w:qFormat/>
    <w:rsid w:val="00970645"/>
    <w:pPr>
      <w:tabs>
        <w:tab w:val="left" w:pos="425"/>
      </w:tabs>
      <w:jc w:val="both"/>
      <w:outlineLvl w:val="3"/>
    </w:pPr>
    <w:rPr>
      <w:rFonts w:ascii="Times New Roman" w:eastAsia="Times New Roman" w:hAnsi="Times New Roman"/>
      <w:bCs w:val="0"/>
      <w:i/>
      <w:color w:val="000000"/>
      <w:kern w:val="36"/>
      <w:sz w:val="24"/>
      <w:szCs w:val="24"/>
      <w:lang w:val="es-ES"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s">
    <w:name w:val="Names"/>
    <w:basedOn w:val="Normal"/>
    <w:rsid w:val="000C7F70"/>
    <w:rPr>
      <w:rFonts w:eastAsia="Times New Roman"/>
      <w:b/>
      <w:i/>
      <w:szCs w:val="20"/>
      <w:lang w:eastAsia="es-ES"/>
    </w:rPr>
  </w:style>
  <w:style w:type="paragraph" w:customStyle="1" w:styleId="AbstractText">
    <w:name w:val="AbstractText"/>
    <w:basedOn w:val="Normal"/>
    <w:rsid w:val="000C7F70"/>
    <w:pPr>
      <w:autoSpaceDE w:val="0"/>
      <w:autoSpaceDN w:val="0"/>
      <w:adjustRightInd w:val="0"/>
      <w:spacing w:before="120"/>
      <w:jc w:val="both"/>
    </w:pPr>
    <w:rPr>
      <w:rFonts w:eastAsia="Times New Roman" w:cs="Arial"/>
      <w:szCs w:val="20"/>
      <w:lang w:eastAsia="es-ES"/>
    </w:rPr>
  </w:style>
  <w:style w:type="character" w:styleId="Hyperlink">
    <w:name w:val="Hyperlink"/>
    <w:rsid w:val="000C7F70"/>
    <w:rPr>
      <w:color w:val="0000FF"/>
      <w:u w:val="single"/>
    </w:rPr>
  </w:style>
  <w:style w:type="table" w:styleId="TableGrid">
    <w:name w:val="Table Grid"/>
    <w:basedOn w:val="TableNormal"/>
    <w:rsid w:val="0024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407F9"/>
    <w:rPr>
      <w:sz w:val="20"/>
      <w:szCs w:val="20"/>
    </w:rPr>
  </w:style>
  <w:style w:type="character" w:styleId="FootnoteReference">
    <w:name w:val="footnote reference"/>
    <w:uiPriority w:val="99"/>
    <w:rsid w:val="002407F9"/>
    <w:rPr>
      <w:vertAlign w:val="superscript"/>
    </w:rPr>
  </w:style>
  <w:style w:type="paragraph" w:styleId="BalloonText">
    <w:name w:val="Balloon Text"/>
    <w:basedOn w:val="Normal"/>
    <w:link w:val="BalloonTextChar"/>
    <w:rsid w:val="008B2D1A"/>
    <w:rPr>
      <w:rFonts w:ascii="Tahoma" w:hAnsi="Tahoma" w:cs="Tahoma"/>
      <w:sz w:val="16"/>
      <w:szCs w:val="16"/>
    </w:rPr>
  </w:style>
  <w:style w:type="character" w:customStyle="1" w:styleId="BalloonTextChar">
    <w:name w:val="Balloon Text Char"/>
    <w:link w:val="BalloonText"/>
    <w:rsid w:val="008B2D1A"/>
    <w:rPr>
      <w:rFonts w:ascii="Tahoma" w:hAnsi="Tahoma" w:cs="Tahoma"/>
      <w:sz w:val="16"/>
      <w:szCs w:val="16"/>
      <w:lang w:val="en-GB" w:eastAsia="ja-JP"/>
    </w:rPr>
  </w:style>
  <w:style w:type="paragraph" w:styleId="Header">
    <w:name w:val="header"/>
    <w:basedOn w:val="Normal"/>
    <w:link w:val="HeaderChar"/>
    <w:rsid w:val="00BE7117"/>
    <w:pPr>
      <w:tabs>
        <w:tab w:val="center" w:pos="4252"/>
        <w:tab w:val="right" w:pos="8504"/>
      </w:tabs>
    </w:pPr>
  </w:style>
  <w:style w:type="character" w:customStyle="1" w:styleId="HeaderChar">
    <w:name w:val="Header Char"/>
    <w:link w:val="Header"/>
    <w:rsid w:val="00BE7117"/>
    <w:rPr>
      <w:sz w:val="24"/>
      <w:szCs w:val="24"/>
      <w:lang w:val="en-GB" w:eastAsia="ja-JP"/>
    </w:rPr>
  </w:style>
  <w:style w:type="paragraph" w:styleId="Footer">
    <w:name w:val="footer"/>
    <w:basedOn w:val="Normal"/>
    <w:link w:val="FooterChar"/>
    <w:uiPriority w:val="99"/>
    <w:rsid w:val="00BE7117"/>
    <w:pPr>
      <w:tabs>
        <w:tab w:val="center" w:pos="4252"/>
        <w:tab w:val="right" w:pos="8504"/>
      </w:tabs>
    </w:pPr>
  </w:style>
  <w:style w:type="character" w:customStyle="1" w:styleId="FooterChar">
    <w:name w:val="Footer Char"/>
    <w:link w:val="Footer"/>
    <w:uiPriority w:val="99"/>
    <w:rsid w:val="00BE7117"/>
    <w:rPr>
      <w:sz w:val="24"/>
      <w:szCs w:val="24"/>
      <w:lang w:val="en-GB" w:eastAsia="ja-JP"/>
    </w:rPr>
  </w:style>
  <w:style w:type="character" w:styleId="CommentReference">
    <w:name w:val="annotation reference"/>
    <w:uiPriority w:val="99"/>
    <w:rsid w:val="00D7780A"/>
    <w:rPr>
      <w:sz w:val="16"/>
      <w:szCs w:val="16"/>
    </w:rPr>
  </w:style>
  <w:style w:type="paragraph" w:styleId="CommentText">
    <w:name w:val="annotation text"/>
    <w:basedOn w:val="Normal"/>
    <w:link w:val="CommentTextChar"/>
    <w:rsid w:val="00D7780A"/>
    <w:rPr>
      <w:sz w:val="20"/>
      <w:szCs w:val="20"/>
    </w:rPr>
  </w:style>
  <w:style w:type="character" w:customStyle="1" w:styleId="CommentTextChar">
    <w:name w:val="Comment Text Char"/>
    <w:link w:val="CommentText"/>
    <w:rsid w:val="00D7780A"/>
    <w:rPr>
      <w:lang w:eastAsia="ja-JP"/>
    </w:rPr>
  </w:style>
  <w:style w:type="paragraph" w:styleId="CommentSubject">
    <w:name w:val="annotation subject"/>
    <w:basedOn w:val="CommentText"/>
    <w:next w:val="CommentText"/>
    <w:link w:val="CommentSubjectChar"/>
    <w:rsid w:val="00D7780A"/>
    <w:rPr>
      <w:b/>
      <w:bCs/>
    </w:rPr>
  </w:style>
  <w:style w:type="character" w:customStyle="1" w:styleId="CommentSubjectChar">
    <w:name w:val="Comment Subject Char"/>
    <w:link w:val="CommentSubject"/>
    <w:rsid w:val="00D7780A"/>
    <w:rPr>
      <w:b/>
      <w:bCs/>
      <w:lang w:eastAsia="ja-JP"/>
    </w:rPr>
  </w:style>
  <w:style w:type="character" w:customStyle="1" w:styleId="Heading1Char">
    <w:name w:val="Heading 1 Char"/>
    <w:link w:val="Heading1"/>
    <w:rsid w:val="00D65FE7"/>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2F7C3B"/>
    <w:pPr>
      <w:spacing w:line="276" w:lineRule="auto"/>
      <w:ind w:left="720"/>
      <w:contextualSpacing/>
    </w:pPr>
    <w:rPr>
      <w:rFonts w:eastAsia="Calibri"/>
      <w:szCs w:val="22"/>
      <w:lang w:eastAsia="en-US"/>
    </w:rPr>
  </w:style>
  <w:style w:type="table" w:styleId="LightShading-Accent3">
    <w:name w:val="Light Shading Accent 3"/>
    <w:basedOn w:val="TableNormal"/>
    <w:uiPriority w:val="60"/>
    <w:rsid w:val="00A563A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2Char">
    <w:name w:val="Heading 2 Char"/>
    <w:link w:val="Heading2"/>
    <w:rsid w:val="00413965"/>
    <w:rPr>
      <w:rFonts w:ascii="Cambria" w:eastAsia="Times New Roman" w:hAnsi="Cambria"/>
      <w:b/>
      <w:bCs/>
      <w:i/>
      <w:iCs/>
      <w:sz w:val="28"/>
      <w:szCs w:val="28"/>
      <w:lang w:eastAsia="ja-JP"/>
    </w:rPr>
  </w:style>
  <w:style w:type="table" w:styleId="TableClassic3">
    <w:name w:val="Table Classic 3"/>
    <w:basedOn w:val="TableNormal"/>
    <w:rsid w:val="004D30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4D30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0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D30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
    <w:name w:val="Light Shading"/>
    <w:basedOn w:val="TableNormal"/>
    <w:uiPriority w:val="60"/>
    <w:rsid w:val="004D30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309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4D309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1">
    <w:name w:val="Medium Shading 1 Accent 1"/>
    <w:basedOn w:val="TableNormal"/>
    <w:uiPriority w:val="63"/>
    <w:rsid w:val="004D309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132E4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noteTextChar">
    <w:name w:val="Footnote Text Char"/>
    <w:link w:val="FootnoteText"/>
    <w:uiPriority w:val="99"/>
    <w:locked/>
    <w:rsid w:val="0071523B"/>
    <w:rPr>
      <w:lang w:eastAsia="ja-JP"/>
    </w:rPr>
  </w:style>
  <w:style w:type="table" w:styleId="LightList">
    <w:name w:val="Light List"/>
    <w:basedOn w:val="TableNormal"/>
    <w:uiPriority w:val="61"/>
    <w:rsid w:val="0071523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71523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1-Accent1">
    <w:name w:val="Medium Grid 1 Accent 1"/>
    <w:basedOn w:val="TableNormal"/>
    <w:uiPriority w:val="67"/>
    <w:rsid w:val="00E11F9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List1">
    <w:name w:val="Table List 1"/>
    <w:basedOn w:val="TableNormal"/>
    <w:rsid w:val="00AE6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1">
    <w:name w:val="Medium List 1 Accent 1"/>
    <w:basedOn w:val="TableNormal"/>
    <w:uiPriority w:val="65"/>
    <w:rsid w:val="00AE6BD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2">
    <w:name w:val="Table Columns 2"/>
    <w:basedOn w:val="TableNormal"/>
    <w:rsid w:val="001265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77A2"/>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F77A2"/>
    <w:rPr>
      <w:rFonts w:cs="Times New Roman"/>
      <w:color w:val="auto"/>
    </w:rPr>
  </w:style>
  <w:style w:type="character" w:styleId="Strong">
    <w:name w:val="Strong"/>
    <w:basedOn w:val="DefaultParagraphFont"/>
    <w:rsid w:val="00941F61"/>
    <w:rPr>
      <w:b/>
      <w:bCs/>
    </w:rPr>
  </w:style>
  <w:style w:type="table" w:styleId="LightList-Accent4">
    <w:name w:val="Light List Accent 4"/>
    <w:basedOn w:val="TableNormal"/>
    <w:uiPriority w:val="61"/>
    <w:rsid w:val="00941F61"/>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Normal"/>
    <w:next w:val="Normal"/>
    <w:link w:val="SubtitleChar"/>
    <w:uiPriority w:val="11"/>
    <w:qFormat/>
    <w:rsid w:val="00C37949"/>
    <w:pPr>
      <w:numPr>
        <w:ilvl w:val="1"/>
      </w:numPr>
      <w:spacing w:after="200" w:line="276" w:lineRule="auto"/>
      <w:jc w:val="both"/>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C37949"/>
    <w:rPr>
      <w:rFonts w:asciiTheme="majorHAnsi" w:eastAsiaTheme="majorEastAsia" w:hAnsiTheme="majorHAnsi" w:cstheme="majorBidi"/>
      <w:i/>
      <w:iCs/>
      <w:color w:val="4F81BD" w:themeColor="accent1"/>
      <w:spacing w:val="15"/>
      <w:sz w:val="24"/>
      <w:szCs w:val="24"/>
      <w:lang w:eastAsia="en-US"/>
    </w:rPr>
  </w:style>
  <w:style w:type="table" w:styleId="MediumShading2-Accent4">
    <w:name w:val="Medium Shading 2 Accent 4"/>
    <w:basedOn w:val="TableNormal"/>
    <w:uiPriority w:val="64"/>
    <w:rsid w:val="0032148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C67"/>
    <w:pPr>
      <w:spacing w:after="120"/>
    </w:pPr>
    <w:rPr>
      <w:sz w:val="24"/>
      <w:szCs w:val="24"/>
      <w:lang w:eastAsia="ja-JP"/>
    </w:rPr>
  </w:style>
  <w:style w:type="paragraph" w:styleId="Heading1">
    <w:name w:val="heading 1"/>
    <w:basedOn w:val="Normal"/>
    <w:next w:val="Normal"/>
    <w:link w:val="Heading1Char"/>
    <w:qFormat/>
    <w:rsid w:val="00D65FE7"/>
    <w:pPr>
      <w:keepNext/>
      <w:numPr>
        <w:numId w:val="19"/>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413965"/>
    <w:pPr>
      <w:keepNext/>
      <w:numPr>
        <w:numId w:val="35"/>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0C7F70"/>
    <w:pPr>
      <w:keepNext/>
      <w:spacing w:before="240" w:after="60"/>
      <w:outlineLvl w:val="2"/>
    </w:pPr>
    <w:rPr>
      <w:rFonts w:ascii="Arial" w:hAnsi="Arial" w:cs="Arial"/>
      <w:b/>
      <w:bCs/>
      <w:sz w:val="26"/>
      <w:szCs w:val="26"/>
    </w:rPr>
  </w:style>
  <w:style w:type="paragraph" w:styleId="Heading4">
    <w:name w:val="heading 4"/>
    <w:aliases w:val="Title 4"/>
    <w:basedOn w:val="Heading3"/>
    <w:next w:val="Normal"/>
    <w:qFormat/>
    <w:rsid w:val="00970645"/>
    <w:pPr>
      <w:tabs>
        <w:tab w:val="left" w:pos="425"/>
      </w:tabs>
      <w:jc w:val="both"/>
      <w:outlineLvl w:val="3"/>
    </w:pPr>
    <w:rPr>
      <w:rFonts w:ascii="Times New Roman" w:eastAsia="Times New Roman" w:hAnsi="Times New Roman"/>
      <w:bCs w:val="0"/>
      <w:i/>
      <w:color w:val="000000"/>
      <w:kern w:val="36"/>
      <w:sz w:val="24"/>
      <w:szCs w:val="24"/>
      <w:lang w:val="es-ES"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s">
    <w:name w:val="Names"/>
    <w:basedOn w:val="Normal"/>
    <w:rsid w:val="000C7F70"/>
    <w:rPr>
      <w:rFonts w:eastAsia="Times New Roman"/>
      <w:b/>
      <w:i/>
      <w:szCs w:val="20"/>
      <w:lang w:eastAsia="es-ES"/>
    </w:rPr>
  </w:style>
  <w:style w:type="paragraph" w:customStyle="1" w:styleId="AbstractText">
    <w:name w:val="AbstractText"/>
    <w:basedOn w:val="Normal"/>
    <w:rsid w:val="000C7F70"/>
    <w:pPr>
      <w:autoSpaceDE w:val="0"/>
      <w:autoSpaceDN w:val="0"/>
      <w:adjustRightInd w:val="0"/>
      <w:spacing w:before="120"/>
      <w:jc w:val="both"/>
    </w:pPr>
    <w:rPr>
      <w:rFonts w:eastAsia="Times New Roman" w:cs="Arial"/>
      <w:szCs w:val="20"/>
      <w:lang w:eastAsia="es-ES"/>
    </w:rPr>
  </w:style>
  <w:style w:type="character" w:styleId="Hyperlink">
    <w:name w:val="Hyperlink"/>
    <w:rsid w:val="000C7F70"/>
    <w:rPr>
      <w:color w:val="0000FF"/>
      <w:u w:val="single"/>
    </w:rPr>
  </w:style>
  <w:style w:type="table" w:styleId="TableGrid">
    <w:name w:val="Table Grid"/>
    <w:basedOn w:val="TableNormal"/>
    <w:rsid w:val="0024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407F9"/>
    <w:rPr>
      <w:sz w:val="20"/>
      <w:szCs w:val="20"/>
    </w:rPr>
  </w:style>
  <w:style w:type="character" w:styleId="FootnoteReference">
    <w:name w:val="footnote reference"/>
    <w:uiPriority w:val="99"/>
    <w:rsid w:val="002407F9"/>
    <w:rPr>
      <w:vertAlign w:val="superscript"/>
    </w:rPr>
  </w:style>
  <w:style w:type="paragraph" w:styleId="BalloonText">
    <w:name w:val="Balloon Text"/>
    <w:basedOn w:val="Normal"/>
    <w:link w:val="BalloonTextChar"/>
    <w:rsid w:val="008B2D1A"/>
    <w:rPr>
      <w:rFonts w:ascii="Tahoma" w:hAnsi="Tahoma" w:cs="Tahoma"/>
      <w:sz w:val="16"/>
      <w:szCs w:val="16"/>
    </w:rPr>
  </w:style>
  <w:style w:type="character" w:customStyle="1" w:styleId="BalloonTextChar">
    <w:name w:val="Balloon Text Char"/>
    <w:link w:val="BalloonText"/>
    <w:rsid w:val="008B2D1A"/>
    <w:rPr>
      <w:rFonts w:ascii="Tahoma" w:hAnsi="Tahoma" w:cs="Tahoma"/>
      <w:sz w:val="16"/>
      <w:szCs w:val="16"/>
      <w:lang w:val="en-GB" w:eastAsia="ja-JP"/>
    </w:rPr>
  </w:style>
  <w:style w:type="paragraph" w:styleId="Header">
    <w:name w:val="header"/>
    <w:basedOn w:val="Normal"/>
    <w:link w:val="HeaderChar"/>
    <w:rsid w:val="00BE7117"/>
    <w:pPr>
      <w:tabs>
        <w:tab w:val="center" w:pos="4252"/>
        <w:tab w:val="right" w:pos="8504"/>
      </w:tabs>
    </w:pPr>
  </w:style>
  <w:style w:type="character" w:customStyle="1" w:styleId="HeaderChar">
    <w:name w:val="Header Char"/>
    <w:link w:val="Header"/>
    <w:rsid w:val="00BE7117"/>
    <w:rPr>
      <w:sz w:val="24"/>
      <w:szCs w:val="24"/>
      <w:lang w:val="en-GB" w:eastAsia="ja-JP"/>
    </w:rPr>
  </w:style>
  <w:style w:type="paragraph" w:styleId="Footer">
    <w:name w:val="footer"/>
    <w:basedOn w:val="Normal"/>
    <w:link w:val="FooterChar"/>
    <w:uiPriority w:val="99"/>
    <w:rsid w:val="00BE7117"/>
    <w:pPr>
      <w:tabs>
        <w:tab w:val="center" w:pos="4252"/>
        <w:tab w:val="right" w:pos="8504"/>
      </w:tabs>
    </w:pPr>
  </w:style>
  <w:style w:type="character" w:customStyle="1" w:styleId="FooterChar">
    <w:name w:val="Footer Char"/>
    <w:link w:val="Footer"/>
    <w:uiPriority w:val="99"/>
    <w:rsid w:val="00BE7117"/>
    <w:rPr>
      <w:sz w:val="24"/>
      <w:szCs w:val="24"/>
      <w:lang w:val="en-GB" w:eastAsia="ja-JP"/>
    </w:rPr>
  </w:style>
  <w:style w:type="character" w:styleId="CommentReference">
    <w:name w:val="annotation reference"/>
    <w:uiPriority w:val="99"/>
    <w:rsid w:val="00D7780A"/>
    <w:rPr>
      <w:sz w:val="16"/>
      <w:szCs w:val="16"/>
    </w:rPr>
  </w:style>
  <w:style w:type="paragraph" w:styleId="CommentText">
    <w:name w:val="annotation text"/>
    <w:basedOn w:val="Normal"/>
    <w:link w:val="CommentTextChar"/>
    <w:rsid w:val="00D7780A"/>
    <w:rPr>
      <w:sz w:val="20"/>
      <w:szCs w:val="20"/>
    </w:rPr>
  </w:style>
  <w:style w:type="character" w:customStyle="1" w:styleId="CommentTextChar">
    <w:name w:val="Comment Text Char"/>
    <w:link w:val="CommentText"/>
    <w:rsid w:val="00D7780A"/>
    <w:rPr>
      <w:lang w:eastAsia="ja-JP"/>
    </w:rPr>
  </w:style>
  <w:style w:type="paragraph" w:styleId="CommentSubject">
    <w:name w:val="annotation subject"/>
    <w:basedOn w:val="CommentText"/>
    <w:next w:val="CommentText"/>
    <w:link w:val="CommentSubjectChar"/>
    <w:rsid w:val="00D7780A"/>
    <w:rPr>
      <w:b/>
      <w:bCs/>
    </w:rPr>
  </w:style>
  <w:style w:type="character" w:customStyle="1" w:styleId="CommentSubjectChar">
    <w:name w:val="Comment Subject Char"/>
    <w:link w:val="CommentSubject"/>
    <w:rsid w:val="00D7780A"/>
    <w:rPr>
      <w:b/>
      <w:bCs/>
      <w:lang w:eastAsia="ja-JP"/>
    </w:rPr>
  </w:style>
  <w:style w:type="character" w:customStyle="1" w:styleId="Heading1Char">
    <w:name w:val="Heading 1 Char"/>
    <w:link w:val="Heading1"/>
    <w:rsid w:val="00D65FE7"/>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2F7C3B"/>
    <w:pPr>
      <w:spacing w:line="276" w:lineRule="auto"/>
      <w:ind w:left="720"/>
      <w:contextualSpacing/>
    </w:pPr>
    <w:rPr>
      <w:rFonts w:eastAsia="Calibri"/>
      <w:szCs w:val="22"/>
      <w:lang w:eastAsia="en-US"/>
    </w:rPr>
  </w:style>
  <w:style w:type="table" w:styleId="LightShading-Accent3">
    <w:name w:val="Light Shading Accent 3"/>
    <w:basedOn w:val="TableNormal"/>
    <w:uiPriority w:val="60"/>
    <w:rsid w:val="00A563A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2Char">
    <w:name w:val="Heading 2 Char"/>
    <w:link w:val="Heading2"/>
    <w:rsid w:val="00413965"/>
    <w:rPr>
      <w:rFonts w:ascii="Cambria" w:eastAsia="Times New Roman" w:hAnsi="Cambria"/>
      <w:b/>
      <w:bCs/>
      <w:i/>
      <w:iCs/>
      <w:sz w:val="28"/>
      <w:szCs w:val="28"/>
      <w:lang w:eastAsia="ja-JP"/>
    </w:rPr>
  </w:style>
  <w:style w:type="table" w:styleId="TableClassic3">
    <w:name w:val="Table Classic 3"/>
    <w:basedOn w:val="TableNormal"/>
    <w:rsid w:val="004D30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4D30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0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D30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
    <w:name w:val="Light Shading"/>
    <w:basedOn w:val="TableNormal"/>
    <w:uiPriority w:val="60"/>
    <w:rsid w:val="004D30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309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4D309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1">
    <w:name w:val="Medium Shading 1 Accent 1"/>
    <w:basedOn w:val="TableNormal"/>
    <w:uiPriority w:val="63"/>
    <w:rsid w:val="004D309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132E4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noteTextChar">
    <w:name w:val="Footnote Text Char"/>
    <w:link w:val="FootnoteText"/>
    <w:uiPriority w:val="99"/>
    <w:locked/>
    <w:rsid w:val="0071523B"/>
    <w:rPr>
      <w:lang w:eastAsia="ja-JP"/>
    </w:rPr>
  </w:style>
  <w:style w:type="table" w:styleId="LightList">
    <w:name w:val="Light List"/>
    <w:basedOn w:val="TableNormal"/>
    <w:uiPriority w:val="61"/>
    <w:rsid w:val="0071523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71523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1-Accent1">
    <w:name w:val="Medium Grid 1 Accent 1"/>
    <w:basedOn w:val="TableNormal"/>
    <w:uiPriority w:val="67"/>
    <w:rsid w:val="00E11F9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List1">
    <w:name w:val="Table List 1"/>
    <w:basedOn w:val="TableNormal"/>
    <w:rsid w:val="00AE6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1">
    <w:name w:val="Medium List 1 Accent 1"/>
    <w:basedOn w:val="TableNormal"/>
    <w:uiPriority w:val="65"/>
    <w:rsid w:val="00AE6BD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2">
    <w:name w:val="Table Columns 2"/>
    <w:basedOn w:val="TableNormal"/>
    <w:rsid w:val="001265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77A2"/>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F77A2"/>
    <w:rPr>
      <w:rFonts w:cs="Times New Roman"/>
      <w:color w:val="auto"/>
    </w:rPr>
  </w:style>
  <w:style w:type="character" w:styleId="Strong">
    <w:name w:val="Strong"/>
    <w:basedOn w:val="DefaultParagraphFont"/>
    <w:rsid w:val="00941F61"/>
    <w:rPr>
      <w:b/>
      <w:bCs/>
    </w:rPr>
  </w:style>
  <w:style w:type="table" w:styleId="LightList-Accent4">
    <w:name w:val="Light List Accent 4"/>
    <w:basedOn w:val="TableNormal"/>
    <w:uiPriority w:val="61"/>
    <w:rsid w:val="00941F61"/>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Normal"/>
    <w:next w:val="Normal"/>
    <w:link w:val="SubtitleChar"/>
    <w:uiPriority w:val="11"/>
    <w:qFormat/>
    <w:rsid w:val="00C37949"/>
    <w:pPr>
      <w:numPr>
        <w:ilvl w:val="1"/>
      </w:numPr>
      <w:spacing w:after="200" w:line="276" w:lineRule="auto"/>
      <w:jc w:val="both"/>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C37949"/>
    <w:rPr>
      <w:rFonts w:asciiTheme="majorHAnsi" w:eastAsiaTheme="majorEastAsia" w:hAnsiTheme="majorHAnsi" w:cstheme="majorBidi"/>
      <w:i/>
      <w:iCs/>
      <w:color w:val="4F81BD" w:themeColor="accent1"/>
      <w:spacing w:val="15"/>
      <w:sz w:val="24"/>
      <w:szCs w:val="24"/>
      <w:lang w:eastAsia="en-US"/>
    </w:rPr>
  </w:style>
  <w:style w:type="table" w:styleId="MediumShading2-Accent4">
    <w:name w:val="Medium Shading 2 Accent 4"/>
    <w:basedOn w:val="TableNormal"/>
    <w:uiPriority w:val="64"/>
    <w:rsid w:val="0032148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052">
      <w:bodyDiv w:val="1"/>
      <w:marLeft w:val="0"/>
      <w:marRight w:val="0"/>
      <w:marTop w:val="0"/>
      <w:marBottom w:val="0"/>
      <w:divBdr>
        <w:top w:val="none" w:sz="0" w:space="0" w:color="auto"/>
        <w:left w:val="none" w:sz="0" w:space="0" w:color="auto"/>
        <w:bottom w:val="none" w:sz="0" w:space="0" w:color="auto"/>
        <w:right w:val="none" w:sz="0" w:space="0" w:color="auto"/>
      </w:divBdr>
    </w:div>
    <w:div w:id="17123553">
      <w:bodyDiv w:val="1"/>
      <w:marLeft w:val="0"/>
      <w:marRight w:val="0"/>
      <w:marTop w:val="0"/>
      <w:marBottom w:val="0"/>
      <w:divBdr>
        <w:top w:val="none" w:sz="0" w:space="0" w:color="auto"/>
        <w:left w:val="none" w:sz="0" w:space="0" w:color="auto"/>
        <w:bottom w:val="none" w:sz="0" w:space="0" w:color="auto"/>
        <w:right w:val="none" w:sz="0" w:space="0" w:color="auto"/>
      </w:divBdr>
    </w:div>
    <w:div w:id="19363371">
      <w:bodyDiv w:val="1"/>
      <w:marLeft w:val="0"/>
      <w:marRight w:val="0"/>
      <w:marTop w:val="0"/>
      <w:marBottom w:val="0"/>
      <w:divBdr>
        <w:top w:val="none" w:sz="0" w:space="0" w:color="auto"/>
        <w:left w:val="none" w:sz="0" w:space="0" w:color="auto"/>
        <w:bottom w:val="none" w:sz="0" w:space="0" w:color="auto"/>
        <w:right w:val="none" w:sz="0" w:space="0" w:color="auto"/>
      </w:divBdr>
    </w:div>
    <w:div w:id="352607514">
      <w:bodyDiv w:val="1"/>
      <w:marLeft w:val="0"/>
      <w:marRight w:val="0"/>
      <w:marTop w:val="0"/>
      <w:marBottom w:val="0"/>
      <w:divBdr>
        <w:top w:val="none" w:sz="0" w:space="0" w:color="auto"/>
        <w:left w:val="none" w:sz="0" w:space="0" w:color="auto"/>
        <w:bottom w:val="none" w:sz="0" w:space="0" w:color="auto"/>
        <w:right w:val="none" w:sz="0" w:space="0" w:color="auto"/>
      </w:divBdr>
    </w:div>
    <w:div w:id="594292719">
      <w:bodyDiv w:val="1"/>
      <w:marLeft w:val="0"/>
      <w:marRight w:val="0"/>
      <w:marTop w:val="0"/>
      <w:marBottom w:val="0"/>
      <w:divBdr>
        <w:top w:val="none" w:sz="0" w:space="0" w:color="auto"/>
        <w:left w:val="none" w:sz="0" w:space="0" w:color="auto"/>
        <w:bottom w:val="none" w:sz="0" w:space="0" w:color="auto"/>
        <w:right w:val="none" w:sz="0" w:space="0" w:color="auto"/>
      </w:divBdr>
    </w:div>
    <w:div w:id="1207058537">
      <w:bodyDiv w:val="1"/>
      <w:marLeft w:val="0"/>
      <w:marRight w:val="0"/>
      <w:marTop w:val="0"/>
      <w:marBottom w:val="0"/>
      <w:divBdr>
        <w:top w:val="none" w:sz="0" w:space="0" w:color="auto"/>
        <w:left w:val="none" w:sz="0" w:space="0" w:color="auto"/>
        <w:bottom w:val="none" w:sz="0" w:space="0" w:color="auto"/>
        <w:right w:val="none" w:sz="0" w:space="0" w:color="auto"/>
      </w:divBdr>
    </w:div>
    <w:div w:id="1339503920">
      <w:bodyDiv w:val="1"/>
      <w:marLeft w:val="0"/>
      <w:marRight w:val="0"/>
      <w:marTop w:val="0"/>
      <w:marBottom w:val="0"/>
      <w:divBdr>
        <w:top w:val="none" w:sz="0" w:space="0" w:color="auto"/>
        <w:left w:val="none" w:sz="0" w:space="0" w:color="auto"/>
        <w:bottom w:val="none" w:sz="0" w:space="0" w:color="auto"/>
        <w:right w:val="none" w:sz="0" w:space="0" w:color="auto"/>
      </w:divBdr>
    </w:div>
    <w:div w:id="1401556533">
      <w:bodyDiv w:val="1"/>
      <w:marLeft w:val="0"/>
      <w:marRight w:val="0"/>
      <w:marTop w:val="0"/>
      <w:marBottom w:val="0"/>
      <w:divBdr>
        <w:top w:val="none" w:sz="0" w:space="0" w:color="auto"/>
        <w:left w:val="none" w:sz="0" w:space="0" w:color="auto"/>
        <w:bottom w:val="none" w:sz="0" w:space="0" w:color="auto"/>
        <w:right w:val="none" w:sz="0" w:space="0" w:color="auto"/>
      </w:divBdr>
    </w:div>
    <w:div w:id="1464076890">
      <w:bodyDiv w:val="1"/>
      <w:marLeft w:val="0"/>
      <w:marRight w:val="0"/>
      <w:marTop w:val="0"/>
      <w:marBottom w:val="0"/>
      <w:divBdr>
        <w:top w:val="none" w:sz="0" w:space="0" w:color="auto"/>
        <w:left w:val="none" w:sz="0" w:space="0" w:color="auto"/>
        <w:bottom w:val="none" w:sz="0" w:space="0" w:color="auto"/>
        <w:right w:val="none" w:sz="0" w:space="0" w:color="auto"/>
      </w:divBdr>
      <w:divsChild>
        <w:div w:id="133331151">
          <w:marLeft w:val="1886"/>
          <w:marRight w:val="0"/>
          <w:marTop w:val="67"/>
          <w:marBottom w:val="0"/>
          <w:divBdr>
            <w:top w:val="none" w:sz="0" w:space="0" w:color="auto"/>
            <w:left w:val="none" w:sz="0" w:space="0" w:color="auto"/>
            <w:bottom w:val="none" w:sz="0" w:space="0" w:color="auto"/>
            <w:right w:val="none" w:sz="0" w:space="0" w:color="auto"/>
          </w:divBdr>
        </w:div>
        <w:div w:id="644892479">
          <w:marLeft w:val="1886"/>
          <w:marRight w:val="0"/>
          <w:marTop w:val="67"/>
          <w:marBottom w:val="0"/>
          <w:divBdr>
            <w:top w:val="none" w:sz="0" w:space="0" w:color="auto"/>
            <w:left w:val="none" w:sz="0" w:space="0" w:color="auto"/>
            <w:bottom w:val="none" w:sz="0" w:space="0" w:color="auto"/>
            <w:right w:val="none" w:sz="0" w:space="0" w:color="auto"/>
          </w:divBdr>
        </w:div>
        <w:div w:id="1339042159">
          <w:marLeft w:val="1886"/>
          <w:marRight w:val="0"/>
          <w:marTop w:val="67"/>
          <w:marBottom w:val="0"/>
          <w:divBdr>
            <w:top w:val="none" w:sz="0" w:space="0" w:color="auto"/>
            <w:left w:val="none" w:sz="0" w:space="0" w:color="auto"/>
            <w:bottom w:val="none" w:sz="0" w:space="0" w:color="auto"/>
            <w:right w:val="none" w:sz="0" w:space="0" w:color="auto"/>
          </w:divBdr>
        </w:div>
        <w:div w:id="1400639895">
          <w:marLeft w:val="1886"/>
          <w:marRight w:val="0"/>
          <w:marTop w:val="67"/>
          <w:marBottom w:val="0"/>
          <w:divBdr>
            <w:top w:val="none" w:sz="0" w:space="0" w:color="auto"/>
            <w:left w:val="none" w:sz="0" w:space="0" w:color="auto"/>
            <w:bottom w:val="none" w:sz="0" w:space="0" w:color="auto"/>
            <w:right w:val="none" w:sz="0" w:space="0" w:color="auto"/>
          </w:divBdr>
        </w:div>
        <w:div w:id="1808742229">
          <w:marLeft w:val="1166"/>
          <w:marRight w:val="0"/>
          <w:marTop w:val="96"/>
          <w:marBottom w:val="0"/>
          <w:divBdr>
            <w:top w:val="none" w:sz="0" w:space="0" w:color="auto"/>
            <w:left w:val="none" w:sz="0" w:space="0" w:color="auto"/>
            <w:bottom w:val="none" w:sz="0" w:space="0" w:color="auto"/>
            <w:right w:val="none" w:sz="0" w:space="0" w:color="auto"/>
          </w:divBdr>
        </w:div>
      </w:divsChild>
    </w:div>
    <w:div w:id="1565678581">
      <w:bodyDiv w:val="1"/>
      <w:marLeft w:val="0"/>
      <w:marRight w:val="0"/>
      <w:marTop w:val="0"/>
      <w:marBottom w:val="0"/>
      <w:divBdr>
        <w:top w:val="none" w:sz="0" w:space="0" w:color="auto"/>
        <w:left w:val="none" w:sz="0" w:space="0" w:color="auto"/>
        <w:bottom w:val="none" w:sz="0" w:space="0" w:color="auto"/>
        <w:right w:val="none" w:sz="0" w:space="0" w:color="auto"/>
      </w:divBdr>
    </w:div>
    <w:div w:id="1682967737">
      <w:bodyDiv w:val="1"/>
      <w:marLeft w:val="0"/>
      <w:marRight w:val="0"/>
      <w:marTop w:val="0"/>
      <w:marBottom w:val="0"/>
      <w:divBdr>
        <w:top w:val="none" w:sz="0" w:space="0" w:color="auto"/>
        <w:left w:val="none" w:sz="0" w:space="0" w:color="auto"/>
        <w:bottom w:val="none" w:sz="0" w:space="0" w:color="auto"/>
        <w:right w:val="none" w:sz="0" w:space="0" w:color="auto"/>
      </w:divBdr>
    </w:div>
    <w:div w:id="20490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isabelle.remond-tiedrez@ec.europa.e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monis\estat\questionnaire\_Compilation%20answers%20questionnaire%20Un%20Handbook%20SUIO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emonis\estat\questionnaire\_Compilation%20answers%20questionnaire%20Un%20Handbook%20SUIOT.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mistral.eurostat.cec\nas-estat\IOT\TechnicalGroup\2015March%20meeting\documents\_Compilation%20answers%20questionnaire%20Un%20Handbook%20SUIOT.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remonis\estat\questionnaire\_Compilation%20answers%20questionnaire%20Un%20Handbook%20SUIOT.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n-GB"/>
              <a:t>Number of countries using Business surveys</a:t>
            </a:r>
          </a:p>
        </c:rich>
      </c:tx>
      <c:layout/>
      <c:overlay val="0"/>
    </c:title>
    <c:autoTitleDeleted val="0"/>
    <c:plotArea>
      <c:layout/>
      <c:barChart>
        <c:barDir val="col"/>
        <c:grouping val="clustered"/>
        <c:varyColors val="0"/>
        <c:ser>
          <c:idx val="1"/>
          <c:order val="0"/>
          <c:tx>
            <c:strRef>
              <c:f>summary!$A$16</c:f>
              <c:strCache>
                <c:ptCount val="1"/>
                <c:pt idx="0">
                  <c:v>Business surveys Monthly BSM</c:v>
                </c:pt>
              </c:strCache>
            </c:strRef>
          </c:tx>
          <c:invertIfNegative val="0"/>
          <c:dLbls>
            <c:showLegendKey val="0"/>
            <c:showVal val="1"/>
            <c:showCatName val="0"/>
            <c:showSerName val="0"/>
            <c:showPercent val="0"/>
            <c:showBubbleSize val="0"/>
            <c:showLeaderLines val="0"/>
          </c:dLbls>
          <c:cat>
            <c:numRef>
              <c:f>summary!$B$64:$I$64</c:f>
              <c:numCache>
                <c:formatCode>General</c:formatCode>
                <c:ptCount val="8"/>
                <c:pt idx="0">
                  <c:v>1</c:v>
                </c:pt>
                <c:pt idx="1">
                  <c:v>2</c:v>
                </c:pt>
                <c:pt idx="2">
                  <c:v>3</c:v>
                </c:pt>
                <c:pt idx="3">
                  <c:v>4</c:v>
                </c:pt>
                <c:pt idx="4">
                  <c:v>5</c:v>
                </c:pt>
                <c:pt idx="5">
                  <c:v>6</c:v>
                </c:pt>
                <c:pt idx="6">
                  <c:v>7</c:v>
                </c:pt>
                <c:pt idx="7">
                  <c:v>8</c:v>
                </c:pt>
              </c:numCache>
            </c:numRef>
          </c:cat>
          <c:val>
            <c:numRef>
              <c:f>summary!$B$17:$I$17</c:f>
              <c:numCache>
                <c:formatCode>General</c:formatCode>
                <c:ptCount val="8"/>
                <c:pt idx="0">
                  <c:v>11</c:v>
                </c:pt>
                <c:pt idx="1">
                  <c:v>6</c:v>
                </c:pt>
                <c:pt idx="2">
                  <c:v>3</c:v>
                </c:pt>
                <c:pt idx="3">
                  <c:v>3</c:v>
                </c:pt>
                <c:pt idx="4">
                  <c:v>2</c:v>
                </c:pt>
                <c:pt idx="5">
                  <c:v>2</c:v>
                </c:pt>
                <c:pt idx="6">
                  <c:v>2</c:v>
                </c:pt>
                <c:pt idx="7">
                  <c:v>2</c:v>
                </c:pt>
              </c:numCache>
            </c:numRef>
          </c:val>
        </c:ser>
        <c:ser>
          <c:idx val="0"/>
          <c:order val="1"/>
          <c:tx>
            <c:strRef>
              <c:f>summary!$A$40</c:f>
              <c:strCache>
                <c:ptCount val="1"/>
                <c:pt idx="0">
                  <c:v>Business surveys Quarterly BSQ</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numRef>
              <c:f>summary!$B$64:$I$64</c:f>
              <c:numCache>
                <c:formatCode>General</c:formatCode>
                <c:ptCount val="8"/>
                <c:pt idx="0">
                  <c:v>1</c:v>
                </c:pt>
                <c:pt idx="1">
                  <c:v>2</c:v>
                </c:pt>
                <c:pt idx="2">
                  <c:v>3</c:v>
                </c:pt>
                <c:pt idx="3">
                  <c:v>4</c:v>
                </c:pt>
                <c:pt idx="4">
                  <c:v>5</c:v>
                </c:pt>
                <c:pt idx="5">
                  <c:v>6</c:v>
                </c:pt>
                <c:pt idx="6">
                  <c:v>7</c:v>
                </c:pt>
                <c:pt idx="7">
                  <c:v>8</c:v>
                </c:pt>
              </c:numCache>
            </c:numRef>
          </c:cat>
          <c:val>
            <c:numRef>
              <c:f>summary!$B$41:$I$41</c:f>
              <c:numCache>
                <c:formatCode>General</c:formatCode>
                <c:ptCount val="8"/>
                <c:pt idx="0">
                  <c:v>14</c:v>
                </c:pt>
                <c:pt idx="1">
                  <c:v>4</c:v>
                </c:pt>
                <c:pt idx="2">
                  <c:v>3</c:v>
                </c:pt>
                <c:pt idx="3">
                  <c:v>2</c:v>
                </c:pt>
                <c:pt idx="4">
                  <c:v>2</c:v>
                </c:pt>
                <c:pt idx="5">
                  <c:v>2</c:v>
                </c:pt>
                <c:pt idx="6">
                  <c:v>2</c:v>
                </c:pt>
                <c:pt idx="7">
                  <c:v>2</c:v>
                </c:pt>
              </c:numCache>
            </c:numRef>
          </c:val>
        </c:ser>
        <c:ser>
          <c:idx val="2"/>
          <c:order val="2"/>
          <c:tx>
            <c:strRef>
              <c:f>summary!$A$64</c:f>
              <c:strCache>
                <c:ptCount val="1"/>
                <c:pt idx="0">
                  <c:v>Business surveys Annual BSA</c:v>
                </c:pt>
              </c:strCache>
            </c:strRef>
          </c:tx>
          <c:invertIfNegative val="0"/>
          <c:dLbls>
            <c:showLegendKey val="0"/>
            <c:showVal val="1"/>
            <c:showCatName val="0"/>
            <c:showSerName val="0"/>
            <c:showPercent val="0"/>
            <c:showBubbleSize val="0"/>
            <c:showLeaderLines val="0"/>
          </c:dLbls>
          <c:cat>
            <c:numRef>
              <c:f>summary!$B$64:$I$64</c:f>
              <c:numCache>
                <c:formatCode>General</c:formatCode>
                <c:ptCount val="8"/>
                <c:pt idx="0">
                  <c:v>1</c:v>
                </c:pt>
                <c:pt idx="1">
                  <c:v>2</c:v>
                </c:pt>
                <c:pt idx="2">
                  <c:v>3</c:v>
                </c:pt>
                <c:pt idx="3">
                  <c:v>4</c:v>
                </c:pt>
                <c:pt idx="4">
                  <c:v>5</c:v>
                </c:pt>
                <c:pt idx="5">
                  <c:v>6</c:v>
                </c:pt>
                <c:pt idx="6">
                  <c:v>7</c:v>
                </c:pt>
                <c:pt idx="7">
                  <c:v>8</c:v>
                </c:pt>
              </c:numCache>
            </c:numRef>
          </c:cat>
          <c:val>
            <c:numRef>
              <c:f>summary!$B$65:$I$65</c:f>
              <c:numCache>
                <c:formatCode>General</c:formatCode>
                <c:ptCount val="8"/>
                <c:pt idx="0">
                  <c:v>23</c:v>
                </c:pt>
                <c:pt idx="1">
                  <c:v>20</c:v>
                </c:pt>
                <c:pt idx="2">
                  <c:v>16</c:v>
                </c:pt>
                <c:pt idx="3">
                  <c:v>14</c:v>
                </c:pt>
                <c:pt idx="4">
                  <c:v>13</c:v>
                </c:pt>
                <c:pt idx="5">
                  <c:v>9</c:v>
                </c:pt>
                <c:pt idx="6">
                  <c:v>9</c:v>
                </c:pt>
                <c:pt idx="7">
                  <c:v>6</c:v>
                </c:pt>
              </c:numCache>
            </c:numRef>
          </c:val>
        </c:ser>
        <c:dLbls>
          <c:showLegendKey val="0"/>
          <c:showVal val="0"/>
          <c:showCatName val="0"/>
          <c:showSerName val="0"/>
          <c:showPercent val="0"/>
          <c:showBubbleSize val="0"/>
        </c:dLbls>
        <c:gapWidth val="150"/>
        <c:axId val="345817472"/>
        <c:axId val="345819008"/>
      </c:barChart>
      <c:catAx>
        <c:axId val="345817472"/>
        <c:scaling>
          <c:orientation val="minMax"/>
        </c:scaling>
        <c:delete val="0"/>
        <c:axPos val="b"/>
        <c:numFmt formatCode="General" sourceLinked="1"/>
        <c:majorTickMark val="out"/>
        <c:minorTickMark val="none"/>
        <c:tickLblPos val="nextTo"/>
        <c:txPr>
          <a:bodyPr rot="0" vert="horz"/>
          <a:lstStyle/>
          <a:p>
            <a:pPr>
              <a:defRPr/>
            </a:pPr>
            <a:endParaRPr lang="en-US"/>
          </a:p>
        </c:txPr>
        <c:crossAx val="345819008"/>
        <c:crosses val="autoZero"/>
        <c:auto val="1"/>
        <c:lblAlgn val="ctr"/>
        <c:lblOffset val="100"/>
        <c:noMultiLvlLbl val="0"/>
      </c:catAx>
      <c:valAx>
        <c:axId val="345819008"/>
        <c:scaling>
          <c:orientation val="minMax"/>
        </c:scaling>
        <c:delete val="1"/>
        <c:axPos val="l"/>
        <c:majorGridlines/>
        <c:numFmt formatCode="General" sourceLinked="1"/>
        <c:majorTickMark val="out"/>
        <c:minorTickMark val="none"/>
        <c:tickLblPos val="nextTo"/>
        <c:crossAx val="34581747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GB"/>
              <a:t>Number of countries using Household surveys</a:t>
            </a:r>
          </a:p>
        </c:rich>
      </c:tx>
      <c:layout/>
      <c:overlay val="0"/>
    </c:title>
    <c:autoTitleDeleted val="0"/>
    <c:plotArea>
      <c:layout/>
      <c:barChart>
        <c:barDir val="col"/>
        <c:grouping val="clustered"/>
        <c:varyColors val="0"/>
        <c:ser>
          <c:idx val="1"/>
          <c:order val="0"/>
          <c:tx>
            <c:strRef>
              <c:f>summary!$A$88</c:f>
              <c:strCache>
                <c:ptCount val="1"/>
                <c:pt idx="0">
                  <c:v>HH surveys monthly</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numRef>
              <c:f>summary!$B$88:$E$88</c:f>
              <c:numCache>
                <c:formatCode>General</c:formatCode>
                <c:ptCount val="4"/>
                <c:pt idx="0">
                  <c:v>1</c:v>
                </c:pt>
                <c:pt idx="1">
                  <c:v>2</c:v>
                </c:pt>
                <c:pt idx="2">
                  <c:v>3</c:v>
                </c:pt>
                <c:pt idx="3">
                  <c:v>4</c:v>
                </c:pt>
              </c:numCache>
            </c:numRef>
          </c:cat>
          <c:val>
            <c:numRef>
              <c:f>summary!$B$95:$E$95</c:f>
              <c:numCache>
                <c:formatCode>General</c:formatCode>
                <c:ptCount val="4"/>
                <c:pt idx="0">
                  <c:v>7</c:v>
                </c:pt>
                <c:pt idx="1">
                  <c:v>2</c:v>
                </c:pt>
                <c:pt idx="2">
                  <c:v>1</c:v>
                </c:pt>
                <c:pt idx="3">
                  <c:v>1</c:v>
                </c:pt>
              </c:numCache>
            </c:numRef>
          </c:val>
        </c:ser>
        <c:ser>
          <c:idx val="0"/>
          <c:order val="1"/>
          <c:tx>
            <c:strRef>
              <c:f>summary!$A$94</c:f>
              <c:strCache>
                <c:ptCount val="1"/>
                <c:pt idx="0">
                  <c:v>HH surveys Quarterly</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numRef>
              <c:f>summary!$B$88:$E$88</c:f>
              <c:numCache>
                <c:formatCode>General</c:formatCode>
                <c:ptCount val="4"/>
                <c:pt idx="0">
                  <c:v>1</c:v>
                </c:pt>
                <c:pt idx="1">
                  <c:v>2</c:v>
                </c:pt>
                <c:pt idx="2">
                  <c:v>3</c:v>
                </c:pt>
                <c:pt idx="3">
                  <c:v>4</c:v>
                </c:pt>
              </c:numCache>
            </c:numRef>
          </c:cat>
          <c:val>
            <c:numRef>
              <c:f>summary!$B$95:$E$95</c:f>
              <c:numCache>
                <c:formatCode>General</c:formatCode>
                <c:ptCount val="4"/>
                <c:pt idx="0">
                  <c:v>7</c:v>
                </c:pt>
                <c:pt idx="1">
                  <c:v>2</c:v>
                </c:pt>
                <c:pt idx="2">
                  <c:v>1</c:v>
                </c:pt>
                <c:pt idx="3">
                  <c:v>1</c:v>
                </c:pt>
              </c:numCache>
            </c:numRef>
          </c:val>
        </c:ser>
        <c:ser>
          <c:idx val="2"/>
          <c:order val="2"/>
          <c:tx>
            <c:strRef>
              <c:f>summary!$A$102</c:f>
              <c:strCache>
                <c:ptCount val="1"/>
                <c:pt idx="0">
                  <c:v>HH surveys Annual</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numRef>
              <c:f>summary!$B$88:$E$88</c:f>
              <c:numCache>
                <c:formatCode>General</c:formatCode>
                <c:ptCount val="4"/>
                <c:pt idx="0">
                  <c:v>1</c:v>
                </c:pt>
                <c:pt idx="1">
                  <c:v>2</c:v>
                </c:pt>
                <c:pt idx="2">
                  <c:v>3</c:v>
                </c:pt>
                <c:pt idx="3">
                  <c:v>4</c:v>
                </c:pt>
              </c:numCache>
            </c:numRef>
          </c:cat>
          <c:val>
            <c:numRef>
              <c:f>summary!$B$103:$E$103</c:f>
              <c:numCache>
                <c:formatCode>General</c:formatCode>
                <c:ptCount val="4"/>
                <c:pt idx="0">
                  <c:v>17</c:v>
                </c:pt>
                <c:pt idx="1">
                  <c:v>5</c:v>
                </c:pt>
                <c:pt idx="2">
                  <c:v>2</c:v>
                </c:pt>
                <c:pt idx="3">
                  <c:v>1</c:v>
                </c:pt>
              </c:numCache>
            </c:numRef>
          </c:val>
        </c:ser>
        <c:ser>
          <c:idx val="3"/>
          <c:order val="3"/>
          <c:tx>
            <c:strRef>
              <c:f>summary!$A$111</c:f>
              <c:strCache>
                <c:ptCount val="1"/>
                <c:pt idx="0">
                  <c:v>Administrative data</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val>
            <c:numRef>
              <c:f>summary!$B$112:$E$112</c:f>
              <c:numCache>
                <c:formatCode>General</c:formatCode>
                <c:ptCount val="4"/>
                <c:pt idx="0">
                  <c:v>23</c:v>
                </c:pt>
                <c:pt idx="1">
                  <c:v>19</c:v>
                </c:pt>
                <c:pt idx="2">
                  <c:v>14</c:v>
                </c:pt>
                <c:pt idx="3">
                  <c:v>10</c:v>
                </c:pt>
              </c:numCache>
            </c:numRef>
          </c:val>
        </c:ser>
        <c:ser>
          <c:idx val="4"/>
          <c:order val="4"/>
          <c:tx>
            <c:strRef>
              <c:f>summary!$A$125</c:f>
              <c:strCache>
                <c:ptCount val="1"/>
                <c:pt idx="0">
                  <c:v>Other data sources</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val>
            <c:numRef>
              <c:f>summary!$B$126:$E$126</c:f>
              <c:numCache>
                <c:formatCode>General</c:formatCode>
                <c:ptCount val="4"/>
                <c:pt idx="0">
                  <c:v>14</c:v>
                </c:pt>
                <c:pt idx="1">
                  <c:v>11</c:v>
                </c:pt>
                <c:pt idx="2">
                  <c:v>7</c:v>
                </c:pt>
                <c:pt idx="3">
                  <c:v>3</c:v>
                </c:pt>
              </c:numCache>
            </c:numRef>
          </c:val>
        </c:ser>
        <c:dLbls>
          <c:showLegendKey val="0"/>
          <c:showVal val="0"/>
          <c:showCatName val="0"/>
          <c:showSerName val="0"/>
          <c:showPercent val="0"/>
          <c:showBubbleSize val="0"/>
        </c:dLbls>
        <c:gapWidth val="150"/>
        <c:axId val="346534272"/>
        <c:axId val="346535808"/>
      </c:barChart>
      <c:catAx>
        <c:axId val="34653427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6535808"/>
        <c:crosses val="autoZero"/>
        <c:auto val="1"/>
        <c:lblAlgn val="ctr"/>
        <c:lblOffset val="100"/>
        <c:noMultiLvlLbl val="0"/>
      </c:catAx>
      <c:valAx>
        <c:axId val="346535808"/>
        <c:scaling>
          <c:orientation val="minMax"/>
        </c:scaling>
        <c:delete val="1"/>
        <c:axPos val="l"/>
        <c:majorGridlines>
          <c:spPr>
            <a:ln>
              <a:prstDash val="sysDot"/>
            </a:ln>
          </c:spPr>
        </c:majorGridlines>
        <c:numFmt formatCode="General" sourceLinked="1"/>
        <c:majorTickMark val="out"/>
        <c:minorTickMark val="none"/>
        <c:tickLblPos val="nextTo"/>
        <c:crossAx val="346534272"/>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GB"/>
              <a:t>What is the statistical unit for the SUT/IOT?</a:t>
            </a:r>
          </a:p>
        </c:rich>
      </c:tx>
      <c:layout/>
      <c:overlay val="0"/>
    </c:title>
    <c:autoTitleDeleted val="0"/>
    <c:plotArea>
      <c:layout/>
      <c:barChart>
        <c:barDir val="col"/>
        <c:grouping val="clustered"/>
        <c:varyColors val="0"/>
        <c:ser>
          <c:idx val="0"/>
          <c:order val="0"/>
          <c:tx>
            <c:strRef>
              <c:f>summary!$B$139</c:f>
              <c:strCache>
                <c:ptCount val="1"/>
                <c:pt idx="0">
                  <c:v>SUT</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txPr>
              <a:bodyPr/>
              <a:lstStyle/>
              <a:p>
                <a:pPr>
                  <a:defRPr sz="12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dLbls>
          <c:cat>
            <c:strRef>
              <c:f>summary!$A$148:$A$153</c:f>
              <c:strCache>
                <c:ptCount val="6"/>
                <c:pt idx="0">
                  <c:v>Local Kind of Activity Unit (LKAU)</c:v>
                </c:pt>
                <c:pt idx="1">
                  <c:v>KAU</c:v>
                </c:pt>
                <c:pt idx="2">
                  <c:v>Unit of Homogeneous Production UHP</c:v>
                </c:pt>
                <c:pt idx="3">
                  <c:v>Enterprise</c:v>
                </c:pt>
                <c:pt idx="4">
                  <c:v>Institutional unit</c:v>
                </c:pt>
                <c:pt idx="5">
                  <c:v>Other</c:v>
                </c:pt>
              </c:strCache>
            </c:strRef>
          </c:cat>
          <c:val>
            <c:numRef>
              <c:f>summary!$B$140:$B$145</c:f>
              <c:numCache>
                <c:formatCode>General</c:formatCode>
                <c:ptCount val="6"/>
                <c:pt idx="0">
                  <c:v>7</c:v>
                </c:pt>
                <c:pt idx="1">
                  <c:v>3</c:v>
                </c:pt>
                <c:pt idx="2">
                  <c:v>2</c:v>
                </c:pt>
                <c:pt idx="3">
                  <c:v>10</c:v>
                </c:pt>
                <c:pt idx="4">
                  <c:v>6</c:v>
                </c:pt>
                <c:pt idx="5">
                  <c:v>2</c:v>
                </c:pt>
              </c:numCache>
            </c:numRef>
          </c:val>
        </c:ser>
        <c:ser>
          <c:idx val="1"/>
          <c:order val="1"/>
          <c:tx>
            <c:strRef>
              <c:f>summary!$A$147</c:f>
              <c:strCache>
                <c:ptCount val="1"/>
                <c:pt idx="0">
                  <c:v>IOT</c:v>
                </c:pt>
              </c:strCache>
            </c:strRef>
          </c:tx>
          <c:invertIfNegative val="0"/>
          <c:dLbls>
            <c:txPr>
              <a:bodyPr/>
              <a:lstStyle/>
              <a:p>
                <a:pPr>
                  <a:defRPr sz="1200" baseline="0"/>
                </a:pPr>
                <a:endParaRPr lang="en-US"/>
              </a:p>
            </c:txPr>
            <c:showLegendKey val="0"/>
            <c:showVal val="1"/>
            <c:showCatName val="0"/>
            <c:showSerName val="0"/>
            <c:showPercent val="0"/>
            <c:showBubbleSize val="0"/>
            <c:showLeaderLines val="0"/>
          </c:dLbls>
          <c:cat>
            <c:strRef>
              <c:f>summary!$A$148:$A$153</c:f>
              <c:strCache>
                <c:ptCount val="6"/>
                <c:pt idx="0">
                  <c:v>Local Kind of Activity Unit (LKAU)</c:v>
                </c:pt>
                <c:pt idx="1">
                  <c:v>KAU</c:v>
                </c:pt>
                <c:pt idx="2">
                  <c:v>Unit of Homogeneous Production UHP</c:v>
                </c:pt>
                <c:pt idx="3">
                  <c:v>Enterprise</c:v>
                </c:pt>
                <c:pt idx="4">
                  <c:v>Institutional unit</c:v>
                </c:pt>
                <c:pt idx="5">
                  <c:v>Other</c:v>
                </c:pt>
              </c:strCache>
            </c:strRef>
          </c:cat>
          <c:val>
            <c:numRef>
              <c:f>summary!$B$148:$B$153</c:f>
              <c:numCache>
                <c:formatCode>General</c:formatCode>
                <c:ptCount val="6"/>
                <c:pt idx="0">
                  <c:v>3</c:v>
                </c:pt>
                <c:pt idx="1">
                  <c:v>1</c:v>
                </c:pt>
                <c:pt idx="2">
                  <c:v>9</c:v>
                </c:pt>
                <c:pt idx="3">
                  <c:v>5</c:v>
                </c:pt>
                <c:pt idx="4">
                  <c:v>2</c:v>
                </c:pt>
                <c:pt idx="5">
                  <c:v>1</c:v>
                </c:pt>
              </c:numCache>
            </c:numRef>
          </c:val>
        </c:ser>
        <c:dLbls>
          <c:showLegendKey val="0"/>
          <c:showVal val="0"/>
          <c:showCatName val="0"/>
          <c:showSerName val="0"/>
          <c:showPercent val="0"/>
          <c:showBubbleSize val="0"/>
        </c:dLbls>
        <c:gapWidth val="100"/>
        <c:axId val="240999424"/>
        <c:axId val="263217920"/>
      </c:barChart>
      <c:catAx>
        <c:axId val="240999424"/>
        <c:scaling>
          <c:orientation val="minMax"/>
        </c:scaling>
        <c:delete val="0"/>
        <c:axPos val="b"/>
        <c:majorTickMark val="out"/>
        <c:minorTickMark val="none"/>
        <c:tickLblPos val="nextTo"/>
        <c:crossAx val="263217920"/>
        <c:crosses val="autoZero"/>
        <c:auto val="1"/>
        <c:lblAlgn val="ctr"/>
        <c:lblOffset val="100"/>
        <c:noMultiLvlLbl val="0"/>
      </c:catAx>
      <c:valAx>
        <c:axId val="263217920"/>
        <c:scaling>
          <c:orientation val="minMax"/>
        </c:scaling>
        <c:delete val="0"/>
        <c:axPos val="l"/>
        <c:majorGridlines/>
        <c:numFmt formatCode="General" sourceLinked="1"/>
        <c:majorTickMark val="out"/>
        <c:minorTickMark val="none"/>
        <c:tickLblPos val="nextTo"/>
        <c:crossAx val="240999424"/>
        <c:crosses val="autoZero"/>
        <c:crossBetween val="between"/>
      </c:valAx>
      <c:spPr>
        <a:noFill/>
        <a:ln w="25400">
          <a:noFill/>
        </a:ln>
      </c:spPr>
    </c:plotArea>
    <c:legend>
      <c:legendPos val="r"/>
      <c:layout>
        <c:manualLayout>
          <c:xMode val="edge"/>
          <c:yMode val="edge"/>
          <c:x val="0.73823769490742586"/>
          <c:y val="0.23586590215776781"/>
          <c:w val="0.2086382807211197"/>
          <c:h val="7.5579712517814812E-2"/>
        </c:manualLayout>
      </c:layout>
      <c:overlay val="1"/>
      <c:txPr>
        <a:bodyPr/>
        <a:lstStyle/>
        <a:p>
          <a:pPr>
            <a:defRPr sz="1200" baseline="0"/>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029972904173594E-2"/>
          <c:y val="3.7667581628632298E-2"/>
          <c:w val="0.85144769877397053"/>
          <c:h val="0.79890845705355529"/>
        </c:manualLayout>
      </c:layout>
      <c:barChart>
        <c:barDir val="col"/>
        <c:grouping val="clustered"/>
        <c:varyColors val="0"/>
        <c:ser>
          <c:idx val="1"/>
          <c:order val="1"/>
          <c:tx>
            <c:strRef>
              <c:f>size!$A$3</c:f>
              <c:strCache>
                <c:ptCount val="1"/>
                <c:pt idx="0">
                  <c:v>SUT Number of products</c:v>
                </c:pt>
              </c:strCache>
            </c:strRef>
          </c:tx>
          <c:invertIfNegative val="0"/>
          <c:dLbls>
            <c:dLbl>
              <c:idx val="13"/>
              <c:layout>
                <c:manualLayout>
                  <c:x val="-1.9108854589677114E-2"/>
                  <c:y val="0.72860310012642526"/>
                </c:manualLayout>
              </c:layout>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size!$B$1:$X$1</c:f>
              <c:strCache>
                <c:ptCount val="23"/>
                <c:pt idx="0">
                  <c:v>CH</c:v>
                </c:pt>
                <c:pt idx="1">
                  <c:v>DE</c:v>
                </c:pt>
                <c:pt idx="2">
                  <c:v>IE</c:v>
                </c:pt>
                <c:pt idx="3">
                  <c:v>SE</c:v>
                </c:pt>
                <c:pt idx="4">
                  <c:v>HR</c:v>
                </c:pt>
                <c:pt idx="5">
                  <c:v>PL</c:v>
                </c:pt>
                <c:pt idx="6">
                  <c:v>MT</c:v>
                </c:pt>
                <c:pt idx="7">
                  <c:v>MK</c:v>
                </c:pt>
                <c:pt idx="8">
                  <c:v>SK</c:v>
                </c:pt>
                <c:pt idx="9">
                  <c:v>EE</c:v>
                </c:pt>
                <c:pt idx="10">
                  <c:v>IT</c:v>
                </c:pt>
                <c:pt idx="11">
                  <c:v>RO</c:v>
                </c:pt>
                <c:pt idx="12">
                  <c:v>UK  </c:v>
                </c:pt>
                <c:pt idx="13">
                  <c:v>DK</c:v>
                </c:pt>
                <c:pt idx="14">
                  <c:v>NL</c:v>
                </c:pt>
                <c:pt idx="15">
                  <c:v>CZ</c:v>
                </c:pt>
                <c:pt idx="16">
                  <c:v>AT</c:v>
                </c:pt>
                <c:pt idx="17">
                  <c:v>FR</c:v>
                </c:pt>
                <c:pt idx="18">
                  <c:v>BE</c:v>
                </c:pt>
                <c:pt idx="19">
                  <c:v>LT</c:v>
                </c:pt>
                <c:pt idx="20">
                  <c:v>FI </c:v>
                </c:pt>
                <c:pt idx="21">
                  <c:v>HU</c:v>
                </c:pt>
                <c:pt idx="22">
                  <c:v>SI</c:v>
                </c:pt>
              </c:strCache>
            </c:strRef>
          </c:cat>
          <c:val>
            <c:numRef>
              <c:f>size!$B$3:$X$3</c:f>
              <c:numCache>
                <c:formatCode>General</c:formatCode>
                <c:ptCount val="23"/>
                <c:pt idx="0">
                  <c:v>54</c:v>
                </c:pt>
                <c:pt idx="1">
                  <c:v>86</c:v>
                </c:pt>
                <c:pt idx="2">
                  <c:v>64</c:v>
                </c:pt>
                <c:pt idx="3">
                  <c:v>65</c:v>
                </c:pt>
                <c:pt idx="4">
                  <c:v>65</c:v>
                </c:pt>
                <c:pt idx="5">
                  <c:v>543</c:v>
                </c:pt>
                <c:pt idx="6">
                  <c:v>128</c:v>
                </c:pt>
                <c:pt idx="7">
                  <c:v>88</c:v>
                </c:pt>
                <c:pt idx="8">
                  <c:v>299</c:v>
                </c:pt>
                <c:pt idx="9">
                  <c:v>247</c:v>
                </c:pt>
                <c:pt idx="10">
                  <c:v>256</c:v>
                </c:pt>
                <c:pt idx="11">
                  <c:v>99</c:v>
                </c:pt>
                <c:pt idx="12">
                  <c:v>110</c:v>
                </c:pt>
                <c:pt idx="13">
                  <c:v>2350</c:v>
                </c:pt>
                <c:pt idx="14">
                  <c:v>630</c:v>
                </c:pt>
                <c:pt idx="15">
                  <c:v>252</c:v>
                </c:pt>
                <c:pt idx="16">
                  <c:v>550</c:v>
                </c:pt>
                <c:pt idx="17">
                  <c:v>139</c:v>
                </c:pt>
                <c:pt idx="18">
                  <c:v>350</c:v>
                </c:pt>
                <c:pt idx="19">
                  <c:v>147</c:v>
                </c:pt>
                <c:pt idx="20">
                  <c:v>776</c:v>
                </c:pt>
                <c:pt idx="21">
                  <c:v>820</c:v>
                </c:pt>
                <c:pt idx="22">
                  <c:v>350</c:v>
                </c:pt>
              </c:numCache>
            </c:numRef>
          </c:val>
        </c:ser>
        <c:dLbls>
          <c:showLegendKey val="0"/>
          <c:showVal val="0"/>
          <c:showCatName val="0"/>
          <c:showSerName val="0"/>
          <c:showPercent val="0"/>
          <c:showBubbleSize val="0"/>
        </c:dLbls>
        <c:gapWidth val="150"/>
        <c:axId val="347052288"/>
        <c:axId val="347058176"/>
      </c:barChart>
      <c:lineChart>
        <c:grouping val="stacked"/>
        <c:varyColors val="0"/>
        <c:ser>
          <c:idx val="0"/>
          <c:order val="0"/>
          <c:tx>
            <c:strRef>
              <c:f>size!$A$2</c:f>
              <c:strCache>
                <c:ptCount val="1"/>
                <c:pt idx="0">
                  <c:v>SUT Number of industries (right scale)</c:v>
                </c:pt>
              </c:strCache>
            </c:strRef>
          </c:tx>
          <c:cat>
            <c:strRef>
              <c:f>size!$B$1:$X$1</c:f>
              <c:strCache>
                <c:ptCount val="23"/>
                <c:pt idx="0">
                  <c:v>CH</c:v>
                </c:pt>
                <c:pt idx="1">
                  <c:v>DE</c:v>
                </c:pt>
                <c:pt idx="2">
                  <c:v>IE</c:v>
                </c:pt>
                <c:pt idx="3">
                  <c:v>SE</c:v>
                </c:pt>
                <c:pt idx="4">
                  <c:v>HR</c:v>
                </c:pt>
                <c:pt idx="5">
                  <c:v>PL</c:v>
                </c:pt>
                <c:pt idx="6">
                  <c:v>MT</c:v>
                </c:pt>
                <c:pt idx="7">
                  <c:v>MK</c:v>
                </c:pt>
                <c:pt idx="8">
                  <c:v>SK</c:v>
                </c:pt>
                <c:pt idx="9">
                  <c:v>EE</c:v>
                </c:pt>
                <c:pt idx="10">
                  <c:v>IT</c:v>
                </c:pt>
                <c:pt idx="11">
                  <c:v>RO</c:v>
                </c:pt>
                <c:pt idx="12">
                  <c:v>UK  </c:v>
                </c:pt>
                <c:pt idx="13">
                  <c:v>DK</c:v>
                </c:pt>
                <c:pt idx="14">
                  <c:v>NL</c:v>
                </c:pt>
                <c:pt idx="15">
                  <c:v>CZ</c:v>
                </c:pt>
                <c:pt idx="16">
                  <c:v>AT</c:v>
                </c:pt>
                <c:pt idx="17">
                  <c:v>FR</c:v>
                </c:pt>
                <c:pt idx="18">
                  <c:v>BE</c:v>
                </c:pt>
                <c:pt idx="19">
                  <c:v>LT</c:v>
                </c:pt>
                <c:pt idx="20">
                  <c:v>FI </c:v>
                </c:pt>
                <c:pt idx="21">
                  <c:v>HU</c:v>
                </c:pt>
                <c:pt idx="22">
                  <c:v>SI</c:v>
                </c:pt>
              </c:strCache>
            </c:strRef>
          </c:cat>
          <c:val>
            <c:numRef>
              <c:f>size!$B$2:$X$2</c:f>
              <c:numCache>
                <c:formatCode>General</c:formatCode>
                <c:ptCount val="23"/>
                <c:pt idx="0">
                  <c:v>54</c:v>
                </c:pt>
                <c:pt idx="1">
                  <c:v>63</c:v>
                </c:pt>
                <c:pt idx="2">
                  <c:v>64</c:v>
                </c:pt>
                <c:pt idx="3">
                  <c:v>65</c:v>
                </c:pt>
                <c:pt idx="4">
                  <c:v>65</c:v>
                </c:pt>
                <c:pt idx="5">
                  <c:v>84</c:v>
                </c:pt>
                <c:pt idx="6">
                  <c:v>88</c:v>
                </c:pt>
                <c:pt idx="7">
                  <c:v>88</c:v>
                </c:pt>
                <c:pt idx="8">
                  <c:v>88</c:v>
                </c:pt>
                <c:pt idx="9">
                  <c:v>98</c:v>
                </c:pt>
                <c:pt idx="10">
                  <c:v>98</c:v>
                </c:pt>
                <c:pt idx="11">
                  <c:v>99</c:v>
                </c:pt>
                <c:pt idx="12">
                  <c:v>110</c:v>
                </c:pt>
                <c:pt idx="13">
                  <c:v>117</c:v>
                </c:pt>
                <c:pt idx="14">
                  <c:v>120</c:v>
                </c:pt>
                <c:pt idx="15">
                  <c:v>120</c:v>
                </c:pt>
                <c:pt idx="16">
                  <c:v>136</c:v>
                </c:pt>
                <c:pt idx="17">
                  <c:v>139</c:v>
                </c:pt>
                <c:pt idx="18">
                  <c:v>140</c:v>
                </c:pt>
                <c:pt idx="19">
                  <c:v>142</c:v>
                </c:pt>
                <c:pt idx="20">
                  <c:v>179</c:v>
                </c:pt>
                <c:pt idx="21">
                  <c:v>210</c:v>
                </c:pt>
                <c:pt idx="22">
                  <c:v>230</c:v>
                </c:pt>
              </c:numCache>
            </c:numRef>
          </c:val>
          <c:smooth val="0"/>
        </c:ser>
        <c:dLbls>
          <c:showLegendKey val="0"/>
          <c:showVal val="0"/>
          <c:showCatName val="0"/>
          <c:showSerName val="0"/>
          <c:showPercent val="0"/>
          <c:showBubbleSize val="0"/>
        </c:dLbls>
        <c:marker val="1"/>
        <c:smooth val="0"/>
        <c:axId val="347061248"/>
        <c:axId val="347059712"/>
      </c:lineChart>
      <c:catAx>
        <c:axId val="34705228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7058176"/>
        <c:crosses val="autoZero"/>
        <c:auto val="1"/>
        <c:lblAlgn val="ctr"/>
        <c:lblOffset val="100"/>
        <c:noMultiLvlLbl val="0"/>
      </c:catAx>
      <c:valAx>
        <c:axId val="347058176"/>
        <c:scaling>
          <c:orientation val="minMax"/>
          <c:max val="1000"/>
        </c:scaling>
        <c:delete val="0"/>
        <c:axPos val="l"/>
        <c:majorGridlines>
          <c:spPr>
            <a:ln w="3175">
              <a:solidFill>
                <a:srgbClr val="4F81BD"/>
              </a:solidFill>
              <a:prstDash val="sysDash"/>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47052288"/>
        <c:crosses val="autoZero"/>
        <c:crossBetween val="between"/>
        <c:majorUnit val="200"/>
      </c:valAx>
      <c:valAx>
        <c:axId val="347059712"/>
        <c:scaling>
          <c:orientation val="minMax"/>
        </c:scaling>
        <c:delete val="0"/>
        <c:axPos val="r"/>
        <c:numFmt formatCode="General" sourceLinked="1"/>
        <c:majorTickMark val="out"/>
        <c:minorTickMark val="none"/>
        <c:tickLblPos val="nextTo"/>
        <c:crossAx val="347061248"/>
        <c:crosses val="max"/>
        <c:crossBetween val="between"/>
      </c:valAx>
      <c:catAx>
        <c:axId val="347061248"/>
        <c:scaling>
          <c:orientation val="minMax"/>
        </c:scaling>
        <c:delete val="1"/>
        <c:axPos val="b"/>
        <c:majorTickMark val="out"/>
        <c:minorTickMark val="none"/>
        <c:tickLblPos val="nextTo"/>
        <c:crossAx val="347059712"/>
        <c:crosses val="autoZero"/>
        <c:auto val="1"/>
        <c:lblAlgn val="ctr"/>
        <c:lblOffset val="100"/>
        <c:noMultiLvlLbl val="0"/>
      </c:catAx>
    </c:plotArea>
    <c:legend>
      <c:legendPos val="b"/>
      <c:layout>
        <c:manualLayout>
          <c:xMode val="edge"/>
          <c:yMode val="edge"/>
          <c:x val="0.17035110889722649"/>
          <c:y val="0.9049024496937883"/>
          <c:w val="0.655428561853448"/>
          <c:h val="9.5097550306211726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0.51572</cdr:x>
      <cdr:y>0.07729</cdr:y>
    </cdr:from>
    <cdr:to>
      <cdr:x>0.65995</cdr:x>
      <cdr:y>0.1761</cdr:y>
    </cdr:to>
    <cdr:sp macro="" textlink="">
      <cdr:nvSpPr>
        <cdr:cNvPr id="2" name="TextBox 1"/>
        <cdr:cNvSpPr txBox="1"/>
      </cdr:nvSpPr>
      <cdr:spPr>
        <a:xfrm xmlns:a="http://schemas.openxmlformats.org/drawingml/2006/main">
          <a:off x="2955852" y="289323"/>
          <a:ext cx="826651" cy="369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2350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2 Economy and finance">
    <a:dk1>
      <a:sysClr val="windowText" lastClr="000000"/>
    </a:dk1>
    <a:lt1>
      <a:sysClr val="window" lastClr="FFFFFF"/>
    </a:lt1>
    <a:dk2>
      <a:srgbClr val="1F497D"/>
    </a:dk2>
    <a:lt2>
      <a:srgbClr val="EEECE1"/>
    </a:lt2>
    <a:accent1>
      <a:srgbClr val="9A5EA6"/>
    </a:accent1>
    <a:accent2>
      <a:srgbClr val="E5C473"/>
    </a:accent2>
    <a:accent3>
      <a:srgbClr val="B98B50"/>
    </a:accent3>
    <a:accent4>
      <a:srgbClr val="61276D"/>
    </a:accent4>
    <a:accent5>
      <a:srgbClr val="2E368F"/>
    </a:accent5>
    <a:accent6>
      <a:srgbClr val="D8C5E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2 Economy and finance">
    <a:dk1>
      <a:sysClr val="windowText" lastClr="000000"/>
    </a:dk1>
    <a:lt1>
      <a:sysClr val="window" lastClr="FFFFFF"/>
    </a:lt1>
    <a:dk2>
      <a:srgbClr val="1F497D"/>
    </a:dk2>
    <a:lt2>
      <a:srgbClr val="EEECE1"/>
    </a:lt2>
    <a:accent1>
      <a:srgbClr val="9A5EA6"/>
    </a:accent1>
    <a:accent2>
      <a:srgbClr val="E5C473"/>
    </a:accent2>
    <a:accent3>
      <a:srgbClr val="B98B50"/>
    </a:accent3>
    <a:accent4>
      <a:srgbClr val="61276D"/>
    </a:accent4>
    <a:accent5>
      <a:srgbClr val="2E368F"/>
    </a:accent5>
    <a:accent6>
      <a:srgbClr val="D8C5E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2 Economy and finance">
    <a:dk1>
      <a:sysClr val="windowText" lastClr="000000"/>
    </a:dk1>
    <a:lt1>
      <a:sysClr val="window" lastClr="FFFFFF"/>
    </a:lt1>
    <a:dk2>
      <a:srgbClr val="1F497D"/>
    </a:dk2>
    <a:lt2>
      <a:srgbClr val="EEECE1"/>
    </a:lt2>
    <a:accent1>
      <a:srgbClr val="9A5EA6"/>
    </a:accent1>
    <a:accent2>
      <a:srgbClr val="E5C473"/>
    </a:accent2>
    <a:accent3>
      <a:srgbClr val="B98B50"/>
    </a:accent3>
    <a:accent4>
      <a:srgbClr val="61276D"/>
    </a:accent4>
    <a:accent5>
      <a:srgbClr val="2E368F"/>
    </a:accent5>
    <a:accent6>
      <a:srgbClr val="D8C5E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2 Economy and finance">
    <a:dk1>
      <a:sysClr val="windowText" lastClr="000000"/>
    </a:dk1>
    <a:lt1>
      <a:sysClr val="window" lastClr="FFFFFF"/>
    </a:lt1>
    <a:dk2>
      <a:srgbClr val="1F497D"/>
    </a:dk2>
    <a:lt2>
      <a:srgbClr val="EEECE1"/>
    </a:lt2>
    <a:accent1>
      <a:srgbClr val="9A5EA6"/>
    </a:accent1>
    <a:accent2>
      <a:srgbClr val="E5C473"/>
    </a:accent2>
    <a:accent3>
      <a:srgbClr val="B98B50"/>
    </a:accent3>
    <a:accent4>
      <a:srgbClr val="61276D"/>
    </a:accent4>
    <a:accent5>
      <a:srgbClr val="2E368F"/>
    </a:accent5>
    <a:accent6>
      <a:srgbClr val="D8C5E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85D5-B1D9-4D6E-9D5A-155B901F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3275</Words>
  <Characters>18045</Characters>
  <Application>Microsoft Office Word</Application>
  <DocSecurity>0</DocSecurity>
  <Lines>392</Lines>
  <Paragraphs>199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 consolidated European Union and Euro Area</vt:lpstr>
      <vt:lpstr>A consolidated European Union and Euro Area</vt:lpstr>
      <vt:lpstr>A consolidated European Union and Euro Area</vt:lpstr>
    </vt:vector>
  </TitlesOfParts>
  <Company>European Commission</Company>
  <LinksUpToDate>false</LinksUpToDate>
  <CharactersWithSpaces>21121</CharactersWithSpaces>
  <SharedDoc>false</SharedDoc>
  <HLinks>
    <vt:vector size="66" baseType="variant">
      <vt:variant>
        <vt:i4>8192039</vt:i4>
      </vt:variant>
      <vt:variant>
        <vt:i4>30</vt:i4>
      </vt:variant>
      <vt:variant>
        <vt:i4>0</vt:i4>
      </vt:variant>
      <vt:variant>
        <vt:i4>5</vt:i4>
      </vt:variant>
      <vt:variant>
        <vt:lpwstr>http://epp.eurostat.ec.europa.eu/portal/page/portal/esa95_supply_use_input_tables/data/workbooks</vt:lpwstr>
      </vt:variant>
      <vt:variant>
        <vt:lpwstr/>
      </vt:variant>
      <vt:variant>
        <vt:i4>458822</vt:i4>
      </vt:variant>
      <vt:variant>
        <vt:i4>27</vt:i4>
      </vt:variant>
      <vt:variant>
        <vt:i4>0</vt:i4>
      </vt:variant>
      <vt:variant>
        <vt:i4>5</vt:i4>
      </vt:variant>
      <vt:variant>
        <vt:lpwstr>http://epp.eurostat.ec.europa.eu/portal/page/portal/esa95_supply_use_input_tables/data/database</vt:lpwstr>
      </vt:variant>
      <vt:variant>
        <vt:lpwstr/>
      </vt:variant>
      <vt:variant>
        <vt:i4>6160392</vt:i4>
      </vt:variant>
      <vt:variant>
        <vt:i4>21</vt:i4>
      </vt:variant>
      <vt:variant>
        <vt:i4>0</vt:i4>
      </vt:variant>
      <vt:variant>
        <vt:i4>5</vt:i4>
      </vt:variant>
      <vt:variant>
        <vt:lpwstr/>
      </vt:variant>
      <vt:variant>
        <vt:lpwstr>_Input-output_analysis</vt:lpwstr>
      </vt:variant>
      <vt:variant>
        <vt:i4>524299</vt:i4>
      </vt:variant>
      <vt:variant>
        <vt:i4>18</vt:i4>
      </vt:variant>
      <vt:variant>
        <vt:i4>0</vt:i4>
      </vt:variant>
      <vt:variant>
        <vt:i4>5</vt:i4>
      </vt:variant>
      <vt:variant>
        <vt:lpwstr/>
      </vt:variant>
      <vt:variant>
        <vt:lpwstr>_Consolidation_steps</vt:lpwstr>
      </vt:variant>
      <vt:variant>
        <vt:i4>3866638</vt:i4>
      </vt:variant>
      <vt:variant>
        <vt:i4>15</vt:i4>
      </vt:variant>
      <vt:variant>
        <vt:i4>0</vt:i4>
      </vt:variant>
      <vt:variant>
        <vt:i4>5</vt:i4>
      </vt:variant>
      <vt:variant>
        <vt:lpwstr/>
      </vt:variant>
      <vt:variant>
        <vt:lpwstr>_Availability_of_national</vt:lpwstr>
      </vt:variant>
      <vt:variant>
        <vt:i4>6357061</vt:i4>
      </vt:variant>
      <vt:variant>
        <vt:i4>12</vt:i4>
      </vt:variant>
      <vt:variant>
        <vt:i4>0</vt:i4>
      </vt:variant>
      <vt:variant>
        <vt:i4>5</vt:i4>
      </vt:variant>
      <vt:variant>
        <vt:lpwstr>mailto:antoniof.amores@ec.europa.eu</vt:lpwstr>
      </vt:variant>
      <vt:variant>
        <vt:lpwstr/>
      </vt:variant>
      <vt:variant>
        <vt:i4>1507430</vt:i4>
      </vt:variant>
      <vt:variant>
        <vt:i4>9</vt:i4>
      </vt:variant>
      <vt:variant>
        <vt:i4>0</vt:i4>
      </vt:variant>
      <vt:variant>
        <vt:i4>5</vt:i4>
      </vt:variant>
      <vt:variant>
        <vt:lpwstr>mailto:beutel@htwg-konstanz.de</vt:lpwstr>
      </vt:variant>
      <vt:variant>
        <vt:lpwstr/>
      </vt:variant>
      <vt:variant>
        <vt:i4>1245216</vt:i4>
      </vt:variant>
      <vt:variant>
        <vt:i4>6</vt:i4>
      </vt:variant>
      <vt:variant>
        <vt:i4>0</vt:i4>
      </vt:variant>
      <vt:variant>
        <vt:i4>5</vt:i4>
      </vt:variant>
      <vt:variant>
        <vt:lpwstr>mailto:jmruecan@upo.es</vt:lpwstr>
      </vt:variant>
      <vt:variant>
        <vt:lpwstr/>
      </vt:variant>
      <vt:variant>
        <vt:i4>6094908</vt:i4>
      </vt:variant>
      <vt:variant>
        <vt:i4>3</vt:i4>
      </vt:variant>
      <vt:variant>
        <vt:i4>0</vt:i4>
      </vt:variant>
      <vt:variant>
        <vt:i4>5</vt:i4>
      </vt:variant>
      <vt:variant>
        <vt:lpwstr>mailto:Silke.stapel-weber@ec.europa.eu</vt:lpwstr>
      </vt:variant>
      <vt:variant>
        <vt:lpwstr/>
      </vt:variant>
      <vt:variant>
        <vt:i4>7274508</vt:i4>
      </vt:variant>
      <vt:variant>
        <vt:i4>0</vt:i4>
      </vt:variant>
      <vt:variant>
        <vt:i4>0</vt:i4>
      </vt:variant>
      <vt:variant>
        <vt:i4>5</vt:i4>
      </vt:variant>
      <vt:variant>
        <vt:lpwstr>mailto:isabelle.remond-tiedrez@ec.europa.eu</vt:lpwstr>
      </vt:variant>
      <vt:variant>
        <vt:lpwstr/>
      </vt:variant>
      <vt:variant>
        <vt:i4>589884</vt:i4>
      </vt:variant>
      <vt:variant>
        <vt:i4>0</vt:i4>
      </vt:variant>
      <vt:variant>
        <vt:i4>0</vt:i4>
      </vt:variant>
      <vt:variant>
        <vt:i4>5</vt:i4>
      </vt:variant>
      <vt:variant>
        <vt:lpwstr>http://epp.eurostat.ec.europa.eu/cache/ITY_OFFPUB/KS-SF-11-022/EN/KS-SF-11-022-EN.PDF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consolidated European Union and Euro Area</dc:title>
  <dc:creator>José Manuel Rueda-Cantuche</dc:creator>
  <cp:lastModifiedBy>REMOND-TIEDREZ Isabelle (ESTAT)</cp:lastModifiedBy>
  <cp:revision>12</cp:revision>
  <cp:lastPrinted>2013-03-15T13:36:00Z</cp:lastPrinted>
  <dcterms:created xsi:type="dcterms:W3CDTF">2015-04-13T14:11:00Z</dcterms:created>
  <dcterms:modified xsi:type="dcterms:W3CDTF">2015-04-13T15:10:00Z</dcterms:modified>
</cp:coreProperties>
</file>