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CC" w:rsidRDefault="008E2ECC" w:rsidP="00C01BFF">
      <w:pPr>
        <w:jc w:val="right"/>
      </w:pPr>
    </w:p>
    <w:p w:rsidR="00581922" w:rsidRDefault="00581922" w:rsidP="00581922">
      <w:pPr>
        <w:pStyle w:val="Names"/>
        <w:jc w:val="center"/>
        <w:rPr>
          <w:rFonts w:ascii="Century Schoolbook" w:hAnsi="Century Schoolbook" w:cs="Times-Bold"/>
          <w:sz w:val="36"/>
          <w:szCs w:val="36"/>
        </w:rPr>
      </w:pPr>
      <w:r w:rsidRPr="00581922">
        <w:rPr>
          <w:rFonts w:ascii="Century Schoolbook" w:hAnsi="Century Schoolbook" w:cs="Times-Bold"/>
          <w:sz w:val="36"/>
          <w:szCs w:val="36"/>
        </w:rPr>
        <w:t>Analysis of BEC data for estimating the import tables in Europe</w:t>
      </w:r>
    </w:p>
    <w:p w:rsidR="00A53697" w:rsidRPr="00581922" w:rsidRDefault="00A53697" w:rsidP="00581922">
      <w:pPr>
        <w:pStyle w:val="Names"/>
        <w:jc w:val="center"/>
        <w:rPr>
          <w:rFonts w:ascii="Century Schoolbook" w:hAnsi="Century Schoolbook" w:cs="Times-Bold"/>
          <w:sz w:val="36"/>
          <w:szCs w:val="36"/>
        </w:rPr>
      </w:pPr>
    </w:p>
    <w:p w:rsidR="00581922" w:rsidRPr="00F8415C" w:rsidRDefault="00581922" w:rsidP="00581922">
      <w:pPr>
        <w:pStyle w:val="Names"/>
        <w:jc w:val="center"/>
        <w:rPr>
          <w:rFonts w:ascii="Century Schoolbook" w:hAnsi="Century Schoolbook"/>
        </w:rPr>
      </w:pPr>
      <w:proofErr w:type="spellStart"/>
      <w:r w:rsidRPr="00F8415C">
        <w:rPr>
          <w:rFonts w:ascii="Century Schoolbook" w:hAnsi="Century Schoolbook"/>
        </w:rPr>
        <w:t>Defense-Palojarv</w:t>
      </w:r>
      <w:proofErr w:type="spellEnd"/>
      <w:r w:rsidRPr="00F8415C">
        <w:rPr>
          <w:rFonts w:ascii="Century Schoolbook" w:hAnsi="Century Schoolbook"/>
        </w:rPr>
        <w:t xml:space="preserve">, Pille (a); Antonio F. </w:t>
      </w:r>
      <w:proofErr w:type="spellStart"/>
      <w:r w:rsidRPr="00F8415C">
        <w:rPr>
          <w:rFonts w:ascii="Century Schoolbook" w:hAnsi="Century Schoolbook"/>
        </w:rPr>
        <w:t>Amores</w:t>
      </w:r>
      <w:proofErr w:type="spellEnd"/>
      <w:r w:rsidRPr="00F8415C">
        <w:rPr>
          <w:rFonts w:ascii="Century Schoolbook" w:hAnsi="Century Schoolbook"/>
        </w:rPr>
        <w:t xml:space="preserve"> (b);</w:t>
      </w:r>
    </w:p>
    <w:p w:rsidR="00581922" w:rsidRPr="00F8415C" w:rsidRDefault="00581922" w:rsidP="00581922">
      <w:pPr>
        <w:pStyle w:val="Names"/>
        <w:jc w:val="center"/>
        <w:rPr>
          <w:rFonts w:ascii="Century Schoolbook" w:hAnsi="Century Schoolbook"/>
          <w:vertAlign w:val="superscript"/>
        </w:rPr>
      </w:pPr>
    </w:p>
    <w:p w:rsidR="00581922" w:rsidRPr="00F8415C" w:rsidRDefault="00581922" w:rsidP="00581922">
      <w:pPr>
        <w:autoSpaceDE w:val="0"/>
        <w:autoSpaceDN w:val="0"/>
        <w:adjustRightInd w:val="0"/>
        <w:jc w:val="center"/>
        <w:rPr>
          <w:rFonts w:ascii="Century Schoolbook" w:hAnsi="Century Schoolbook" w:cs="Arial"/>
          <w:bCs/>
          <w:i/>
          <w:kern w:val="28"/>
        </w:rPr>
      </w:pPr>
      <w:r w:rsidRPr="00F8415C">
        <w:rPr>
          <w:rFonts w:ascii="Century Schoolbook" w:hAnsi="Century Schoolbook" w:cs="Arial"/>
          <w:bCs/>
          <w:i/>
          <w:kern w:val="28"/>
        </w:rPr>
        <w:t>(a) European Commission, Eurostat</w:t>
      </w:r>
    </w:p>
    <w:p w:rsidR="00581922" w:rsidRPr="00581922" w:rsidRDefault="00581922" w:rsidP="00581922">
      <w:pPr>
        <w:autoSpaceDE w:val="0"/>
        <w:autoSpaceDN w:val="0"/>
        <w:adjustRightInd w:val="0"/>
        <w:jc w:val="center"/>
        <w:rPr>
          <w:rFonts w:ascii="Century Schoolbook" w:hAnsi="Century Schoolbook" w:cs="Arial"/>
          <w:bCs/>
          <w:i/>
          <w:kern w:val="28"/>
        </w:rPr>
      </w:pPr>
      <w:r w:rsidRPr="00581922">
        <w:rPr>
          <w:rFonts w:ascii="Century Schoolbook" w:hAnsi="Century Schoolbook" w:cs="Arial"/>
          <w:bCs/>
          <w:i/>
          <w:kern w:val="28"/>
        </w:rPr>
        <w:t>(</w:t>
      </w:r>
      <w:r>
        <w:rPr>
          <w:rFonts w:ascii="Century Schoolbook" w:hAnsi="Century Schoolbook" w:cs="Arial"/>
          <w:bCs/>
          <w:i/>
          <w:kern w:val="28"/>
        </w:rPr>
        <w:t>b</w:t>
      </w:r>
      <w:r w:rsidRPr="00581922">
        <w:rPr>
          <w:rFonts w:ascii="Century Schoolbook" w:hAnsi="Century Schoolbook" w:cs="Arial"/>
          <w:bCs/>
          <w:i/>
          <w:kern w:val="28"/>
        </w:rPr>
        <w:t>) European Commissio</w:t>
      </w:r>
      <w:r>
        <w:rPr>
          <w:rFonts w:ascii="Century Schoolbook" w:hAnsi="Century Schoolbook" w:cs="Arial"/>
          <w:bCs/>
          <w:i/>
          <w:kern w:val="28"/>
        </w:rPr>
        <w:t>n, Joint Research Centre – IPTS</w:t>
      </w:r>
    </w:p>
    <w:p w:rsidR="00581922" w:rsidRDefault="00581922" w:rsidP="00581922">
      <w:pPr>
        <w:autoSpaceDE w:val="0"/>
        <w:autoSpaceDN w:val="0"/>
        <w:adjustRightInd w:val="0"/>
        <w:jc w:val="center"/>
        <w:rPr>
          <w:rFonts w:ascii="Century Schoolbook" w:hAnsi="Century Schoolbook" w:cs="Arial"/>
          <w:bCs/>
          <w:i/>
          <w:kern w:val="28"/>
        </w:rPr>
      </w:pPr>
      <w:r w:rsidRPr="00581922">
        <w:rPr>
          <w:rFonts w:ascii="Century Schoolbook" w:hAnsi="Century Schoolbook" w:cs="Arial"/>
          <w:bCs/>
          <w:i/>
          <w:kern w:val="28"/>
        </w:rPr>
        <w:t xml:space="preserve">E-mail: </w:t>
      </w:r>
      <w:hyperlink r:id="rId9" w:history="1">
        <w:r w:rsidRPr="00927C97">
          <w:rPr>
            <w:rStyle w:val="Hyperlink"/>
            <w:rFonts w:ascii="Century Schoolbook" w:hAnsi="Century Schoolbook" w:cs="Arial"/>
            <w:bCs/>
            <w:i/>
            <w:kern w:val="28"/>
          </w:rPr>
          <w:t>Pille.palojarv@ec.europa.eu</w:t>
        </w:r>
      </w:hyperlink>
    </w:p>
    <w:p w:rsidR="00581922" w:rsidRDefault="00122FBC" w:rsidP="00581922">
      <w:pPr>
        <w:autoSpaceDE w:val="0"/>
        <w:autoSpaceDN w:val="0"/>
        <w:adjustRightInd w:val="0"/>
        <w:jc w:val="center"/>
        <w:rPr>
          <w:rFonts w:ascii="Century Schoolbook" w:hAnsi="Century Schoolbook" w:cs="Arial"/>
          <w:bCs/>
          <w:i/>
          <w:kern w:val="28"/>
        </w:rPr>
      </w:pPr>
      <w:hyperlink r:id="rId10" w:history="1">
        <w:r w:rsidR="00581922" w:rsidRPr="00A63968">
          <w:rPr>
            <w:rStyle w:val="Hyperlink"/>
            <w:rFonts w:ascii="Century Schoolbook" w:hAnsi="Century Schoolbook" w:cs="Arial"/>
            <w:bCs/>
            <w:i/>
            <w:kern w:val="28"/>
          </w:rPr>
          <w:t>AntonioF.AMORES@ec.europa.eu</w:t>
        </w:r>
      </w:hyperlink>
    </w:p>
    <w:p w:rsidR="00581922" w:rsidRDefault="00581922" w:rsidP="00581922">
      <w:pPr>
        <w:pStyle w:val="Heading1"/>
      </w:pPr>
    </w:p>
    <w:p w:rsidR="006F23E3" w:rsidRDefault="006F23E3" w:rsidP="006F23E3">
      <w:r>
        <w:t>In the consolidation process for European S</w:t>
      </w:r>
      <w:r w:rsidR="00043553">
        <w:t xml:space="preserve">upply-Use and Input-Output </w:t>
      </w:r>
      <w:r>
        <w:t xml:space="preserve">tables Eurostat, the Statistical Office of European Union, has to estimate imports matrices for all EU countries when not available from the Member States. Eurostat has investigated the use of additional trade data such as BEC (Broad Economic Classification) data for this estimation and has compared it with the current estimation based on a proportionality assumption for each product line between the uses of imports and the total uses. </w:t>
      </w:r>
    </w:p>
    <w:p w:rsidR="006F23E3" w:rsidRPr="00940145" w:rsidRDefault="006F23E3" w:rsidP="006F23E3">
      <w:r w:rsidRPr="00940145">
        <w:t>The paper will describe: 1.use</w:t>
      </w:r>
      <w:r w:rsidR="00893ED7" w:rsidRPr="00940145">
        <w:t xml:space="preserve"> of </w:t>
      </w:r>
      <w:r w:rsidRPr="00940145">
        <w:t>BEC data to estimate imports matrices, 2. the comparison of this method with the proportionality assumption and the real data</w:t>
      </w:r>
      <w:r w:rsidR="00893ED7" w:rsidRPr="00940145">
        <w:t xml:space="preserve"> using a </w:t>
      </w:r>
      <w:r w:rsidRPr="00940145">
        <w:t xml:space="preserve">measure of deviation such as WAPE </w:t>
      </w:r>
      <w:r w:rsidR="006D23FC" w:rsidRPr="00940145">
        <w:t>(</w:t>
      </w:r>
      <w:r w:rsidRPr="00940145">
        <w:t xml:space="preserve">Weighted Average Percentage </w:t>
      </w:r>
      <w:r w:rsidR="006D23FC" w:rsidRPr="00940145">
        <w:t>E</w:t>
      </w:r>
      <w:r w:rsidRPr="00940145">
        <w:t xml:space="preserve">rror), 3. </w:t>
      </w:r>
      <w:proofErr w:type="gramStart"/>
      <w:r w:rsidRPr="00940145">
        <w:t>Possible refinement of the methodology by going at more detailed level of the trade classification (H</w:t>
      </w:r>
      <w:r w:rsidR="007A363A" w:rsidRPr="00940145">
        <w:t>S or CN detailed levels).</w:t>
      </w:r>
      <w:proofErr w:type="gramEnd"/>
      <w:r w:rsidR="007A363A" w:rsidRPr="00940145">
        <w:t xml:space="preserve"> </w:t>
      </w:r>
    </w:p>
    <w:p w:rsidR="00CA5B80" w:rsidRPr="006F23E3" w:rsidRDefault="00CA5B80" w:rsidP="00CD25A9">
      <w:pPr>
        <w:spacing w:after="480"/>
        <w:rPr>
          <w:i/>
        </w:rPr>
      </w:pPr>
      <w:r w:rsidRPr="006F23E3">
        <w:rPr>
          <w:i/>
        </w:rPr>
        <w:t>Disclaimer: The views expressed in this paper are those of the authors and should not be attributed to the European Commission or its services.</w:t>
      </w:r>
    </w:p>
    <w:p w:rsidR="00CA5B80" w:rsidRPr="00E02218" w:rsidRDefault="00CA5B80" w:rsidP="00CA5B80">
      <w:pPr>
        <w:pStyle w:val="Heading2"/>
        <w:spacing w:after="240"/>
        <w:ind w:left="714" w:hanging="357"/>
      </w:pPr>
      <w:r>
        <w:t>Background</w:t>
      </w:r>
    </w:p>
    <w:p w:rsidR="00CA5B80" w:rsidRDefault="00E02218">
      <w:pPr>
        <w:rPr>
          <w:szCs w:val="24"/>
        </w:rPr>
      </w:pPr>
      <w:r>
        <w:rPr>
          <w:szCs w:val="24"/>
        </w:rPr>
        <w:t xml:space="preserve">Use of BEC data in </w:t>
      </w:r>
      <w:r w:rsidR="004469E1">
        <w:rPr>
          <w:szCs w:val="24"/>
        </w:rPr>
        <w:t>consolidation process</w:t>
      </w:r>
      <w:r>
        <w:rPr>
          <w:szCs w:val="24"/>
        </w:rPr>
        <w:t xml:space="preserve"> of </w:t>
      </w:r>
      <w:r w:rsidR="005A6030">
        <w:rPr>
          <w:szCs w:val="24"/>
        </w:rPr>
        <w:t xml:space="preserve">European </w:t>
      </w:r>
      <w:r w:rsidR="006D23FC">
        <w:rPr>
          <w:szCs w:val="24"/>
        </w:rPr>
        <w:t>Supply and U</w:t>
      </w:r>
      <w:r>
        <w:rPr>
          <w:szCs w:val="24"/>
        </w:rPr>
        <w:t xml:space="preserve">se </w:t>
      </w:r>
      <w:r w:rsidR="006D23FC">
        <w:rPr>
          <w:szCs w:val="24"/>
        </w:rPr>
        <w:t>T</w:t>
      </w:r>
      <w:r>
        <w:rPr>
          <w:szCs w:val="24"/>
        </w:rPr>
        <w:t xml:space="preserve">ables or in the </w:t>
      </w:r>
      <w:r w:rsidR="004469E1" w:rsidRPr="004469E1">
        <w:rPr>
          <w:szCs w:val="24"/>
        </w:rPr>
        <w:t xml:space="preserve">compilation of </w:t>
      </w:r>
      <w:r w:rsidR="006D23FC">
        <w:rPr>
          <w:szCs w:val="24"/>
        </w:rPr>
        <w:t>multi-regional I</w:t>
      </w:r>
      <w:r>
        <w:rPr>
          <w:szCs w:val="24"/>
        </w:rPr>
        <w:t>nput-</w:t>
      </w:r>
      <w:r w:rsidR="006D23FC">
        <w:rPr>
          <w:szCs w:val="24"/>
        </w:rPr>
        <w:t>O</w:t>
      </w:r>
      <w:r>
        <w:rPr>
          <w:szCs w:val="24"/>
        </w:rPr>
        <w:t xml:space="preserve">utput tables </w:t>
      </w:r>
      <w:r w:rsidR="005A6030">
        <w:rPr>
          <w:szCs w:val="24"/>
        </w:rPr>
        <w:t>has been</w:t>
      </w:r>
      <w:r w:rsidR="004469E1" w:rsidRPr="004469E1">
        <w:rPr>
          <w:szCs w:val="24"/>
        </w:rPr>
        <w:t xml:space="preserve"> discussed during </w:t>
      </w:r>
      <w:r w:rsidR="005A6030">
        <w:rPr>
          <w:szCs w:val="24"/>
        </w:rPr>
        <w:t>several meetings between Eurostat and Member States. T</w:t>
      </w:r>
      <w:r>
        <w:rPr>
          <w:szCs w:val="24"/>
        </w:rPr>
        <w:t xml:space="preserve">he </w:t>
      </w:r>
      <w:r w:rsidR="008B4656">
        <w:rPr>
          <w:szCs w:val="24"/>
        </w:rPr>
        <w:t xml:space="preserve">idea </w:t>
      </w:r>
      <w:r w:rsidR="005A6030">
        <w:rPr>
          <w:szCs w:val="24"/>
        </w:rPr>
        <w:t>i</w:t>
      </w:r>
      <w:r w:rsidR="008B4656">
        <w:rPr>
          <w:szCs w:val="24"/>
        </w:rPr>
        <w:t xml:space="preserve">s to </w:t>
      </w:r>
      <w:r>
        <w:rPr>
          <w:szCs w:val="24"/>
        </w:rPr>
        <w:t>use for those countries that do not provide</w:t>
      </w:r>
      <w:r w:rsidR="005A6030">
        <w:rPr>
          <w:szCs w:val="24"/>
        </w:rPr>
        <w:t xml:space="preserve"> </w:t>
      </w:r>
      <w:r w:rsidR="002E4341">
        <w:rPr>
          <w:szCs w:val="24"/>
        </w:rPr>
        <w:t xml:space="preserve">import matrix at basic prices </w:t>
      </w:r>
      <w:r w:rsidR="005A6030">
        <w:rPr>
          <w:szCs w:val="24"/>
        </w:rPr>
        <w:t>in frame of ESA 2010</w:t>
      </w:r>
      <w:r w:rsidR="006D23FC">
        <w:rPr>
          <w:rStyle w:val="FootnoteReference"/>
          <w:szCs w:val="24"/>
        </w:rPr>
        <w:footnoteReference w:id="1"/>
      </w:r>
      <w:r w:rsidR="005A6030">
        <w:rPr>
          <w:szCs w:val="24"/>
        </w:rPr>
        <w:t xml:space="preserve"> data transmission programme</w:t>
      </w:r>
      <w:r w:rsidR="005A6030">
        <w:rPr>
          <w:rStyle w:val="FootnoteReference"/>
          <w:szCs w:val="24"/>
        </w:rPr>
        <w:footnoteReference w:id="2"/>
      </w:r>
      <w:r w:rsidR="005A6030">
        <w:rPr>
          <w:szCs w:val="24"/>
        </w:rPr>
        <w:t xml:space="preserve"> </w:t>
      </w:r>
      <w:r w:rsidR="002E4341">
        <w:rPr>
          <w:szCs w:val="24"/>
        </w:rPr>
        <w:t xml:space="preserve">with data </w:t>
      </w:r>
      <w:r>
        <w:rPr>
          <w:szCs w:val="24"/>
        </w:rPr>
        <w:t xml:space="preserve">from BEC </w:t>
      </w:r>
      <w:r w:rsidR="008B4656">
        <w:rPr>
          <w:szCs w:val="24"/>
        </w:rPr>
        <w:t xml:space="preserve">(Broad Economic Categories) </w:t>
      </w:r>
      <w:r>
        <w:rPr>
          <w:szCs w:val="24"/>
        </w:rPr>
        <w:t>available in Eurostat</w:t>
      </w:r>
      <w:r w:rsidR="005A6030">
        <w:rPr>
          <w:szCs w:val="24"/>
        </w:rPr>
        <w:t xml:space="preserve"> from </w:t>
      </w:r>
      <w:r w:rsidR="002E4341">
        <w:rPr>
          <w:szCs w:val="24"/>
        </w:rPr>
        <w:t>foreign</w:t>
      </w:r>
      <w:r w:rsidR="005A6030">
        <w:rPr>
          <w:szCs w:val="24"/>
        </w:rPr>
        <w:t xml:space="preserve"> trade data</w:t>
      </w:r>
      <w:r w:rsidR="00A62764">
        <w:rPr>
          <w:szCs w:val="24"/>
        </w:rPr>
        <w:t>base</w:t>
      </w:r>
      <w:r w:rsidR="005A6030">
        <w:rPr>
          <w:szCs w:val="24"/>
        </w:rPr>
        <w:t xml:space="preserve"> </w:t>
      </w:r>
      <w:r w:rsidR="002E4341">
        <w:rPr>
          <w:szCs w:val="24"/>
        </w:rPr>
        <w:t>(</w:t>
      </w:r>
      <w:proofErr w:type="spellStart"/>
      <w:r w:rsidR="005A6030">
        <w:rPr>
          <w:szCs w:val="24"/>
        </w:rPr>
        <w:t>Comext</w:t>
      </w:r>
      <w:proofErr w:type="spellEnd"/>
      <w:r w:rsidR="002E4341">
        <w:rPr>
          <w:szCs w:val="24"/>
        </w:rPr>
        <w:t>)</w:t>
      </w:r>
      <w:r>
        <w:rPr>
          <w:szCs w:val="24"/>
        </w:rPr>
        <w:t xml:space="preserve">. </w:t>
      </w:r>
      <w:r w:rsidR="004469E1">
        <w:rPr>
          <w:szCs w:val="24"/>
        </w:rPr>
        <w:t>As</w:t>
      </w:r>
      <w:r w:rsidR="00A62764">
        <w:rPr>
          <w:szCs w:val="24"/>
        </w:rPr>
        <w:t xml:space="preserve"> a</w:t>
      </w:r>
      <w:r w:rsidR="004469E1">
        <w:rPr>
          <w:szCs w:val="24"/>
        </w:rPr>
        <w:t xml:space="preserve"> follow-up from </w:t>
      </w:r>
      <w:r w:rsidR="00A62764">
        <w:rPr>
          <w:szCs w:val="24"/>
        </w:rPr>
        <w:t xml:space="preserve">earlier </w:t>
      </w:r>
      <w:r w:rsidR="004469E1">
        <w:rPr>
          <w:szCs w:val="24"/>
        </w:rPr>
        <w:t xml:space="preserve">discussions, Eurostat </w:t>
      </w:r>
      <w:r>
        <w:rPr>
          <w:szCs w:val="24"/>
        </w:rPr>
        <w:t xml:space="preserve">agreed to analyse BEC data available in house and compare them </w:t>
      </w:r>
      <w:r w:rsidR="00844394">
        <w:rPr>
          <w:szCs w:val="24"/>
        </w:rPr>
        <w:t xml:space="preserve">with </w:t>
      </w:r>
      <w:r w:rsidR="002E4341">
        <w:rPr>
          <w:szCs w:val="24"/>
        </w:rPr>
        <w:t>import matrices at basic prices received from Member States for years 2010 and 2011</w:t>
      </w:r>
      <w:r w:rsidR="00A62764">
        <w:rPr>
          <w:szCs w:val="24"/>
        </w:rPr>
        <w:t xml:space="preserve"> (data transmitted in line with the new ESA 2010)</w:t>
      </w:r>
      <w:r w:rsidR="002E4341">
        <w:rPr>
          <w:szCs w:val="24"/>
        </w:rPr>
        <w:t xml:space="preserve">. </w:t>
      </w:r>
    </w:p>
    <w:p w:rsidR="008B4656" w:rsidRPr="008B4656" w:rsidRDefault="008C0D99" w:rsidP="008C0D99">
      <w:pPr>
        <w:pStyle w:val="Heading2"/>
        <w:spacing w:after="240"/>
        <w:ind w:left="714" w:hanging="357"/>
      </w:pPr>
      <w:r>
        <w:lastRenderedPageBreak/>
        <w:t xml:space="preserve">Analyses of BEC data against transmitted data </w:t>
      </w:r>
    </w:p>
    <w:p w:rsidR="003146BF" w:rsidRDefault="00ED4E50" w:rsidP="00F42F3C">
      <w:r>
        <w:t xml:space="preserve">Under the </w:t>
      </w:r>
      <w:r w:rsidR="007B7E98">
        <w:t xml:space="preserve">data </w:t>
      </w:r>
      <w:r>
        <w:t>transmission programme for ESA 95</w:t>
      </w:r>
      <w:r w:rsidR="007B7E98">
        <w:rPr>
          <w:rStyle w:val="FootnoteReference"/>
        </w:rPr>
        <w:footnoteReference w:id="3"/>
      </w:r>
      <w:r w:rsidR="007B7E98">
        <w:t xml:space="preserve"> </w:t>
      </w:r>
      <w:r w:rsidR="00B36365">
        <w:t xml:space="preserve">the provision </w:t>
      </w:r>
      <w:r>
        <w:t>of</w:t>
      </w:r>
      <w:r w:rsidR="007B7E98">
        <w:t xml:space="preserve"> import matrix at basic prices to Eurostat </w:t>
      </w:r>
      <w:r>
        <w:t xml:space="preserve">was not obligatory. However, 14 Member States had </w:t>
      </w:r>
      <w:r w:rsidR="007B7E98">
        <w:t xml:space="preserve">sent </w:t>
      </w:r>
      <w:r w:rsidR="004A7FCF">
        <w:t>it on voluntary basi</w:t>
      </w:r>
      <w:r>
        <w:t>s. In the new transmiss</w:t>
      </w:r>
      <w:r w:rsidR="007B7E98">
        <w:t>ion programme for ESA2010 transmission</w:t>
      </w:r>
      <w:r>
        <w:t xml:space="preserve"> of </w:t>
      </w:r>
      <w:r w:rsidR="007B7E98">
        <w:t xml:space="preserve">this table </w:t>
      </w:r>
      <w:r>
        <w:t xml:space="preserve">is </w:t>
      </w:r>
      <w:r w:rsidR="00B36365">
        <w:t>manda</w:t>
      </w:r>
      <w:r>
        <w:t xml:space="preserve">tory on </w:t>
      </w:r>
      <w:r w:rsidR="004A7FCF">
        <w:t>a 5-yearly basi</w:t>
      </w:r>
      <w:r>
        <w:t xml:space="preserve">s. </w:t>
      </w:r>
      <w:r w:rsidR="001C2F0D">
        <w:t xml:space="preserve">By </w:t>
      </w:r>
      <w:r w:rsidR="007B7E98">
        <w:t>March 20</w:t>
      </w:r>
      <w:r w:rsidR="001C2F0D">
        <w:t>15 1</w:t>
      </w:r>
      <w:r w:rsidR="007B7E98">
        <w:t>6</w:t>
      </w:r>
      <w:r w:rsidR="001C2F0D">
        <w:t xml:space="preserve"> Member States</w:t>
      </w:r>
      <w:r w:rsidR="00531278">
        <w:rPr>
          <w:rStyle w:val="FootnoteReference"/>
        </w:rPr>
        <w:footnoteReference w:id="4"/>
      </w:r>
      <w:r w:rsidR="001C2F0D">
        <w:t xml:space="preserve"> had provided</w:t>
      </w:r>
      <w:r w:rsidR="007B7E98">
        <w:t xml:space="preserve"> import matrix at basic prices for the </w:t>
      </w:r>
      <w:r w:rsidR="001C2F0D">
        <w:t xml:space="preserve">year 2010 and </w:t>
      </w:r>
      <w:r w:rsidR="006D5008">
        <w:t>10</w:t>
      </w:r>
      <w:r w:rsidR="00531278">
        <w:rPr>
          <w:rStyle w:val="FootnoteReference"/>
        </w:rPr>
        <w:footnoteReference w:id="5"/>
      </w:r>
      <w:r w:rsidR="001C2F0D">
        <w:t xml:space="preserve"> for the year 2011 (</w:t>
      </w:r>
      <w:r w:rsidR="007B7E98">
        <w:t xml:space="preserve">on </w:t>
      </w:r>
      <w:r w:rsidR="00B36365">
        <w:t xml:space="preserve">a </w:t>
      </w:r>
      <w:r w:rsidR="001C2F0D">
        <w:t>voluntary</w:t>
      </w:r>
      <w:r w:rsidR="007B7E98">
        <w:t xml:space="preserve"> basis</w:t>
      </w:r>
      <w:r w:rsidR="001C2F0D">
        <w:t xml:space="preserve">). </w:t>
      </w:r>
      <w:r w:rsidR="003146BF">
        <w:t xml:space="preserve">Comparison presented in this paper is based on data received from Member States under ESA 2010 and BEC data from </w:t>
      </w:r>
      <w:r w:rsidR="00B36365">
        <w:t>the foreign trade database.</w:t>
      </w:r>
    </w:p>
    <w:p w:rsidR="00C5317A" w:rsidRDefault="008C0D99" w:rsidP="00F42F3C">
      <w:r>
        <w:t>Though transmission of import matrix is now obligatory for certain years, not all countries are fulfilling this requirement. Therefore, for the consolidation process of European tables or in the framework of FIGARO</w:t>
      </w:r>
      <w:r w:rsidR="00A6618A">
        <w:t xml:space="preserve"> (</w:t>
      </w:r>
      <w:r w:rsidR="00A6618A" w:rsidRPr="00A6618A">
        <w:t>Full International and Global Accounts for Research in Input-Output Analysis</w:t>
      </w:r>
      <w:r w:rsidR="00A6618A">
        <w:t>)</w:t>
      </w:r>
      <w:r w:rsidR="003146BF">
        <w:rPr>
          <w:rStyle w:val="FootnoteReference"/>
        </w:rPr>
        <w:footnoteReference w:id="6"/>
      </w:r>
      <w:r>
        <w:t xml:space="preserve"> proje</w:t>
      </w:r>
      <w:r w:rsidR="00C5317A">
        <w:t xml:space="preserve">ct, Eurostat has to estimate this missing part. </w:t>
      </w:r>
      <w:r w:rsidR="00A86A4D">
        <w:t>One</w:t>
      </w:r>
      <w:r w:rsidR="00C5317A">
        <w:t xml:space="preserve"> possible solution</w:t>
      </w:r>
      <w:r w:rsidR="00A86A4D">
        <w:t xml:space="preserve"> </w:t>
      </w:r>
      <w:r w:rsidR="00C5317A">
        <w:t>would be to use BEC data to estimate import matrix.</w:t>
      </w:r>
    </w:p>
    <w:p w:rsidR="0024789C" w:rsidRDefault="00A6618A" w:rsidP="00F42F3C">
      <w:r>
        <w:t xml:space="preserve">First analyses of two data set was done by comparing the structure of import matrix </w:t>
      </w:r>
      <w:r w:rsidR="005F2969">
        <w:t>(Intermediate consumption</w:t>
      </w:r>
      <w:r w:rsidR="00B36365">
        <w:t xml:space="preserve"> (IC)</w:t>
      </w:r>
      <w:r w:rsidR="005F2969">
        <w:t xml:space="preserve">, Final private consumption </w:t>
      </w:r>
      <w:r w:rsidR="00B36365">
        <w:t xml:space="preserve">(FPC) </w:t>
      </w:r>
      <w:r w:rsidR="005F2969">
        <w:t>and Gross fixed capital formation</w:t>
      </w:r>
      <w:r w:rsidR="00B36365">
        <w:t xml:space="preserve"> (GFCF)</w:t>
      </w:r>
      <w:r w:rsidR="005F2969">
        <w:t xml:space="preserve">) to the structure from BEC </w:t>
      </w:r>
      <w:r w:rsidR="00C5317A">
        <w:t>data</w:t>
      </w:r>
      <w:r w:rsidR="005F2969">
        <w:t>, i.e.</w:t>
      </w:r>
      <w:r w:rsidR="00C5317A">
        <w:t xml:space="preserve"> allocation of import to consumption goods, intermediate goods and to capital goods</w:t>
      </w:r>
      <w:r w:rsidR="004448B6">
        <w:t xml:space="preserve">. </w:t>
      </w:r>
      <w:r w:rsidR="005F2969">
        <w:t xml:space="preserve">BEC </w:t>
      </w:r>
      <w:r w:rsidR="004448B6">
        <w:t xml:space="preserve">structure was compared with the following import tables: </w:t>
      </w:r>
    </w:p>
    <w:p w:rsidR="0024789C" w:rsidRDefault="0024789C" w:rsidP="00F42F3C">
      <w:pPr>
        <w:ind w:left="720"/>
      </w:pPr>
      <w:r>
        <w:t>1.</w:t>
      </w:r>
      <w:r w:rsidR="00B36365">
        <w:t xml:space="preserve"> </w:t>
      </w:r>
      <w:proofErr w:type="gramStart"/>
      <w:r w:rsidR="00B36365">
        <w:t>table</w:t>
      </w:r>
      <w:proofErr w:type="gramEnd"/>
      <w:r w:rsidR="00B36365">
        <w:t xml:space="preserve"> 1612:</w:t>
      </w:r>
      <w:r w:rsidR="004448B6">
        <w:t xml:space="preserve"> </w:t>
      </w:r>
      <w:r w:rsidR="00C5317A">
        <w:t xml:space="preserve">import matrix </w:t>
      </w:r>
      <w:r w:rsidR="004448B6">
        <w:t xml:space="preserve">at basic prices </w:t>
      </w:r>
      <w:r w:rsidR="00A86A4D">
        <w:t>(both with and ex</w:t>
      </w:r>
      <w:r w:rsidR="00C5317A">
        <w:t xml:space="preserve">cluding changes in inventories), </w:t>
      </w:r>
    </w:p>
    <w:p w:rsidR="0024789C" w:rsidRDefault="0024789C" w:rsidP="00F42F3C">
      <w:pPr>
        <w:ind w:left="720"/>
      </w:pPr>
      <w:r>
        <w:t xml:space="preserve">2. </w:t>
      </w:r>
      <w:proofErr w:type="gramStart"/>
      <w:r w:rsidR="00B36365">
        <w:t>table</w:t>
      </w:r>
      <w:proofErr w:type="gramEnd"/>
      <w:r w:rsidR="00B36365">
        <w:t xml:space="preserve"> 1610: </w:t>
      </w:r>
      <w:r w:rsidR="00A86A4D">
        <w:t xml:space="preserve">use table at basic prices (both with and excluding changes in inventories) </w:t>
      </w:r>
    </w:p>
    <w:p w:rsidR="0024789C" w:rsidRDefault="0024789C" w:rsidP="00F42F3C">
      <w:pPr>
        <w:ind w:left="720"/>
      </w:pPr>
      <w:r>
        <w:t xml:space="preserve">3. </w:t>
      </w:r>
      <w:proofErr w:type="gramStart"/>
      <w:r w:rsidR="00B36365">
        <w:t>table</w:t>
      </w:r>
      <w:proofErr w:type="gramEnd"/>
      <w:r w:rsidR="00B36365">
        <w:t xml:space="preserve"> 1600: </w:t>
      </w:r>
      <w:r w:rsidR="00B26F45">
        <w:t>use table at purchase</w:t>
      </w:r>
      <w:r w:rsidR="004A7FCF">
        <w:t>r'</w:t>
      </w:r>
      <w:r w:rsidR="00B26F45">
        <w:t>s prices (excluding changes in invento</w:t>
      </w:r>
      <w:r w:rsidR="009F682D">
        <w:t xml:space="preserve">ries). </w:t>
      </w:r>
    </w:p>
    <w:p w:rsidR="00E02218" w:rsidRDefault="009F682D" w:rsidP="00F42F3C">
      <w:r>
        <w:t>Comparison was done for 40</w:t>
      </w:r>
      <w:r w:rsidR="00B26F45">
        <w:t xml:space="preserve"> products </w:t>
      </w:r>
      <w:r>
        <w:t>available from BEC</w:t>
      </w:r>
      <w:r w:rsidR="00FC21E1">
        <w:t xml:space="preserve"> (Annex 1)</w:t>
      </w:r>
      <w:r>
        <w:t xml:space="preserve">. For each country a summary table was prepared to </w:t>
      </w:r>
      <w:r w:rsidR="00B821F3">
        <w:t>compare</w:t>
      </w:r>
      <w:r>
        <w:t xml:space="preserve"> allocation of </w:t>
      </w:r>
      <w:r w:rsidR="00B821F3">
        <w:t>products</w:t>
      </w:r>
      <w:r>
        <w:t xml:space="preserve"> between IC, PHC and GFCF in different tables. </w:t>
      </w:r>
      <w:r w:rsidR="00B821F3">
        <w:t>As an example</w:t>
      </w:r>
      <w:r w:rsidR="00B36365">
        <w:t xml:space="preserve">, find below the </w:t>
      </w:r>
      <w:r w:rsidR="005C5E18">
        <w:t>extraction from Austrian analysi</w:t>
      </w:r>
      <w:r w:rsidR="00B821F3">
        <w:t>s:</w:t>
      </w:r>
    </w:p>
    <w:p w:rsidR="00C9049C" w:rsidRDefault="00C9049C" w:rsidP="00F42F3C">
      <w:pPr>
        <w:pStyle w:val="Subtitle"/>
        <w:spacing w:after="120"/>
        <w:rPr>
          <w:b/>
        </w:rPr>
      </w:pPr>
      <w:r w:rsidRPr="00C9049C">
        <w:rPr>
          <w:b/>
        </w:rPr>
        <w:t xml:space="preserve">Table 1: Comparison of </w:t>
      </w:r>
      <w:r w:rsidR="0024789C">
        <w:rPr>
          <w:b/>
        </w:rPr>
        <w:t xml:space="preserve">structure between </w:t>
      </w:r>
      <w:r w:rsidRPr="00C9049C">
        <w:rPr>
          <w:b/>
        </w:rPr>
        <w:t xml:space="preserve">BEC data </w:t>
      </w:r>
      <w:r w:rsidR="0024789C">
        <w:rPr>
          <w:b/>
        </w:rPr>
        <w:t>and</w:t>
      </w:r>
      <w:r w:rsidRPr="00C9049C">
        <w:rPr>
          <w:b/>
        </w:rPr>
        <w:t xml:space="preserve"> tables 1600, 1610 and 1612</w:t>
      </w:r>
    </w:p>
    <w:tbl>
      <w:tblPr>
        <w:tblW w:w="9087" w:type="dxa"/>
        <w:jc w:val="center"/>
        <w:tblInd w:w="93" w:type="dxa"/>
        <w:tblLook w:val="04A0" w:firstRow="1" w:lastRow="0" w:firstColumn="1" w:lastColumn="0" w:noHBand="0" w:noVBand="1"/>
      </w:tblPr>
      <w:tblGrid>
        <w:gridCol w:w="4980"/>
        <w:gridCol w:w="989"/>
        <w:gridCol w:w="992"/>
        <w:gridCol w:w="992"/>
        <w:gridCol w:w="1134"/>
      </w:tblGrid>
      <w:tr w:rsidR="007A363A" w:rsidRPr="007A363A" w:rsidTr="007A363A">
        <w:trPr>
          <w:trHeight w:val="405"/>
          <w:jc w:val="center"/>
        </w:trPr>
        <w:tc>
          <w:tcPr>
            <w:tcW w:w="4980"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b/>
                <w:bCs/>
                <w:szCs w:val="24"/>
                <w:lang w:eastAsia="en-GB"/>
              </w:rPr>
            </w:pPr>
            <w:r w:rsidRPr="007A363A">
              <w:rPr>
                <w:rFonts w:ascii="Arial" w:hAnsi="Arial" w:cs="Arial"/>
                <w:b/>
                <w:bCs/>
                <w:szCs w:val="24"/>
                <w:lang w:eastAsia="en-GB"/>
              </w:rPr>
              <w:t>Comparison of BEC data to use tables</w:t>
            </w:r>
          </w:p>
        </w:tc>
        <w:tc>
          <w:tcPr>
            <w:tcW w:w="989"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1134"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r>
      <w:tr w:rsidR="007A363A" w:rsidRPr="007A363A" w:rsidTr="007A363A">
        <w:trPr>
          <w:trHeight w:val="270"/>
          <w:jc w:val="center"/>
        </w:trPr>
        <w:tc>
          <w:tcPr>
            <w:tcW w:w="4980"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89"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1134"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r>
      <w:tr w:rsidR="007A363A" w:rsidRPr="007A363A" w:rsidTr="007A363A">
        <w:trPr>
          <w:trHeight w:val="255"/>
          <w:jc w:val="center"/>
        </w:trPr>
        <w:tc>
          <w:tcPr>
            <w:tcW w:w="49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b/>
                <w:bCs/>
                <w:color w:val="7030A0"/>
                <w:sz w:val="20"/>
                <w:lang w:eastAsia="en-GB"/>
              </w:rPr>
            </w:pPr>
            <w:r w:rsidRPr="007A363A">
              <w:rPr>
                <w:rFonts w:ascii="Arial" w:hAnsi="Arial" w:cs="Arial"/>
                <w:b/>
                <w:bCs/>
                <w:color w:val="7030A0"/>
                <w:sz w:val="20"/>
                <w:lang w:eastAsia="en-GB"/>
              </w:rPr>
              <w:t> </w:t>
            </w:r>
          </w:p>
        </w:tc>
        <w:tc>
          <w:tcPr>
            <w:tcW w:w="989"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b/>
                <w:bCs/>
                <w:color w:val="000000"/>
                <w:sz w:val="20"/>
                <w:lang w:eastAsia="en-GB"/>
              </w:rPr>
            </w:pPr>
            <w:r w:rsidRPr="007A363A">
              <w:rPr>
                <w:rFonts w:ascii="Arial" w:hAnsi="Arial" w:cs="Arial"/>
                <w:b/>
                <w:bCs/>
                <w:color w:val="000000"/>
                <w:sz w:val="20"/>
                <w:lang w:eastAsia="en-GB"/>
              </w:rPr>
              <w:t>IC</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b/>
                <w:bCs/>
                <w:color w:val="000000"/>
                <w:sz w:val="20"/>
                <w:lang w:eastAsia="en-GB"/>
              </w:rPr>
            </w:pPr>
            <w:r w:rsidRPr="007A363A">
              <w:rPr>
                <w:rFonts w:ascii="Arial" w:hAnsi="Arial" w:cs="Arial"/>
                <w:b/>
                <w:bCs/>
                <w:color w:val="000000"/>
                <w:sz w:val="20"/>
                <w:lang w:eastAsia="en-GB"/>
              </w:rPr>
              <w:t>PHC</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b/>
                <w:bCs/>
                <w:color w:val="000000"/>
                <w:sz w:val="20"/>
                <w:lang w:eastAsia="en-GB"/>
              </w:rPr>
            </w:pPr>
            <w:r w:rsidRPr="007A363A">
              <w:rPr>
                <w:rFonts w:ascii="Arial" w:hAnsi="Arial" w:cs="Arial"/>
                <w:b/>
                <w:bCs/>
                <w:color w:val="000000"/>
                <w:sz w:val="20"/>
                <w:lang w:eastAsia="en-GB"/>
              </w:rPr>
              <w:t>GFCF</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b/>
                <w:bCs/>
                <w:color w:val="000000"/>
                <w:sz w:val="20"/>
                <w:lang w:eastAsia="en-GB"/>
              </w:rPr>
            </w:pPr>
            <w:r w:rsidRPr="007A363A">
              <w:rPr>
                <w:rFonts w:ascii="Arial" w:hAnsi="Arial" w:cs="Arial"/>
                <w:b/>
                <w:bCs/>
                <w:color w:val="000000"/>
                <w:sz w:val="20"/>
                <w:lang w:eastAsia="en-GB"/>
              </w:rPr>
              <w:t>TOTAL</w:t>
            </w:r>
          </w:p>
        </w:tc>
      </w:tr>
      <w:tr w:rsidR="007A363A" w:rsidRPr="007A363A" w:rsidTr="007A363A">
        <w:trPr>
          <w:trHeight w:val="510"/>
          <w:jc w:val="center"/>
        </w:trPr>
        <w:tc>
          <w:tcPr>
            <w:tcW w:w="4980" w:type="dxa"/>
            <w:tcBorders>
              <w:top w:val="nil"/>
              <w:left w:val="single" w:sz="4" w:space="0" w:color="000000"/>
              <w:bottom w:val="single" w:sz="4" w:space="0" w:color="000000"/>
              <w:right w:val="single" w:sz="4" w:space="0" w:color="000000"/>
            </w:tcBorders>
            <w:shd w:val="clear" w:color="000000" w:fill="99CCFF"/>
            <w:vAlign w:val="bottom"/>
            <w:hideMark/>
          </w:tcPr>
          <w:p w:rsidR="007A363A" w:rsidRPr="007A363A" w:rsidRDefault="007A363A" w:rsidP="007A363A">
            <w:pPr>
              <w:spacing w:after="0"/>
              <w:jc w:val="left"/>
              <w:rPr>
                <w:rFonts w:ascii="Arial" w:hAnsi="Arial" w:cs="Arial"/>
                <w:b/>
                <w:bCs/>
                <w:sz w:val="20"/>
                <w:lang w:eastAsia="en-GB"/>
              </w:rPr>
            </w:pPr>
            <w:r w:rsidRPr="007A363A">
              <w:rPr>
                <w:rFonts w:ascii="Arial" w:hAnsi="Arial" w:cs="Arial"/>
                <w:b/>
                <w:bCs/>
                <w:sz w:val="20"/>
                <w:lang w:eastAsia="en-GB"/>
              </w:rPr>
              <w:t>01 Products of agriculture, hunting and related services</w:t>
            </w:r>
          </w:p>
        </w:tc>
        <w:tc>
          <w:tcPr>
            <w:tcW w:w="989"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c>
          <w:tcPr>
            <w:tcW w:w="1134" w:type="dxa"/>
            <w:tcBorders>
              <w:top w:val="nil"/>
              <w:left w:val="nil"/>
              <w:bottom w:val="nil"/>
              <w:right w:val="nil"/>
            </w:tcBorders>
            <w:shd w:val="clear" w:color="auto" w:fill="auto"/>
            <w:noWrap/>
            <w:vAlign w:val="bottom"/>
            <w:hideMark/>
          </w:tcPr>
          <w:p w:rsidR="007A363A" w:rsidRPr="007A363A" w:rsidRDefault="007A363A" w:rsidP="007A363A">
            <w:pPr>
              <w:spacing w:after="0"/>
              <w:jc w:val="left"/>
              <w:rPr>
                <w:rFonts w:ascii="Arial" w:hAnsi="Arial" w:cs="Arial"/>
                <w:sz w:val="20"/>
                <w:lang w:eastAsia="en-GB"/>
              </w:rPr>
            </w:pP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t>BEC</w:t>
            </w:r>
          </w:p>
        </w:tc>
        <w:tc>
          <w:tcPr>
            <w:tcW w:w="989"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0.431</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0.568</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0.001</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t>T 1612 with inventories</w:t>
            </w:r>
            <w:r w:rsidR="00B36365">
              <w:rPr>
                <w:rFonts w:ascii="Arial" w:hAnsi="Arial" w:cs="Arial"/>
                <w:color w:val="000000"/>
                <w:sz w:val="20"/>
                <w:lang w:eastAsia="en-GB"/>
              </w:rPr>
              <w:t xml:space="preserve"> – import matrix at basic prices</w:t>
            </w:r>
          </w:p>
        </w:tc>
        <w:tc>
          <w:tcPr>
            <w:tcW w:w="989"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0.686</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0.302</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0.013</w:t>
            </w:r>
          </w:p>
        </w:tc>
        <w:tc>
          <w:tcPr>
            <w:tcW w:w="1134"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lastRenderedPageBreak/>
              <w:t>T 1612 without inventories</w:t>
            </w:r>
          </w:p>
        </w:tc>
        <w:tc>
          <w:tcPr>
            <w:tcW w:w="989"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0.679</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0.299</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0.022</w:t>
            </w:r>
          </w:p>
        </w:tc>
        <w:tc>
          <w:tcPr>
            <w:tcW w:w="1134"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t>T 1610 with inventories</w:t>
            </w:r>
            <w:r w:rsidR="00B36365">
              <w:rPr>
                <w:rFonts w:ascii="Arial" w:hAnsi="Arial" w:cs="Arial"/>
                <w:color w:val="000000"/>
                <w:sz w:val="20"/>
                <w:lang w:eastAsia="en-GB"/>
              </w:rPr>
              <w:t xml:space="preserve"> – use table at basic prices</w:t>
            </w:r>
          </w:p>
        </w:tc>
        <w:tc>
          <w:tcPr>
            <w:tcW w:w="989"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0.686</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0.302</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0.013</w:t>
            </w:r>
          </w:p>
        </w:tc>
        <w:tc>
          <w:tcPr>
            <w:tcW w:w="1134"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t>T 1610 without inventories</w:t>
            </w:r>
          </w:p>
        </w:tc>
        <w:tc>
          <w:tcPr>
            <w:tcW w:w="989"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0.679</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0.299</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0.022</w:t>
            </w:r>
          </w:p>
        </w:tc>
        <w:tc>
          <w:tcPr>
            <w:tcW w:w="1134"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r w:rsidR="007A363A" w:rsidRPr="007A363A" w:rsidTr="007A363A">
        <w:trPr>
          <w:trHeight w:val="255"/>
          <w:jc w:val="center"/>
        </w:trPr>
        <w:tc>
          <w:tcPr>
            <w:tcW w:w="4980" w:type="dxa"/>
            <w:tcBorders>
              <w:top w:val="nil"/>
              <w:left w:val="single" w:sz="4" w:space="0" w:color="000000"/>
              <w:bottom w:val="single" w:sz="4" w:space="0" w:color="000000"/>
              <w:right w:val="single" w:sz="4" w:space="0" w:color="000000"/>
            </w:tcBorders>
            <w:shd w:val="clear" w:color="auto" w:fill="auto"/>
            <w:vAlign w:val="bottom"/>
            <w:hideMark/>
          </w:tcPr>
          <w:p w:rsidR="007A363A" w:rsidRPr="007A363A" w:rsidRDefault="007A363A" w:rsidP="007A363A">
            <w:pPr>
              <w:spacing w:after="0"/>
              <w:jc w:val="left"/>
              <w:rPr>
                <w:rFonts w:ascii="Arial" w:hAnsi="Arial" w:cs="Arial"/>
                <w:color w:val="000000"/>
                <w:sz w:val="20"/>
                <w:lang w:eastAsia="en-GB"/>
              </w:rPr>
            </w:pPr>
            <w:r w:rsidRPr="007A363A">
              <w:rPr>
                <w:rFonts w:ascii="Arial" w:hAnsi="Arial" w:cs="Arial"/>
                <w:color w:val="000000"/>
                <w:sz w:val="20"/>
                <w:lang w:eastAsia="en-GB"/>
              </w:rPr>
              <w:t>T 1600</w:t>
            </w:r>
            <w:r w:rsidR="00B36365">
              <w:rPr>
                <w:rFonts w:ascii="Arial" w:hAnsi="Arial" w:cs="Arial"/>
                <w:color w:val="000000"/>
                <w:sz w:val="20"/>
                <w:lang w:eastAsia="en-GB"/>
              </w:rPr>
              <w:t xml:space="preserve"> – use table at purchases prices</w:t>
            </w:r>
          </w:p>
        </w:tc>
        <w:tc>
          <w:tcPr>
            <w:tcW w:w="989"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0.645</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0.335</w:t>
            </w:r>
          </w:p>
        </w:tc>
        <w:tc>
          <w:tcPr>
            <w:tcW w:w="992"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0.020</w:t>
            </w:r>
          </w:p>
        </w:tc>
        <w:tc>
          <w:tcPr>
            <w:tcW w:w="1134" w:type="dxa"/>
            <w:tcBorders>
              <w:top w:val="nil"/>
              <w:left w:val="nil"/>
              <w:bottom w:val="single" w:sz="4" w:space="0" w:color="000000"/>
              <w:right w:val="single" w:sz="4" w:space="0" w:color="000000"/>
            </w:tcBorders>
            <w:shd w:val="clear" w:color="auto" w:fill="auto"/>
            <w:vAlign w:val="bottom"/>
            <w:hideMark/>
          </w:tcPr>
          <w:p w:rsidR="007A363A" w:rsidRPr="007A363A" w:rsidRDefault="007A363A" w:rsidP="007A363A">
            <w:pPr>
              <w:spacing w:after="0"/>
              <w:jc w:val="center"/>
              <w:rPr>
                <w:rFonts w:ascii="Arial" w:hAnsi="Arial" w:cs="Arial"/>
                <w:color w:val="000000"/>
                <w:sz w:val="20"/>
                <w:lang w:eastAsia="en-GB"/>
              </w:rPr>
            </w:pPr>
            <w:r w:rsidRPr="007A363A">
              <w:rPr>
                <w:rFonts w:ascii="Arial" w:hAnsi="Arial" w:cs="Arial"/>
                <w:color w:val="000000"/>
                <w:sz w:val="20"/>
                <w:lang w:eastAsia="en-GB"/>
              </w:rPr>
              <w:t>1.000</w:t>
            </w:r>
          </w:p>
        </w:tc>
      </w:tr>
    </w:tbl>
    <w:p w:rsidR="00B821F3" w:rsidRDefault="00B821F3" w:rsidP="00F42F3C">
      <w:pPr>
        <w:pStyle w:val="Heading2"/>
        <w:spacing w:after="240"/>
        <w:ind w:left="714" w:hanging="357"/>
      </w:pPr>
      <w:r>
        <w:t>Problems with the use of BEC data</w:t>
      </w:r>
    </w:p>
    <w:p w:rsidR="008E0CA2" w:rsidRDefault="008E0CA2" w:rsidP="00F42F3C">
      <w:r>
        <w:t xml:space="preserve">Though allocation of foreign trade data to end-use categories based on BEC classification seems to be a good alternative where no import matrix for a country is available, there are also a number of limitations and difficulties to use it in practice. </w:t>
      </w:r>
    </w:p>
    <w:p w:rsidR="007B4DC6" w:rsidRDefault="00B821F3" w:rsidP="00F42F3C">
      <w:r>
        <w:t xml:space="preserve">OECD has </w:t>
      </w:r>
      <w:r w:rsidR="007B4DC6">
        <w:t xml:space="preserve">described in several papers the difficulties to use BEC data for </w:t>
      </w:r>
      <w:r w:rsidR="005C5E18">
        <w:t>S</w:t>
      </w:r>
      <w:r w:rsidR="007B4DC6">
        <w:t xml:space="preserve">upply and </w:t>
      </w:r>
      <w:r w:rsidR="005C5E18">
        <w:t>U</w:t>
      </w:r>
      <w:r w:rsidR="007B4DC6">
        <w:t>se tables. Main problems have been summarised in presentation "</w:t>
      </w:r>
      <w:r w:rsidR="007B4DC6" w:rsidRPr="007B4DC6">
        <w:t>International trade by end-use and the BEC classification</w:t>
      </w:r>
      <w:r w:rsidR="007B4DC6">
        <w:t xml:space="preserve">" given by C. Webb and N. </w:t>
      </w:r>
      <w:proofErr w:type="spellStart"/>
      <w:r w:rsidR="007B4DC6">
        <w:t>Yamano</w:t>
      </w:r>
      <w:proofErr w:type="spellEnd"/>
      <w:r w:rsidR="007B4DC6">
        <w:rPr>
          <w:rStyle w:val="FootnoteReference"/>
        </w:rPr>
        <w:footnoteReference w:id="7"/>
      </w:r>
      <w:r w:rsidR="007B4DC6">
        <w:t>:</w:t>
      </w:r>
    </w:p>
    <w:p w:rsidR="00962582" w:rsidRPr="007B4DC6" w:rsidRDefault="007B09AC" w:rsidP="00F42F3C">
      <w:pPr>
        <w:numPr>
          <w:ilvl w:val="0"/>
          <w:numId w:val="7"/>
        </w:numPr>
        <w:spacing w:after="120"/>
        <w:ind w:left="714" w:hanging="357"/>
      </w:pPr>
      <w:r w:rsidRPr="007B4DC6">
        <w:rPr>
          <w:b/>
          <w:bCs/>
        </w:rPr>
        <w:t>Mainly</w:t>
      </w:r>
      <w:r w:rsidRPr="007B4DC6">
        <w:t xml:space="preserve"> for industry / </w:t>
      </w:r>
      <w:r w:rsidRPr="007B4DC6">
        <w:rPr>
          <w:b/>
          <w:bCs/>
        </w:rPr>
        <w:t>Mainly</w:t>
      </w:r>
      <w:r w:rsidRPr="007B4DC6">
        <w:t xml:space="preserve"> for household consumption</w:t>
      </w:r>
    </w:p>
    <w:p w:rsidR="00962582" w:rsidRPr="007B4DC6" w:rsidRDefault="007B09AC" w:rsidP="00F42F3C">
      <w:pPr>
        <w:numPr>
          <w:ilvl w:val="0"/>
          <w:numId w:val="7"/>
        </w:numPr>
        <w:spacing w:after="120"/>
        <w:ind w:left="714" w:hanging="357"/>
      </w:pPr>
      <w:r w:rsidRPr="007B4DC6">
        <w:t>Split between Intermediate and Consumption goods (e.g. fuels, pharmaceutical products etc.)</w:t>
      </w:r>
    </w:p>
    <w:p w:rsidR="00962582" w:rsidRPr="007B4DC6" w:rsidRDefault="007B09AC" w:rsidP="00F42F3C">
      <w:pPr>
        <w:numPr>
          <w:ilvl w:val="0"/>
          <w:numId w:val="7"/>
        </w:numPr>
        <w:spacing w:after="120"/>
        <w:ind w:left="714" w:hanging="357"/>
      </w:pPr>
      <w:r w:rsidRPr="007B4DC6">
        <w:t>Split between Capital and Consumption goods (e.g. personal computers, private cars etc.)</w:t>
      </w:r>
    </w:p>
    <w:p w:rsidR="00962582" w:rsidRPr="007B4DC6" w:rsidRDefault="007B09AC" w:rsidP="00F42F3C">
      <w:pPr>
        <w:numPr>
          <w:ilvl w:val="0"/>
          <w:numId w:val="7"/>
        </w:numPr>
        <w:spacing w:after="120"/>
        <w:ind w:left="714" w:hanging="357"/>
      </w:pPr>
      <w:r w:rsidRPr="007B4DC6">
        <w:t>Goods NEC – mixed end-uses</w:t>
      </w:r>
    </w:p>
    <w:p w:rsidR="00962582" w:rsidRPr="007B4DC6" w:rsidRDefault="007B09AC" w:rsidP="00F42F3C">
      <w:pPr>
        <w:numPr>
          <w:ilvl w:val="0"/>
          <w:numId w:val="7"/>
        </w:numPr>
        <w:spacing w:after="120"/>
        <w:ind w:left="714" w:hanging="357"/>
      </w:pPr>
      <w:r w:rsidRPr="007B4DC6">
        <w:t>Services not covered by BEC data</w:t>
      </w:r>
    </w:p>
    <w:p w:rsidR="00962582" w:rsidRPr="007B4DC6" w:rsidRDefault="007B09AC" w:rsidP="00F42F3C">
      <w:pPr>
        <w:numPr>
          <w:ilvl w:val="0"/>
          <w:numId w:val="7"/>
        </w:numPr>
        <w:spacing w:after="120"/>
        <w:ind w:left="714" w:hanging="357"/>
      </w:pPr>
      <w:r w:rsidRPr="007B4DC6">
        <w:t>Re-exports not visible in BEC data</w:t>
      </w:r>
    </w:p>
    <w:p w:rsidR="00962582" w:rsidRPr="007B4DC6" w:rsidRDefault="007B09AC" w:rsidP="00F42F3C">
      <w:pPr>
        <w:numPr>
          <w:ilvl w:val="0"/>
          <w:numId w:val="7"/>
        </w:numPr>
        <w:spacing w:after="120"/>
        <w:ind w:left="714" w:hanging="357"/>
      </w:pPr>
      <w:r w:rsidRPr="007B4DC6">
        <w:t>Confidential and missing data</w:t>
      </w:r>
    </w:p>
    <w:p w:rsidR="0024789C" w:rsidRDefault="004A538C" w:rsidP="00F42F3C">
      <w:pPr>
        <w:spacing w:after="120"/>
      </w:pPr>
      <w:r>
        <w:t>To deal with some of</w:t>
      </w:r>
      <w:r w:rsidR="0051157D">
        <w:t xml:space="preserve"> the </w:t>
      </w:r>
      <w:r>
        <w:t xml:space="preserve">issues listed above, the OECD has developed an alternative </w:t>
      </w:r>
      <w:r>
        <w:rPr>
          <w:sz w:val="22"/>
          <w:szCs w:val="22"/>
        </w:rPr>
        <w:t>correspondence table to link HS codes with end-use categories</w:t>
      </w:r>
      <w:r>
        <w:rPr>
          <w:rStyle w:val="FootnoteReference"/>
          <w:sz w:val="22"/>
          <w:szCs w:val="22"/>
        </w:rPr>
        <w:footnoteReference w:id="8"/>
      </w:r>
      <w:r>
        <w:rPr>
          <w:sz w:val="22"/>
          <w:szCs w:val="22"/>
        </w:rPr>
        <w:t xml:space="preserve">. </w:t>
      </w:r>
      <w:r w:rsidR="00B42175">
        <w:t>It</w:t>
      </w:r>
      <w:r w:rsidR="00505C86">
        <w:t xml:space="preserve"> introduces five additional "mixed end-use categories": </w:t>
      </w:r>
    </w:p>
    <w:p w:rsidR="0024789C" w:rsidRPr="0024789C" w:rsidRDefault="00505C86" w:rsidP="00F42F3C">
      <w:pPr>
        <w:pStyle w:val="ListParagraph"/>
        <w:numPr>
          <w:ilvl w:val="0"/>
          <w:numId w:val="15"/>
        </w:numPr>
        <w:spacing w:after="120"/>
        <w:ind w:left="714" w:hanging="357"/>
      </w:pPr>
      <w:r w:rsidRPr="002C340B">
        <w:rPr>
          <w:rFonts w:ascii="Times New Roman" w:eastAsia="Times New Roman" w:hAnsi="Times New Roman"/>
        </w:rPr>
        <w:t>personal computers</w:t>
      </w:r>
      <w:r w:rsidRPr="0024789C">
        <w:t xml:space="preserve"> </w:t>
      </w:r>
    </w:p>
    <w:p w:rsidR="0024789C" w:rsidRPr="002C340B" w:rsidRDefault="00505C86" w:rsidP="00F42F3C">
      <w:pPr>
        <w:pStyle w:val="ListParagraph"/>
        <w:numPr>
          <w:ilvl w:val="0"/>
          <w:numId w:val="15"/>
        </w:numPr>
        <w:spacing w:after="120"/>
        <w:ind w:left="714" w:hanging="357"/>
        <w:rPr>
          <w:rFonts w:ascii="Times New Roman" w:eastAsia="Times New Roman" w:hAnsi="Times New Roman"/>
        </w:rPr>
      </w:pPr>
      <w:r w:rsidRPr="002C340B">
        <w:rPr>
          <w:rFonts w:ascii="Times New Roman" w:eastAsia="Times New Roman" w:hAnsi="Times New Roman"/>
        </w:rPr>
        <w:t>passenger cars</w:t>
      </w:r>
    </w:p>
    <w:p w:rsidR="0024789C" w:rsidRPr="002C340B" w:rsidRDefault="00505C86" w:rsidP="00F42F3C">
      <w:pPr>
        <w:pStyle w:val="ListParagraph"/>
        <w:numPr>
          <w:ilvl w:val="0"/>
          <w:numId w:val="15"/>
        </w:numPr>
        <w:spacing w:after="120"/>
        <w:ind w:left="714" w:hanging="357"/>
        <w:rPr>
          <w:rFonts w:ascii="Times New Roman" w:eastAsia="Times New Roman" w:hAnsi="Times New Roman"/>
        </w:rPr>
      </w:pPr>
      <w:r w:rsidRPr="002C340B">
        <w:rPr>
          <w:rFonts w:ascii="Times New Roman" w:eastAsia="Times New Roman" w:hAnsi="Times New Roman"/>
        </w:rPr>
        <w:t>personal phones</w:t>
      </w:r>
    </w:p>
    <w:p w:rsidR="0024789C" w:rsidRPr="002C340B" w:rsidRDefault="00505C86" w:rsidP="00F42F3C">
      <w:pPr>
        <w:pStyle w:val="ListParagraph"/>
        <w:numPr>
          <w:ilvl w:val="0"/>
          <w:numId w:val="15"/>
        </w:numPr>
        <w:spacing w:after="120"/>
        <w:ind w:left="714" w:hanging="357"/>
        <w:rPr>
          <w:rFonts w:ascii="Times New Roman" w:eastAsia="Times New Roman" w:hAnsi="Times New Roman"/>
        </w:rPr>
      </w:pPr>
      <w:r w:rsidRPr="002C340B">
        <w:rPr>
          <w:rFonts w:ascii="Times New Roman" w:eastAsia="Times New Roman" w:hAnsi="Times New Roman"/>
        </w:rPr>
        <w:t xml:space="preserve">packed medicines </w:t>
      </w:r>
    </w:p>
    <w:p w:rsidR="0024789C" w:rsidRPr="009D7C0C" w:rsidRDefault="00505C86" w:rsidP="00F42F3C">
      <w:pPr>
        <w:pStyle w:val="ListParagraph"/>
        <w:numPr>
          <w:ilvl w:val="0"/>
          <w:numId w:val="15"/>
        </w:numPr>
        <w:spacing w:after="120"/>
        <w:ind w:left="714" w:hanging="357"/>
      </w:pPr>
      <w:proofErr w:type="gramStart"/>
      <w:r w:rsidRPr="002C340B">
        <w:rPr>
          <w:rFonts w:ascii="Times New Roman" w:eastAsia="Times New Roman" w:hAnsi="Times New Roman"/>
        </w:rPr>
        <w:t>and</w:t>
      </w:r>
      <w:proofErr w:type="gramEnd"/>
      <w:r w:rsidRPr="002C340B">
        <w:rPr>
          <w:rFonts w:ascii="Times New Roman" w:eastAsia="Times New Roman" w:hAnsi="Times New Roman"/>
        </w:rPr>
        <w:t xml:space="preserve"> precious goods</w:t>
      </w:r>
      <w:r w:rsidRPr="009D7C0C">
        <w:t xml:space="preserve">. </w:t>
      </w:r>
    </w:p>
    <w:p w:rsidR="00B821F3" w:rsidRDefault="00505C86" w:rsidP="00122FBC">
      <w:pPr>
        <w:spacing w:before="120" w:after="480"/>
      </w:pPr>
      <w:r>
        <w:t>This distinction allows to treat better goods, which ca</w:t>
      </w:r>
      <w:r w:rsidR="00B42175">
        <w:t>n be consumed both for private and</w:t>
      </w:r>
      <w:r>
        <w:t xml:space="preserve"> interme</w:t>
      </w:r>
      <w:r w:rsidR="0051157D">
        <w:t xml:space="preserve">diate consumption. OECD is using the HS-BEC correspondence for example for the </w:t>
      </w:r>
      <w:proofErr w:type="spellStart"/>
      <w:r w:rsidR="0051157D" w:rsidRPr="0051157D">
        <w:t>BTDIxE</w:t>
      </w:r>
      <w:proofErr w:type="spellEnd"/>
      <w:r w:rsidR="0051157D">
        <w:t xml:space="preserve"> (Bilateral Trade Data by Indust</w:t>
      </w:r>
      <w:bookmarkStart w:id="0" w:name="_GoBack"/>
      <w:bookmarkEnd w:id="0"/>
      <w:r w:rsidR="0051157D">
        <w:t>ry and End-use)</w:t>
      </w:r>
      <w:r w:rsidR="0024789C">
        <w:t>.</w:t>
      </w:r>
    </w:p>
    <w:p w:rsidR="00B42175" w:rsidRDefault="006D7658" w:rsidP="00F42F3C">
      <w:pPr>
        <w:pStyle w:val="Heading2"/>
        <w:spacing w:after="240"/>
        <w:ind w:left="714" w:hanging="357"/>
      </w:pPr>
      <w:r>
        <w:t>Use of BEC data based on Estonian example</w:t>
      </w:r>
    </w:p>
    <w:p w:rsidR="006D7658" w:rsidRDefault="00980605" w:rsidP="00F42F3C">
      <w:r>
        <w:t xml:space="preserve">As mentioned </w:t>
      </w:r>
      <w:r w:rsidR="00AE22BE">
        <w:t>above</w:t>
      </w:r>
      <w:r>
        <w:t>, Eurostat compared data for 1</w:t>
      </w:r>
      <w:r w:rsidR="00AE22BE">
        <w:t>6</w:t>
      </w:r>
      <w:r>
        <w:t xml:space="preserve"> countries. Example below is based on Estonian data as Eurostat had contacted Estonian Statistical Office for additional information and clarifications.</w:t>
      </w:r>
    </w:p>
    <w:p w:rsidR="00412C31" w:rsidRDefault="00980605" w:rsidP="00F42F3C">
      <w:r w:rsidRPr="00D52F9B">
        <w:lastRenderedPageBreak/>
        <w:t xml:space="preserve">Estonia </w:t>
      </w:r>
      <w:r w:rsidR="00D52F9B" w:rsidRPr="00D52F9B">
        <w:t xml:space="preserve">is using BEC data </w:t>
      </w:r>
      <w:r w:rsidR="00D52F9B">
        <w:t xml:space="preserve">to compile their import matrix. However, they have developed also an internal classification BECUSL </w:t>
      </w:r>
      <w:r w:rsidR="00412C31">
        <w:t xml:space="preserve">to respond better for the need of </w:t>
      </w:r>
      <w:r w:rsidR="009E0B98">
        <w:t>S</w:t>
      </w:r>
      <w:r w:rsidR="00412C31">
        <w:t xml:space="preserve">upply and </w:t>
      </w:r>
      <w:r w:rsidR="009E0B98">
        <w:t>U</w:t>
      </w:r>
      <w:r w:rsidR="00412C31">
        <w:t xml:space="preserve">se </w:t>
      </w:r>
      <w:r w:rsidR="009E0B98">
        <w:t>T</w:t>
      </w:r>
      <w:r w:rsidR="00412C31">
        <w:t>ables.</w:t>
      </w:r>
      <w:r w:rsidR="001E7078">
        <w:rPr>
          <w:rStyle w:val="FootnoteReference"/>
        </w:rPr>
        <w:footnoteReference w:id="9"/>
      </w:r>
    </w:p>
    <w:p w:rsidR="004A06F1" w:rsidRDefault="004A06F1" w:rsidP="00F42F3C">
      <w:pPr>
        <w:pStyle w:val="Subtitle"/>
        <w:spacing w:after="120"/>
        <w:rPr>
          <w:b/>
        </w:rPr>
      </w:pPr>
      <w:r w:rsidRPr="00C9049C">
        <w:rPr>
          <w:b/>
        </w:rPr>
        <w:t xml:space="preserve">Table </w:t>
      </w:r>
      <w:r>
        <w:rPr>
          <w:b/>
        </w:rPr>
        <w:t>2</w:t>
      </w:r>
      <w:r w:rsidRPr="00C9049C">
        <w:rPr>
          <w:b/>
        </w:rPr>
        <w:t xml:space="preserve">: </w:t>
      </w:r>
      <w:r>
        <w:rPr>
          <w:b/>
        </w:rPr>
        <w:t>BECUSL – internal classification used by Statistics Estonia for supply and use tables</w:t>
      </w:r>
    </w:p>
    <w:tbl>
      <w:tblPr>
        <w:tblW w:w="9220" w:type="dxa"/>
        <w:tblInd w:w="93" w:type="dxa"/>
        <w:tblLook w:val="04A0" w:firstRow="1" w:lastRow="0" w:firstColumn="1" w:lastColumn="0" w:noHBand="0" w:noVBand="1"/>
      </w:tblPr>
      <w:tblGrid>
        <w:gridCol w:w="960"/>
        <w:gridCol w:w="2580"/>
        <w:gridCol w:w="5680"/>
      </w:tblGrid>
      <w:tr w:rsidR="004A06F1" w:rsidRPr="004A06F1" w:rsidTr="004A06F1">
        <w:trPr>
          <w:trHeight w:val="315"/>
        </w:trPr>
        <w:tc>
          <w:tcPr>
            <w:tcW w:w="96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4A06F1" w:rsidRPr="004A06F1" w:rsidRDefault="004A06F1" w:rsidP="00F42F3C">
            <w:pPr>
              <w:spacing w:after="0"/>
              <w:jc w:val="center"/>
              <w:rPr>
                <w:rFonts w:ascii="Calibri" w:hAnsi="Calibri"/>
                <w:b/>
                <w:bCs/>
                <w:color w:val="000000"/>
                <w:sz w:val="22"/>
                <w:szCs w:val="22"/>
                <w:lang w:eastAsia="en-GB"/>
              </w:rPr>
            </w:pPr>
            <w:r w:rsidRPr="004A06F1">
              <w:rPr>
                <w:rFonts w:ascii="Calibri" w:hAnsi="Calibri"/>
                <w:b/>
                <w:bCs/>
                <w:color w:val="000000"/>
                <w:sz w:val="22"/>
                <w:szCs w:val="22"/>
                <w:lang w:eastAsia="en-GB"/>
              </w:rPr>
              <w:t>BEC</w:t>
            </w:r>
          </w:p>
        </w:tc>
        <w:tc>
          <w:tcPr>
            <w:tcW w:w="2580" w:type="dxa"/>
            <w:tcBorders>
              <w:top w:val="single" w:sz="8" w:space="0" w:color="auto"/>
              <w:left w:val="nil"/>
              <w:bottom w:val="double" w:sz="6" w:space="0" w:color="auto"/>
              <w:right w:val="single" w:sz="8" w:space="0" w:color="auto"/>
            </w:tcBorders>
            <w:shd w:val="clear" w:color="auto" w:fill="auto"/>
            <w:noWrap/>
            <w:vAlign w:val="bottom"/>
            <w:hideMark/>
          </w:tcPr>
          <w:p w:rsidR="004A06F1" w:rsidRPr="004A06F1" w:rsidRDefault="004A06F1" w:rsidP="00F42F3C">
            <w:pPr>
              <w:spacing w:after="0"/>
              <w:jc w:val="center"/>
              <w:rPr>
                <w:rFonts w:ascii="Calibri" w:hAnsi="Calibri"/>
                <w:b/>
                <w:bCs/>
                <w:color w:val="000000"/>
                <w:sz w:val="22"/>
                <w:szCs w:val="22"/>
                <w:lang w:eastAsia="en-GB"/>
              </w:rPr>
            </w:pPr>
            <w:r w:rsidRPr="004A06F1">
              <w:rPr>
                <w:rFonts w:ascii="Calibri" w:hAnsi="Calibri"/>
                <w:b/>
                <w:bCs/>
                <w:color w:val="000000"/>
                <w:sz w:val="22"/>
                <w:szCs w:val="22"/>
                <w:lang w:eastAsia="en-GB"/>
              </w:rPr>
              <w:t>END - USE</w:t>
            </w:r>
          </w:p>
        </w:tc>
        <w:tc>
          <w:tcPr>
            <w:tcW w:w="5680" w:type="dxa"/>
            <w:tcBorders>
              <w:top w:val="single" w:sz="8" w:space="0" w:color="auto"/>
              <w:left w:val="nil"/>
              <w:bottom w:val="double" w:sz="6" w:space="0" w:color="auto"/>
              <w:right w:val="single" w:sz="8" w:space="0" w:color="auto"/>
            </w:tcBorders>
            <w:shd w:val="clear" w:color="auto" w:fill="auto"/>
            <w:noWrap/>
            <w:vAlign w:val="bottom"/>
            <w:hideMark/>
          </w:tcPr>
          <w:p w:rsidR="004A06F1" w:rsidRPr="004A06F1" w:rsidRDefault="004A06F1" w:rsidP="00F42F3C">
            <w:pPr>
              <w:spacing w:after="0"/>
              <w:jc w:val="center"/>
              <w:rPr>
                <w:rFonts w:ascii="Calibri" w:hAnsi="Calibri"/>
                <w:b/>
                <w:bCs/>
                <w:color w:val="000000"/>
                <w:sz w:val="22"/>
                <w:szCs w:val="22"/>
                <w:lang w:eastAsia="en-GB"/>
              </w:rPr>
            </w:pPr>
            <w:r w:rsidRPr="004A06F1">
              <w:rPr>
                <w:rFonts w:ascii="Calibri" w:hAnsi="Calibri"/>
                <w:b/>
                <w:bCs/>
                <w:color w:val="000000"/>
                <w:sz w:val="22"/>
                <w:szCs w:val="22"/>
                <w:lang w:eastAsia="en-GB"/>
              </w:rPr>
              <w:t>BECUSL</w:t>
            </w:r>
          </w:p>
        </w:tc>
      </w:tr>
      <w:tr w:rsidR="004A06F1" w:rsidRPr="004A06F1" w:rsidTr="004A06F1">
        <w:trPr>
          <w:trHeight w:val="315"/>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111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 or capital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121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21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22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 or capital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31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322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42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53</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321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motor spirit</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motor spirit</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51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passenger cars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passenger cars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112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122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61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 or 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62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 or 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63</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 or 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522</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41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capital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capital goods or intermediate goods or consumption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521</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capital 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capital goods or intermediate goods</w:t>
            </w:r>
          </w:p>
        </w:tc>
      </w:tr>
      <w:tr w:rsidR="004A06F1" w:rsidRPr="004A06F1" w:rsidTr="004A06F1">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7</w:t>
            </w:r>
          </w:p>
        </w:tc>
        <w:tc>
          <w:tcPr>
            <w:tcW w:w="25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goods</w:t>
            </w:r>
          </w:p>
        </w:tc>
        <w:tc>
          <w:tcPr>
            <w:tcW w:w="5680" w:type="dxa"/>
            <w:tcBorders>
              <w:top w:val="nil"/>
              <w:left w:val="nil"/>
              <w:bottom w:val="nil"/>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goods</w:t>
            </w:r>
          </w:p>
        </w:tc>
      </w:tr>
      <w:tr w:rsidR="004A06F1" w:rsidRPr="004A06F1" w:rsidTr="004A06F1">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4A06F1" w:rsidRPr="004A06F1" w:rsidRDefault="004A06F1" w:rsidP="00F42F3C">
            <w:pPr>
              <w:spacing w:after="0"/>
              <w:jc w:val="right"/>
              <w:rPr>
                <w:rFonts w:ascii="Calibri" w:hAnsi="Calibri"/>
                <w:b/>
                <w:bCs/>
                <w:color w:val="000000"/>
                <w:sz w:val="22"/>
                <w:szCs w:val="22"/>
                <w:lang w:eastAsia="en-GB"/>
              </w:rPr>
            </w:pPr>
            <w:r w:rsidRPr="004A06F1">
              <w:rPr>
                <w:rFonts w:ascii="Calibri" w:hAnsi="Calibri"/>
                <w:b/>
                <w:bCs/>
                <w:color w:val="000000"/>
                <w:sz w:val="22"/>
                <w:szCs w:val="22"/>
                <w:lang w:eastAsia="en-GB"/>
              </w:rPr>
              <w:t>63G</w:t>
            </w:r>
          </w:p>
        </w:tc>
        <w:tc>
          <w:tcPr>
            <w:tcW w:w="2580" w:type="dxa"/>
            <w:tcBorders>
              <w:top w:val="nil"/>
              <w:left w:val="nil"/>
              <w:bottom w:val="single" w:sz="8" w:space="0" w:color="auto"/>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c>
          <w:tcPr>
            <w:tcW w:w="5680" w:type="dxa"/>
            <w:tcBorders>
              <w:top w:val="nil"/>
              <w:left w:val="single" w:sz="4" w:space="0" w:color="auto"/>
              <w:bottom w:val="single" w:sz="8" w:space="0" w:color="auto"/>
              <w:right w:val="single" w:sz="8" w:space="0" w:color="auto"/>
            </w:tcBorders>
            <w:shd w:val="clear" w:color="auto" w:fill="auto"/>
            <w:noWrap/>
            <w:vAlign w:val="bottom"/>
            <w:hideMark/>
          </w:tcPr>
          <w:p w:rsidR="004A06F1" w:rsidRPr="004A06F1" w:rsidRDefault="004A06F1" w:rsidP="00F42F3C">
            <w:pPr>
              <w:spacing w:after="0"/>
              <w:jc w:val="left"/>
              <w:rPr>
                <w:rFonts w:ascii="Calibri" w:hAnsi="Calibri"/>
                <w:color w:val="000000"/>
                <w:sz w:val="22"/>
                <w:szCs w:val="22"/>
                <w:lang w:eastAsia="en-GB"/>
              </w:rPr>
            </w:pPr>
            <w:r w:rsidRPr="004A06F1">
              <w:rPr>
                <w:rFonts w:ascii="Calibri" w:hAnsi="Calibri"/>
                <w:color w:val="000000"/>
                <w:sz w:val="22"/>
                <w:szCs w:val="22"/>
                <w:lang w:eastAsia="en-GB"/>
              </w:rPr>
              <w:t>consumption goods</w:t>
            </w:r>
          </w:p>
        </w:tc>
      </w:tr>
    </w:tbl>
    <w:p w:rsidR="00E65EC2" w:rsidRDefault="00E65EC2" w:rsidP="00F42F3C"/>
    <w:p w:rsidR="007379A9" w:rsidRDefault="00E65EC2" w:rsidP="00F42F3C">
      <w:r>
        <w:t>I</w:t>
      </w:r>
      <w:r w:rsidR="00E8352C">
        <w:t xml:space="preserve">n </w:t>
      </w:r>
      <w:r w:rsidR="00E8352C" w:rsidRPr="006950E4">
        <w:t>Consolidated EU27 and Euro Area Supply-Use and Input-Output Tables Technical Group Meeting, held on March 23-24 2015 at ONS, London</w:t>
      </w:r>
      <w:r w:rsidR="00E8352C">
        <w:t>,</w:t>
      </w:r>
      <w:r>
        <w:t xml:space="preserve"> Statistics Estonia presented results of allocation based on both classifications. </w:t>
      </w:r>
      <w:r w:rsidR="007379A9">
        <w:t>Classifying goods according to BECUSL instead of BEC increases share of goods going to Intermediate consumption, from 54% in BEC to 59% in BECUSL. Consumption goods remain at the same level (22%) in both classifications. The second biggest group for changes is related to capital goods. According to BECUSL there are 3% less of goods allocated to this group. Also the importance of passenger cars in the total goods decreases by 2 % when comparing BECUSL to BEC.</w:t>
      </w:r>
    </w:p>
    <w:p w:rsidR="00CD25A9" w:rsidRDefault="00CD25A9" w:rsidP="00F42F3C"/>
    <w:p w:rsidR="00CD25A9" w:rsidRDefault="00CD25A9" w:rsidP="00F42F3C"/>
    <w:p w:rsidR="00CD25A9" w:rsidRDefault="00CD25A9" w:rsidP="00F42F3C"/>
    <w:p w:rsidR="00CD25A9" w:rsidRDefault="00CD25A9" w:rsidP="00F42F3C"/>
    <w:p w:rsidR="00682FC3" w:rsidRPr="00D510D9" w:rsidRDefault="00682FC3" w:rsidP="00F42F3C">
      <w:pPr>
        <w:pStyle w:val="Subtitle"/>
        <w:numPr>
          <w:ilvl w:val="0"/>
          <w:numId w:val="0"/>
        </w:numPr>
        <w:spacing w:after="120"/>
        <w:rPr>
          <w:b/>
        </w:rPr>
      </w:pPr>
      <w:r>
        <w:rPr>
          <w:b/>
        </w:rPr>
        <w:lastRenderedPageBreak/>
        <w:t>Graph</w:t>
      </w:r>
      <w:r w:rsidRPr="00C9049C">
        <w:rPr>
          <w:b/>
        </w:rPr>
        <w:t xml:space="preserve"> </w:t>
      </w:r>
      <w:r>
        <w:rPr>
          <w:b/>
        </w:rPr>
        <w:t>1</w:t>
      </w:r>
      <w:r w:rsidRPr="00C9049C">
        <w:rPr>
          <w:b/>
        </w:rPr>
        <w:t xml:space="preserve">: </w:t>
      </w:r>
      <w:r>
        <w:rPr>
          <w:b/>
        </w:rPr>
        <w:t xml:space="preserve">Comparison of allocation of goods in Estonia using BEC and BECUSL </w:t>
      </w:r>
    </w:p>
    <w:p w:rsidR="00682FC3" w:rsidRDefault="009914E1" w:rsidP="00F42F3C">
      <w:r>
        <w:rPr>
          <w:noProof/>
          <w:lang w:eastAsia="en-GB"/>
        </w:rPr>
        <w:drawing>
          <wp:inline distT="0" distB="0" distL="0" distR="0" wp14:anchorId="3C095774" wp14:editId="4D6CCD50">
            <wp:extent cx="5734050" cy="1981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981200"/>
                    </a:xfrm>
                    <a:prstGeom prst="rect">
                      <a:avLst/>
                    </a:prstGeom>
                    <a:noFill/>
                    <a:ln>
                      <a:noFill/>
                    </a:ln>
                  </pic:spPr>
                </pic:pic>
              </a:graphicData>
            </a:graphic>
          </wp:inline>
        </w:drawing>
      </w:r>
    </w:p>
    <w:p w:rsidR="00BD0330" w:rsidRDefault="00BD0330" w:rsidP="00F42F3C"/>
    <w:p w:rsidR="00BD0330" w:rsidRDefault="00BD0330" w:rsidP="00F42F3C">
      <w:pPr>
        <w:spacing w:after="120"/>
      </w:pPr>
      <w:r>
        <w:t xml:space="preserve">When comparing BEC data at product level with data from imported matrix Statistics Estonia has transmitted to Eurostat, structures for some of them can be quite different. In some other cases allocation between different end-uses can be rather similar at aggregated product level, but differ at more detailed level. To illustrate this, we have selected three product groups: </w:t>
      </w:r>
    </w:p>
    <w:p w:rsidR="00BD0330" w:rsidRPr="00BD0330" w:rsidRDefault="00BD0330" w:rsidP="00F42F3C">
      <w:pPr>
        <w:pStyle w:val="ListParagraph"/>
        <w:numPr>
          <w:ilvl w:val="0"/>
          <w:numId w:val="17"/>
        </w:numPr>
        <w:rPr>
          <w:rFonts w:ascii="Times New Roman" w:eastAsia="Times New Roman" w:hAnsi="Times New Roman"/>
          <w:sz w:val="24"/>
          <w:szCs w:val="20"/>
        </w:rPr>
      </w:pPr>
      <w:r w:rsidRPr="00BD0330">
        <w:rPr>
          <w:rFonts w:ascii="Times New Roman" w:eastAsia="Times New Roman" w:hAnsi="Times New Roman"/>
          <w:sz w:val="24"/>
          <w:szCs w:val="20"/>
        </w:rPr>
        <w:t>CPA 21 Basic pharmaceutical products and pharmaceutical preparations</w:t>
      </w:r>
    </w:p>
    <w:p w:rsidR="00BD0330" w:rsidRPr="005A3CF5" w:rsidRDefault="00BD0330" w:rsidP="00F42F3C">
      <w:pPr>
        <w:pStyle w:val="ListParagraph"/>
        <w:numPr>
          <w:ilvl w:val="0"/>
          <w:numId w:val="17"/>
        </w:numPr>
        <w:rPr>
          <w:rFonts w:ascii="Times New Roman" w:eastAsia="Times New Roman" w:hAnsi="Times New Roman"/>
          <w:sz w:val="24"/>
          <w:szCs w:val="20"/>
        </w:rPr>
      </w:pPr>
      <w:r w:rsidRPr="005A3CF5">
        <w:rPr>
          <w:rFonts w:ascii="Times New Roman" w:eastAsia="Times New Roman" w:hAnsi="Times New Roman"/>
          <w:sz w:val="24"/>
          <w:szCs w:val="20"/>
        </w:rPr>
        <w:t>CPA 26 Computer, electronic and optical products</w:t>
      </w:r>
    </w:p>
    <w:p w:rsidR="00BD0330" w:rsidRPr="005A3CF5" w:rsidRDefault="00BD0330" w:rsidP="00F42F3C">
      <w:pPr>
        <w:pStyle w:val="ListParagraph"/>
        <w:numPr>
          <w:ilvl w:val="0"/>
          <w:numId w:val="17"/>
        </w:numPr>
        <w:rPr>
          <w:rFonts w:ascii="Times New Roman" w:eastAsia="Times New Roman" w:hAnsi="Times New Roman"/>
          <w:sz w:val="24"/>
          <w:szCs w:val="20"/>
        </w:rPr>
      </w:pPr>
      <w:r w:rsidRPr="005A3CF5">
        <w:rPr>
          <w:rFonts w:ascii="Times New Roman" w:eastAsia="Times New Roman" w:hAnsi="Times New Roman"/>
          <w:sz w:val="24"/>
          <w:szCs w:val="20"/>
        </w:rPr>
        <w:t>CPA 27 Electrical equipment</w:t>
      </w:r>
    </w:p>
    <w:p w:rsidR="00BD0330" w:rsidRDefault="00BD0330" w:rsidP="00F42F3C">
      <w:pPr>
        <w:ind w:left="360"/>
      </w:pPr>
    </w:p>
    <w:p w:rsidR="00980605" w:rsidRDefault="00980605" w:rsidP="00F42F3C">
      <w:pPr>
        <w:pStyle w:val="ListParagraph"/>
        <w:numPr>
          <w:ilvl w:val="0"/>
          <w:numId w:val="11"/>
        </w:numPr>
        <w:rPr>
          <w:b/>
        </w:rPr>
      </w:pPr>
      <w:r>
        <w:rPr>
          <w:b/>
        </w:rPr>
        <w:t xml:space="preserve">CPA </w:t>
      </w:r>
      <w:r w:rsidRPr="00980605">
        <w:rPr>
          <w:b/>
        </w:rPr>
        <w:t>21 Basic pharmaceutical products and pharmaceutical preparations</w:t>
      </w:r>
    </w:p>
    <w:p w:rsidR="007B09AC" w:rsidRDefault="007B09AC" w:rsidP="00F42F3C">
      <w:pPr>
        <w:pStyle w:val="ListParagraph"/>
        <w:rPr>
          <w:b/>
        </w:rPr>
      </w:pPr>
    </w:p>
    <w:p w:rsidR="00C9049C" w:rsidRDefault="00C9049C" w:rsidP="00F42F3C">
      <w:pPr>
        <w:pStyle w:val="Subtitle"/>
        <w:spacing w:after="120"/>
        <w:rPr>
          <w:b/>
        </w:rPr>
      </w:pPr>
      <w:r w:rsidRPr="00C9049C">
        <w:rPr>
          <w:b/>
        </w:rPr>
        <w:t xml:space="preserve">Table </w:t>
      </w:r>
      <w:r w:rsidR="001A0E00">
        <w:rPr>
          <w:b/>
        </w:rPr>
        <w:t>3</w:t>
      </w:r>
      <w:r w:rsidRPr="00C9049C">
        <w:rPr>
          <w:b/>
        </w:rPr>
        <w:t xml:space="preserve">: </w:t>
      </w:r>
      <w:r>
        <w:rPr>
          <w:b/>
        </w:rPr>
        <w:t xml:space="preserve">CPA 21 comparison </w:t>
      </w:r>
      <w:r w:rsidR="0024789C">
        <w:rPr>
          <w:b/>
        </w:rPr>
        <w:t xml:space="preserve">of structure </w:t>
      </w:r>
      <w:r>
        <w:rPr>
          <w:b/>
        </w:rPr>
        <w:t xml:space="preserve">between BEC </w:t>
      </w:r>
      <w:r w:rsidR="0024789C">
        <w:rPr>
          <w:b/>
        </w:rPr>
        <w:t>and</w:t>
      </w:r>
      <w:r w:rsidR="009D7C0C">
        <w:rPr>
          <w:b/>
        </w:rPr>
        <w:t xml:space="preserve"> </w:t>
      </w:r>
      <w:r w:rsidRPr="00C9049C">
        <w:rPr>
          <w:b/>
        </w:rPr>
        <w:t>tables 1600, 1610 and 1612</w:t>
      </w:r>
    </w:p>
    <w:p w:rsidR="00CD25A9" w:rsidRDefault="00CD25A9" w:rsidP="00CD25A9">
      <w:pPr>
        <w:jc w:val="center"/>
      </w:pPr>
      <w:r w:rsidRPr="00CD25A9">
        <w:rPr>
          <w:noProof/>
          <w:lang w:eastAsia="en-GB"/>
        </w:rPr>
        <w:drawing>
          <wp:inline distT="0" distB="0" distL="0" distR="0" wp14:anchorId="0F85D898" wp14:editId="1CD2F266">
            <wp:extent cx="57340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28244"/>
                    </a:xfrm>
                    <a:prstGeom prst="rect">
                      <a:avLst/>
                    </a:prstGeom>
                    <a:noFill/>
                    <a:ln>
                      <a:noFill/>
                    </a:ln>
                  </pic:spPr>
                </pic:pic>
              </a:graphicData>
            </a:graphic>
          </wp:inline>
        </w:drawing>
      </w:r>
    </w:p>
    <w:p w:rsidR="007B09AC" w:rsidRPr="001A0E00" w:rsidRDefault="00976DBC" w:rsidP="00F42F3C">
      <w:pPr>
        <w:pStyle w:val="ListParagraph"/>
        <w:ind w:left="0"/>
        <w:jc w:val="both"/>
        <w:rPr>
          <w:rFonts w:ascii="Times New Roman" w:eastAsia="Times New Roman" w:hAnsi="Times New Roman"/>
          <w:sz w:val="24"/>
          <w:szCs w:val="20"/>
        </w:rPr>
      </w:pPr>
      <w:r w:rsidRPr="001A0E00">
        <w:rPr>
          <w:rFonts w:ascii="Times New Roman" w:eastAsia="Times New Roman" w:hAnsi="Times New Roman"/>
          <w:sz w:val="24"/>
          <w:szCs w:val="20"/>
        </w:rPr>
        <w:t xml:space="preserve">Pharmaceutical products are one of the groups where the allocation according to BEC to different end-use categories is complicated and can be misleading. In case of Estonia almost 80% of pharmaceuticals should be for final use. However, in the import matrix </w:t>
      </w:r>
      <w:r w:rsidR="00F07CD1" w:rsidRPr="001A0E00">
        <w:rPr>
          <w:rFonts w:ascii="Times New Roman" w:eastAsia="Times New Roman" w:hAnsi="Times New Roman"/>
          <w:sz w:val="24"/>
          <w:szCs w:val="20"/>
        </w:rPr>
        <w:t>compiled by Statistics Estonia the share of pharmaceutics</w:t>
      </w:r>
      <w:r w:rsidR="001A0E00">
        <w:rPr>
          <w:rFonts w:ascii="Times New Roman" w:eastAsia="Times New Roman" w:hAnsi="Times New Roman"/>
          <w:sz w:val="24"/>
          <w:szCs w:val="20"/>
        </w:rPr>
        <w:t xml:space="preserve"> for final use is much less and allocation to IC is more than twice as initially shown by foreign trade data. </w:t>
      </w:r>
      <w:r w:rsidR="00F07CD1" w:rsidRPr="001A0E00">
        <w:rPr>
          <w:rFonts w:ascii="Times New Roman" w:eastAsia="Times New Roman" w:hAnsi="Times New Roman"/>
          <w:sz w:val="24"/>
          <w:szCs w:val="20"/>
        </w:rPr>
        <w:t xml:space="preserve">In fact, as pharmaceuticals can be used also for example in production of food products or also in agriculture, the real share used in intermediate consumption is higher than shown in BEC. Estonia receives information on hospital's expenditure on medicaments from the Government accounting system. It is the main source to define the share for IC. </w:t>
      </w:r>
    </w:p>
    <w:p w:rsidR="00FC21E1" w:rsidRDefault="00FC21E1" w:rsidP="00F42F3C">
      <w:pPr>
        <w:pStyle w:val="ListParagraph"/>
        <w:rPr>
          <w:b/>
        </w:rPr>
      </w:pPr>
    </w:p>
    <w:p w:rsidR="007B09AC" w:rsidRDefault="007B09AC" w:rsidP="00F42F3C">
      <w:pPr>
        <w:pStyle w:val="ListParagraph"/>
        <w:rPr>
          <w:b/>
        </w:rPr>
      </w:pPr>
    </w:p>
    <w:p w:rsidR="00CD25A9" w:rsidRDefault="00CD25A9" w:rsidP="00F42F3C">
      <w:pPr>
        <w:pStyle w:val="ListParagraph"/>
        <w:rPr>
          <w:b/>
        </w:rPr>
      </w:pPr>
    </w:p>
    <w:p w:rsidR="00CD25A9" w:rsidRPr="00980605" w:rsidRDefault="00CD25A9" w:rsidP="00F42F3C">
      <w:pPr>
        <w:pStyle w:val="ListParagraph"/>
        <w:rPr>
          <w:b/>
        </w:rPr>
      </w:pPr>
    </w:p>
    <w:p w:rsidR="00980605" w:rsidRDefault="00980605" w:rsidP="00F42F3C">
      <w:pPr>
        <w:pStyle w:val="ListParagraph"/>
        <w:numPr>
          <w:ilvl w:val="0"/>
          <w:numId w:val="11"/>
        </w:numPr>
        <w:rPr>
          <w:b/>
        </w:rPr>
      </w:pPr>
      <w:r>
        <w:rPr>
          <w:b/>
        </w:rPr>
        <w:lastRenderedPageBreak/>
        <w:t xml:space="preserve">CPA </w:t>
      </w:r>
      <w:r w:rsidRPr="00980605">
        <w:rPr>
          <w:b/>
        </w:rPr>
        <w:t xml:space="preserve">26 Computer, electronic </w:t>
      </w:r>
      <w:r w:rsidRPr="00980605">
        <w:rPr>
          <w:rFonts w:ascii="Times New Roman" w:hAnsi="Times New Roman"/>
          <w:b/>
          <w:sz w:val="24"/>
          <w:szCs w:val="24"/>
        </w:rPr>
        <w:t>and</w:t>
      </w:r>
      <w:r w:rsidR="007B09AC">
        <w:rPr>
          <w:b/>
        </w:rPr>
        <w:t xml:space="preserve"> optical products</w:t>
      </w:r>
    </w:p>
    <w:p w:rsidR="00D510D9" w:rsidRDefault="00D510D9" w:rsidP="00F42F3C">
      <w:pPr>
        <w:pStyle w:val="ListParagraph"/>
        <w:rPr>
          <w:b/>
        </w:rPr>
      </w:pPr>
    </w:p>
    <w:p w:rsidR="00D510D9" w:rsidRPr="00C9049C" w:rsidRDefault="00D510D9" w:rsidP="00F42F3C">
      <w:pPr>
        <w:pStyle w:val="Subtitle"/>
        <w:numPr>
          <w:ilvl w:val="0"/>
          <w:numId w:val="0"/>
        </w:numPr>
        <w:spacing w:after="120"/>
        <w:rPr>
          <w:b/>
        </w:rPr>
      </w:pPr>
      <w:r w:rsidRPr="00C9049C">
        <w:rPr>
          <w:b/>
        </w:rPr>
        <w:t xml:space="preserve">Table </w:t>
      </w:r>
      <w:r w:rsidR="001A0E00">
        <w:rPr>
          <w:b/>
        </w:rPr>
        <w:t>4</w:t>
      </w:r>
      <w:r w:rsidRPr="00C9049C">
        <w:rPr>
          <w:b/>
        </w:rPr>
        <w:t xml:space="preserve">: </w:t>
      </w:r>
      <w:r>
        <w:rPr>
          <w:b/>
        </w:rPr>
        <w:t xml:space="preserve">CPA 26 comparison between BEC </w:t>
      </w:r>
      <w:r w:rsidRPr="00C9049C">
        <w:rPr>
          <w:b/>
        </w:rPr>
        <w:t>to tables 1600, 1610 and 1612</w:t>
      </w:r>
    </w:p>
    <w:p w:rsidR="001A0E00" w:rsidRDefault="00CD25A9" w:rsidP="00CD25A9">
      <w:pPr>
        <w:pStyle w:val="ListParagraph"/>
        <w:ind w:left="0"/>
        <w:jc w:val="center"/>
        <w:rPr>
          <w:b/>
        </w:rPr>
      </w:pPr>
      <w:r w:rsidRPr="00CD25A9">
        <w:rPr>
          <w:noProof/>
          <w:lang w:eastAsia="en-GB"/>
        </w:rPr>
        <w:drawing>
          <wp:inline distT="0" distB="0" distL="0" distR="0" wp14:anchorId="3F27DFA3" wp14:editId="77BB3FB6">
            <wp:extent cx="5829298" cy="9715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6718" cy="971120"/>
                    </a:xfrm>
                    <a:prstGeom prst="rect">
                      <a:avLst/>
                    </a:prstGeom>
                    <a:noFill/>
                    <a:ln>
                      <a:noFill/>
                    </a:ln>
                  </pic:spPr>
                </pic:pic>
              </a:graphicData>
            </a:graphic>
          </wp:inline>
        </w:drawing>
      </w:r>
    </w:p>
    <w:p w:rsidR="001A0E00" w:rsidRDefault="001A0E00" w:rsidP="00F42F3C">
      <w:pPr>
        <w:pStyle w:val="ListParagraph"/>
        <w:ind w:left="284"/>
        <w:rPr>
          <w:b/>
        </w:rPr>
      </w:pPr>
    </w:p>
    <w:p w:rsidR="00A413E2" w:rsidRPr="00BD0330" w:rsidRDefault="00F07CD1" w:rsidP="00F42F3C">
      <w:pPr>
        <w:pStyle w:val="ListParagraph"/>
        <w:ind w:left="0"/>
        <w:jc w:val="both"/>
        <w:rPr>
          <w:rFonts w:ascii="Times New Roman" w:eastAsia="Times New Roman" w:hAnsi="Times New Roman"/>
          <w:sz w:val="24"/>
          <w:szCs w:val="20"/>
        </w:rPr>
      </w:pPr>
      <w:r w:rsidRPr="00BD0330">
        <w:rPr>
          <w:rFonts w:ascii="Times New Roman" w:eastAsia="Times New Roman" w:hAnsi="Times New Roman"/>
          <w:sz w:val="24"/>
          <w:szCs w:val="20"/>
        </w:rPr>
        <w:t>Allocation of computer, electronic and optical products between difference end-uses looks surprisingly similar based on BEC and import matrix, but also here is needed some caution</w:t>
      </w:r>
      <w:r w:rsidR="00A413E2" w:rsidRPr="00BD0330">
        <w:rPr>
          <w:rFonts w:ascii="Times New Roman" w:eastAsia="Times New Roman" w:hAnsi="Times New Roman"/>
          <w:sz w:val="24"/>
          <w:szCs w:val="20"/>
        </w:rPr>
        <w:t xml:space="preserve"> as distribution can differ at more detailed level of products. </w:t>
      </w:r>
      <w:r w:rsidR="001C22C0" w:rsidRPr="00BD0330">
        <w:rPr>
          <w:rFonts w:ascii="Times New Roman" w:eastAsia="Times New Roman" w:hAnsi="Times New Roman"/>
          <w:sz w:val="24"/>
          <w:szCs w:val="20"/>
        </w:rPr>
        <w:t>The main problem is to identify what goes to IC and what is use</w:t>
      </w:r>
      <w:r w:rsidR="009B7DFD">
        <w:rPr>
          <w:rFonts w:ascii="Times New Roman" w:eastAsia="Times New Roman" w:hAnsi="Times New Roman"/>
          <w:sz w:val="24"/>
          <w:szCs w:val="20"/>
        </w:rPr>
        <w:t>d</w:t>
      </w:r>
      <w:r w:rsidR="001C22C0" w:rsidRPr="00BD0330">
        <w:rPr>
          <w:rFonts w:ascii="Times New Roman" w:eastAsia="Times New Roman" w:hAnsi="Times New Roman"/>
          <w:sz w:val="24"/>
          <w:szCs w:val="20"/>
        </w:rPr>
        <w:t xml:space="preserve"> as capital goods. </w:t>
      </w:r>
    </w:p>
    <w:p w:rsidR="00A413E2" w:rsidRPr="00BD0330" w:rsidRDefault="00A413E2" w:rsidP="00F42F3C">
      <w:pPr>
        <w:pStyle w:val="ListParagraph"/>
        <w:ind w:left="0"/>
        <w:jc w:val="both"/>
        <w:rPr>
          <w:rFonts w:ascii="Times New Roman" w:eastAsia="Times New Roman" w:hAnsi="Times New Roman"/>
          <w:sz w:val="24"/>
          <w:szCs w:val="20"/>
        </w:rPr>
      </w:pPr>
    </w:p>
    <w:p w:rsidR="00A413E2" w:rsidRPr="00BD0330" w:rsidRDefault="00A413E2" w:rsidP="00F42F3C">
      <w:pPr>
        <w:pStyle w:val="ListParagraph"/>
        <w:ind w:left="0"/>
        <w:jc w:val="both"/>
        <w:rPr>
          <w:rFonts w:ascii="Times New Roman" w:eastAsia="Times New Roman" w:hAnsi="Times New Roman"/>
          <w:sz w:val="24"/>
          <w:szCs w:val="20"/>
        </w:rPr>
      </w:pPr>
      <w:r w:rsidRPr="00BD0330">
        <w:rPr>
          <w:rFonts w:ascii="Times New Roman" w:eastAsia="Times New Roman" w:hAnsi="Times New Roman"/>
          <w:sz w:val="24"/>
          <w:szCs w:val="20"/>
        </w:rPr>
        <w:t>Estonia has 3 sub-groups to compile the CPA26:</w:t>
      </w:r>
    </w:p>
    <w:p w:rsidR="001C22C0" w:rsidRDefault="00A413E2" w:rsidP="00F42F3C">
      <w:pPr>
        <w:pStyle w:val="ListParagraph"/>
        <w:numPr>
          <w:ilvl w:val="1"/>
          <w:numId w:val="7"/>
        </w:numPr>
        <w:ind w:left="709" w:hanging="283"/>
        <w:jc w:val="both"/>
        <w:rPr>
          <w:rFonts w:ascii="Times New Roman" w:eastAsia="Times New Roman" w:hAnsi="Times New Roman"/>
          <w:sz w:val="24"/>
          <w:szCs w:val="20"/>
        </w:rPr>
      </w:pPr>
      <w:proofErr w:type="gramStart"/>
      <w:r w:rsidRPr="00BD0330">
        <w:rPr>
          <w:rFonts w:ascii="Times New Roman" w:eastAsia="Times New Roman" w:hAnsi="Times New Roman"/>
          <w:sz w:val="24"/>
          <w:szCs w:val="20"/>
        </w:rPr>
        <w:t>communication</w:t>
      </w:r>
      <w:proofErr w:type="gramEnd"/>
      <w:r w:rsidRPr="00BD0330">
        <w:rPr>
          <w:rFonts w:ascii="Times New Roman" w:eastAsia="Times New Roman" w:hAnsi="Times New Roman"/>
          <w:sz w:val="24"/>
          <w:szCs w:val="20"/>
        </w:rPr>
        <w:t xml:space="preserve"> equipment</w:t>
      </w:r>
      <w:r w:rsidR="000035F4" w:rsidRPr="00BD0330">
        <w:rPr>
          <w:rFonts w:ascii="Times New Roman" w:eastAsia="Times New Roman" w:hAnsi="Times New Roman"/>
          <w:sz w:val="24"/>
          <w:szCs w:val="20"/>
        </w:rPr>
        <w:t xml:space="preserve">: </w:t>
      </w:r>
      <w:r w:rsidR="001C22C0" w:rsidRPr="00BD0330">
        <w:rPr>
          <w:rFonts w:ascii="Times New Roman" w:eastAsia="Times New Roman" w:hAnsi="Times New Roman"/>
          <w:sz w:val="24"/>
          <w:szCs w:val="20"/>
        </w:rPr>
        <w:t xml:space="preserve">according to BEC these products should go to capital good. As </w:t>
      </w:r>
      <w:r w:rsidR="000035F4" w:rsidRPr="00BD0330">
        <w:rPr>
          <w:rFonts w:ascii="Times New Roman" w:eastAsia="Times New Roman" w:hAnsi="Times New Roman"/>
          <w:sz w:val="24"/>
          <w:szCs w:val="20"/>
        </w:rPr>
        <w:t>t</w:t>
      </w:r>
      <w:r w:rsidR="001C22C0" w:rsidRPr="00BD0330">
        <w:rPr>
          <w:rFonts w:ascii="Times New Roman" w:eastAsia="Times New Roman" w:hAnsi="Times New Roman"/>
          <w:sz w:val="24"/>
          <w:szCs w:val="20"/>
        </w:rPr>
        <w:t>his group contains also mobile phones, Estonia re-allocates them on the basis of private household consumption to final consumption</w:t>
      </w:r>
      <w:r w:rsidR="000035F4" w:rsidRPr="00BD0330">
        <w:rPr>
          <w:rFonts w:ascii="Times New Roman" w:eastAsia="Times New Roman" w:hAnsi="Times New Roman"/>
          <w:sz w:val="24"/>
          <w:szCs w:val="20"/>
        </w:rPr>
        <w:t>;</w:t>
      </w:r>
    </w:p>
    <w:p w:rsidR="00A413E2" w:rsidRDefault="00A413E2" w:rsidP="00F42F3C">
      <w:pPr>
        <w:pStyle w:val="ListParagraph"/>
        <w:numPr>
          <w:ilvl w:val="1"/>
          <w:numId w:val="7"/>
        </w:numPr>
        <w:ind w:left="709" w:hanging="283"/>
        <w:jc w:val="both"/>
        <w:rPr>
          <w:rFonts w:ascii="Times New Roman" w:eastAsia="Times New Roman" w:hAnsi="Times New Roman"/>
          <w:sz w:val="24"/>
          <w:szCs w:val="20"/>
        </w:rPr>
      </w:pPr>
      <w:r w:rsidRPr="009B7DFD">
        <w:rPr>
          <w:rFonts w:ascii="Times New Roman" w:eastAsia="Times New Roman" w:hAnsi="Times New Roman"/>
          <w:sz w:val="24"/>
          <w:szCs w:val="20"/>
        </w:rPr>
        <w:t>computers</w:t>
      </w:r>
      <w:r w:rsidR="000035F4" w:rsidRPr="009B7DFD">
        <w:rPr>
          <w:rFonts w:ascii="Times New Roman" w:eastAsia="Times New Roman" w:hAnsi="Times New Roman"/>
          <w:sz w:val="24"/>
          <w:szCs w:val="20"/>
        </w:rPr>
        <w:t xml:space="preserve">: </w:t>
      </w:r>
      <w:r w:rsidR="001C22C0" w:rsidRPr="009B7DFD">
        <w:rPr>
          <w:rFonts w:ascii="Times New Roman" w:eastAsia="Times New Roman" w:hAnsi="Times New Roman"/>
          <w:sz w:val="24"/>
          <w:szCs w:val="20"/>
        </w:rPr>
        <w:t>are recorded in capital goods and the spare parts of computers are in intermediate consumption</w:t>
      </w:r>
      <w:r w:rsidR="000035F4" w:rsidRPr="009B7DFD">
        <w:rPr>
          <w:rFonts w:ascii="Times New Roman" w:eastAsia="Times New Roman" w:hAnsi="Times New Roman"/>
          <w:sz w:val="24"/>
          <w:szCs w:val="20"/>
        </w:rPr>
        <w:t>;</w:t>
      </w:r>
    </w:p>
    <w:p w:rsidR="00F07CD1" w:rsidRPr="009B7DFD" w:rsidRDefault="00A413E2" w:rsidP="00F42F3C">
      <w:pPr>
        <w:pStyle w:val="ListParagraph"/>
        <w:numPr>
          <w:ilvl w:val="1"/>
          <w:numId w:val="7"/>
        </w:numPr>
        <w:ind w:left="709" w:hanging="283"/>
        <w:jc w:val="both"/>
        <w:rPr>
          <w:rFonts w:ascii="Times New Roman" w:eastAsia="Times New Roman" w:hAnsi="Times New Roman"/>
          <w:sz w:val="24"/>
          <w:szCs w:val="20"/>
        </w:rPr>
      </w:pPr>
      <w:r w:rsidRPr="009B7DFD">
        <w:rPr>
          <w:rFonts w:ascii="Times New Roman" w:eastAsia="Times New Roman" w:hAnsi="Times New Roman"/>
          <w:sz w:val="24"/>
          <w:szCs w:val="20"/>
        </w:rPr>
        <w:t>TV, photo, video etc.</w:t>
      </w:r>
      <w:r w:rsidR="000035F4" w:rsidRPr="009B7DFD">
        <w:rPr>
          <w:rFonts w:ascii="Times New Roman" w:eastAsia="Times New Roman" w:hAnsi="Times New Roman"/>
          <w:sz w:val="24"/>
          <w:szCs w:val="20"/>
        </w:rPr>
        <w:t xml:space="preserve">: </w:t>
      </w:r>
      <w:r w:rsidR="001C22C0" w:rsidRPr="009B7DFD">
        <w:rPr>
          <w:rFonts w:ascii="Times New Roman" w:eastAsia="Times New Roman" w:hAnsi="Times New Roman"/>
          <w:sz w:val="24"/>
          <w:szCs w:val="20"/>
        </w:rPr>
        <w:t>about 2/3 of these products are going to consumer goods</w:t>
      </w:r>
      <w:r w:rsidR="000035F4" w:rsidRPr="009B7DFD">
        <w:rPr>
          <w:rFonts w:ascii="Times New Roman" w:eastAsia="Times New Roman" w:hAnsi="Times New Roman"/>
          <w:sz w:val="24"/>
          <w:szCs w:val="20"/>
        </w:rPr>
        <w:t>.</w:t>
      </w:r>
    </w:p>
    <w:p w:rsidR="00F07CD1" w:rsidRDefault="00F07CD1" w:rsidP="00F42F3C">
      <w:pPr>
        <w:pStyle w:val="ListParagraph"/>
        <w:rPr>
          <w:b/>
        </w:rPr>
      </w:pPr>
    </w:p>
    <w:p w:rsidR="007B09AC" w:rsidRPr="00980605" w:rsidRDefault="007B09AC" w:rsidP="00F42F3C">
      <w:pPr>
        <w:pStyle w:val="ListParagraph"/>
        <w:rPr>
          <w:b/>
        </w:rPr>
      </w:pPr>
    </w:p>
    <w:p w:rsidR="00980605" w:rsidRDefault="00980605" w:rsidP="00F42F3C">
      <w:pPr>
        <w:pStyle w:val="ListParagraph"/>
        <w:numPr>
          <w:ilvl w:val="0"/>
          <w:numId w:val="11"/>
        </w:numPr>
        <w:rPr>
          <w:b/>
        </w:rPr>
      </w:pPr>
      <w:r w:rsidRPr="00980605">
        <w:rPr>
          <w:b/>
        </w:rPr>
        <w:t>CPA 27 Electrical equipment</w:t>
      </w:r>
    </w:p>
    <w:p w:rsidR="00D510D9" w:rsidRPr="00980605" w:rsidRDefault="00D510D9" w:rsidP="00F42F3C">
      <w:pPr>
        <w:pStyle w:val="ListParagraph"/>
        <w:rPr>
          <w:b/>
        </w:rPr>
      </w:pPr>
    </w:p>
    <w:p w:rsidR="00D510D9" w:rsidRDefault="00D510D9" w:rsidP="00F42F3C">
      <w:pPr>
        <w:pStyle w:val="Subtitle"/>
        <w:numPr>
          <w:ilvl w:val="0"/>
          <w:numId w:val="0"/>
        </w:numPr>
        <w:spacing w:after="120"/>
        <w:rPr>
          <w:b/>
        </w:rPr>
      </w:pPr>
      <w:r w:rsidRPr="00C9049C">
        <w:rPr>
          <w:b/>
        </w:rPr>
        <w:t xml:space="preserve">Table </w:t>
      </w:r>
      <w:r w:rsidR="001A0E00">
        <w:rPr>
          <w:b/>
        </w:rPr>
        <w:t>5</w:t>
      </w:r>
      <w:r w:rsidRPr="00C9049C">
        <w:rPr>
          <w:b/>
        </w:rPr>
        <w:t xml:space="preserve">: </w:t>
      </w:r>
      <w:r>
        <w:rPr>
          <w:b/>
        </w:rPr>
        <w:t xml:space="preserve">CPA 27 comparison between BEC </w:t>
      </w:r>
      <w:r w:rsidRPr="00C9049C">
        <w:rPr>
          <w:b/>
        </w:rPr>
        <w:t>to tables 1600, 1610 and 1612</w:t>
      </w:r>
    </w:p>
    <w:p w:rsidR="00D15614" w:rsidRDefault="00CD25A9" w:rsidP="00F42F3C">
      <w:r w:rsidRPr="00CD25A9">
        <w:rPr>
          <w:noProof/>
          <w:lang w:eastAsia="en-GB"/>
        </w:rPr>
        <w:drawing>
          <wp:inline distT="0" distB="0" distL="0" distR="0" wp14:anchorId="6E817F09" wp14:editId="78F37D4B">
            <wp:extent cx="573405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61599"/>
                    </a:xfrm>
                    <a:prstGeom prst="rect">
                      <a:avLst/>
                    </a:prstGeom>
                    <a:noFill/>
                    <a:ln>
                      <a:noFill/>
                    </a:ln>
                  </pic:spPr>
                </pic:pic>
              </a:graphicData>
            </a:graphic>
          </wp:inline>
        </w:drawing>
      </w:r>
    </w:p>
    <w:p w:rsidR="004B0C2F" w:rsidRPr="00D15614" w:rsidRDefault="004B0C2F" w:rsidP="00F42F3C">
      <w:pPr>
        <w:pStyle w:val="ListParagraph"/>
        <w:ind w:left="0"/>
        <w:jc w:val="both"/>
        <w:rPr>
          <w:rFonts w:ascii="Times New Roman" w:eastAsia="Times New Roman" w:hAnsi="Times New Roman"/>
          <w:sz w:val="24"/>
          <w:szCs w:val="20"/>
        </w:rPr>
      </w:pPr>
      <w:r w:rsidRPr="00D15614">
        <w:rPr>
          <w:rFonts w:ascii="Times New Roman" w:eastAsia="Times New Roman" w:hAnsi="Times New Roman"/>
          <w:sz w:val="24"/>
          <w:szCs w:val="20"/>
        </w:rPr>
        <w:t xml:space="preserve">When comparing the allocation from BEC to real data from Estonia, the share of intermediate goods is </w:t>
      </w:r>
      <w:r w:rsidR="00D15614">
        <w:rPr>
          <w:rFonts w:ascii="Times New Roman" w:eastAsia="Times New Roman" w:hAnsi="Times New Roman"/>
          <w:sz w:val="24"/>
          <w:szCs w:val="20"/>
        </w:rPr>
        <w:t>significantly</w:t>
      </w:r>
      <w:r w:rsidRPr="00D15614">
        <w:rPr>
          <w:rFonts w:ascii="Times New Roman" w:eastAsia="Times New Roman" w:hAnsi="Times New Roman"/>
          <w:sz w:val="24"/>
          <w:szCs w:val="20"/>
        </w:rPr>
        <w:t xml:space="preserve"> higher than original data from BEC. Estonia uses for 4 sub-groups to compile the CPA27:</w:t>
      </w:r>
    </w:p>
    <w:p w:rsidR="004B0C2F" w:rsidRDefault="004B0C2F" w:rsidP="00F42F3C">
      <w:pPr>
        <w:pStyle w:val="ListParagraph"/>
        <w:numPr>
          <w:ilvl w:val="0"/>
          <w:numId w:val="13"/>
        </w:numPr>
        <w:tabs>
          <w:tab w:val="clear" w:pos="2475"/>
          <w:tab w:val="num" w:pos="709"/>
        </w:tabs>
        <w:ind w:left="709" w:hanging="283"/>
        <w:jc w:val="both"/>
        <w:rPr>
          <w:rFonts w:ascii="Times New Roman" w:eastAsia="Times New Roman" w:hAnsi="Times New Roman"/>
          <w:sz w:val="24"/>
          <w:szCs w:val="20"/>
        </w:rPr>
      </w:pPr>
      <w:r w:rsidRPr="00D15614">
        <w:rPr>
          <w:rFonts w:ascii="Times New Roman" w:eastAsia="Times New Roman" w:hAnsi="Times New Roman"/>
          <w:sz w:val="24"/>
          <w:szCs w:val="20"/>
        </w:rPr>
        <w:t>electric motors</w:t>
      </w:r>
      <w:r w:rsidR="000035F4" w:rsidRPr="00D15614">
        <w:rPr>
          <w:rFonts w:ascii="Times New Roman" w:eastAsia="Times New Roman" w:hAnsi="Times New Roman"/>
          <w:sz w:val="24"/>
          <w:szCs w:val="20"/>
        </w:rPr>
        <w:t>: based on BEC about 4/5 of goods go to intermediate consumption and the rest to capital goods;</w:t>
      </w:r>
    </w:p>
    <w:p w:rsidR="000035F4" w:rsidRDefault="000035F4" w:rsidP="00F42F3C">
      <w:pPr>
        <w:pStyle w:val="ListParagraph"/>
        <w:numPr>
          <w:ilvl w:val="0"/>
          <w:numId w:val="13"/>
        </w:numPr>
        <w:tabs>
          <w:tab w:val="clear" w:pos="2475"/>
          <w:tab w:val="num" w:pos="709"/>
        </w:tabs>
        <w:ind w:left="709" w:hanging="283"/>
        <w:jc w:val="both"/>
        <w:rPr>
          <w:rFonts w:ascii="Times New Roman" w:eastAsia="Times New Roman" w:hAnsi="Times New Roman"/>
          <w:sz w:val="24"/>
          <w:szCs w:val="20"/>
        </w:rPr>
      </w:pPr>
      <w:r w:rsidRPr="00D15614">
        <w:rPr>
          <w:rFonts w:ascii="Times New Roman" w:eastAsia="Times New Roman" w:hAnsi="Times New Roman"/>
          <w:sz w:val="24"/>
          <w:szCs w:val="20"/>
        </w:rPr>
        <w:t>batteries, accumulators: small part of those goods are recorded in IC and in GFCF, rest goes to household final consumption;</w:t>
      </w:r>
    </w:p>
    <w:p w:rsidR="000035F4" w:rsidRDefault="000035F4" w:rsidP="00F42F3C">
      <w:pPr>
        <w:pStyle w:val="ListParagraph"/>
        <w:numPr>
          <w:ilvl w:val="0"/>
          <w:numId w:val="13"/>
        </w:numPr>
        <w:tabs>
          <w:tab w:val="clear" w:pos="2475"/>
          <w:tab w:val="num" w:pos="709"/>
        </w:tabs>
        <w:ind w:left="709" w:hanging="283"/>
        <w:jc w:val="both"/>
        <w:rPr>
          <w:rFonts w:ascii="Times New Roman" w:eastAsia="Times New Roman" w:hAnsi="Times New Roman"/>
          <w:sz w:val="24"/>
          <w:szCs w:val="20"/>
        </w:rPr>
      </w:pPr>
      <w:r w:rsidRPr="00D15614">
        <w:rPr>
          <w:rFonts w:ascii="Times New Roman" w:eastAsia="Times New Roman" w:hAnsi="Times New Roman"/>
          <w:sz w:val="24"/>
          <w:szCs w:val="20"/>
        </w:rPr>
        <w:t xml:space="preserve">electric lighting equipment: </w:t>
      </w:r>
      <w:r w:rsidR="00E57928" w:rsidRPr="00D15614">
        <w:rPr>
          <w:rFonts w:ascii="Times New Roman" w:eastAsia="Times New Roman" w:hAnsi="Times New Roman"/>
          <w:sz w:val="24"/>
          <w:szCs w:val="20"/>
        </w:rPr>
        <w:t>according to BEC these products belong to intermediate consumption;</w:t>
      </w:r>
    </w:p>
    <w:p w:rsidR="00E57928" w:rsidRPr="00D15614" w:rsidRDefault="00E57928" w:rsidP="00F42F3C">
      <w:pPr>
        <w:pStyle w:val="ListParagraph"/>
        <w:numPr>
          <w:ilvl w:val="0"/>
          <w:numId w:val="13"/>
        </w:numPr>
        <w:tabs>
          <w:tab w:val="clear" w:pos="2475"/>
          <w:tab w:val="num" w:pos="709"/>
        </w:tabs>
        <w:ind w:left="709" w:hanging="283"/>
        <w:jc w:val="both"/>
        <w:rPr>
          <w:rFonts w:ascii="Times New Roman" w:eastAsia="Times New Roman" w:hAnsi="Times New Roman"/>
          <w:sz w:val="24"/>
          <w:szCs w:val="20"/>
        </w:rPr>
      </w:pPr>
      <w:proofErr w:type="gramStart"/>
      <w:r w:rsidRPr="00D15614">
        <w:rPr>
          <w:rFonts w:ascii="Times New Roman" w:eastAsia="Times New Roman" w:hAnsi="Times New Roman"/>
          <w:sz w:val="24"/>
          <w:szCs w:val="20"/>
        </w:rPr>
        <w:t>domestic</w:t>
      </w:r>
      <w:proofErr w:type="gramEnd"/>
      <w:r w:rsidRPr="00D15614">
        <w:rPr>
          <w:rFonts w:ascii="Times New Roman" w:eastAsia="Times New Roman" w:hAnsi="Times New Roman"/>
          <w:sz w:val="24"/>
          <w:szCs w:val="20"/>
        </w:rPr>
        <w:t xml:space="preserve"> appliances: </w:t>
      </w:r>
      <w:r w:rsidR="00CB0B48" w:rsidRPr="00D15614">
        <w:rPr>
          <w:rFonts w:ascii="Times New Roman" w:eastAsia="Times New Roman" w:hAnsi="Times New Roman"/>
          <w:sz w:val="24"/>
          <w:szCs w:val="20"/>
        </w:rPr>
        <w:t>majority is for the final consumption, but also enterprises purchases these goods. Therefore, small part is recorded also to IC.</w:t>
      </w:r>
    </w:p>
    <w:p w:rsidR="00CB0B48" w:rsidRDefault="00CB0B48" w:rsidP="00F42F3C">
      <w:pPr>
        <w:tabs>
          <w:tab w:val="num" w:pos="1418"/>
        </w:tabs>
      </w:pPr>
    </w:p>
    <w:p w:rsidR="002D14DD" w:rsidRDefault="002D14DD" w:rsidP="00F42F3C">
      <w:pPr>
        <w:pStyle w:val="Heading2"/>
        <w:spacing w:after="240"/>
        <w:ind w:left="714" w:hanging="357"/>
      </w:pPr>
      <w:r>
        <w:lastRenderedPageBreak/>
        <w:t xml:space="preserve">Comparison of BEC structure and table 1612 </w:t>
      </w:r>
    </w:p>
    <w:p w:rsidR="00D93A0C" w:rsidRPr="00D15614" w:rsidRDefault="00D93A0C" w:rsidP="00F42F3C">
      <w:pPr>
        <w:pStyle w:val="ListParagraph"/>
        <w:ind w:left="0"/>
        <w:jc w:val="both"/>
        <w:rPr>
          <w:rFonts w:ascii="Times New Roman" w:eastAsia="Times New Roman" w:hAnsi="Times New Roman"/>
          <w:sz w:val="24"/>
          <w:szCs w:val="20"/>
        </w:rPr>
      </w:pPr>
      <w:r w:rsidRPr="00D15614">
        <w:rPr>
          <w:rFonts w:ascii="Times New Roman" w:eastAsia="Times New Roman" w:hAnsi="Times New Roman"/>
          <w:sz w:val="24"/>
          <w:szCs w:val="20"/>
        </w:rPr>
        <w:t xml:space="preserve">When comparing </w:t>
      </w:r>
      <w:r w:rsidR="00B42DA8" w:rsidRPr="00D15614">
        <w:rPr>
          <w:rFonts w:ascii="Times New Roman" w:eastAsia="Times New Roman" w:hAnsi="Times New Roman"/>
          <w:sz w:val="24"/>
          <w:szCs w:val="20"/>
        </w:rPr>
        <w:t>allocation of data between three end</w:t>
      </w:r>
      <w:r w:rsidR="002467F8">
        <w:rPr>
          <w:rFonts w:ascii="Times New Roman" w:eastAsia="Times New Roman" w:hAnsi="Times New Roman"/>
          <w:sz w:val="24"/>
          <w:szCs w:val="20"/>
        </w:rPr>
        <w:t>-</w:t>
      </w:r>
      <w:r w:rsidR="00B42DA8" w:rsidRPr="00D15614">
        <w:rPr>
          <w:rFonts w:ascii="Times New Roman" w:eastAsia="Times New Roman" w:hAnsi="Times New Roman"/>
          <w:sz w:val="24"/>
          <w:szCs w:val="20"/>
        </w:rPr>
        <w:t>uses based on BEC and real data from import matrices Member States have transmitted to Eurostat we can see that for all countries</w:t>
      </w:r>
      <w:r w:rsidR="00DA6845" w:rsidRPr="00D15614">
        <w:rPr>
          <w:rFonts w:ascii="Times New Roman" w:eastAsia="Times New Roman" w:hAnsi="Times New Roman"/>
          <w:sz w:val="24"/>
          <w:szCs w:val="20"/>
        </w:rPr>
        <w:t xml:space="preserve">, except </w:t>
      </w:r>
      <w:r w:rsidR="00991793">
        <w:rPr>
          <w:rFonts w:ascii="Times New Roman" w:eastAsia="Times New Roman" w:hAnsi="Times New Roman"/>
          <w:sz w:val="24"/>
          <w:szCs w:val="20"/>
        </w:rPr>
        <w:t xml:space="preserve">for Greece and </w:t>
      </w:r>
      <w:r w:rsidR="00DA6845" w:rsidRPr="00D15614">
        <w:rPr>
          <w:rFonts w:ascii="Times New Roman" w:eastAsia="Times New Roman" w:hAnsi="Times New Roman"/>
          <w:sz w:val="24"/>
          <w:szCs w:val="20"/>
        </w:rPr>
        <w:t>Romania,</w:t>
      </w:r>
      <w:r w:rsidR="00B42DA8" w:rsidRPr="00D15614">
        <w:rPr>
          <w:rFonts w:ascii="Times New Roman" w:eastAsia="Times New Roman" w:hAnsi="Times New Roman"/>
          <w:sz w:val="24"/>
          <w:szCs w:val="20"/>
        </w:rPr>
        <w:t xml:space="preserve"> represented in the table below BEC underestimates the share of intermediate goods and overestimates of that for </w:t>
      </w:r>
      <w:r w:rsidR="00991793">
        <w:rPr>
          <w:rFonts w:ascii="Times New Roman" w:eastAsia="Times New Roman" w:hAnsi="Times New Roman"/>
          <w:sz w:val="24"/>
          <w:szCs w:val="20"/>
        </w:rPr>
        <w:t xml:space="preserve">two other end-uses. BEC values higher </w:t>
      </w:r>
      <w:r w:rsidR="002467F8">
        <w:rPr>
          <w:rFonts w:ascii="Times New Roman" w:eastAsia="Times New Roman" w:hAnsi="Times New Roman"/>
          <w:sz w:val="24"/>
          <w:szCs w:val="20"/>
        </w:rPr>
        <w:t xml:space="preserve">than actual values are </w:t>
      </w:r>
      <w:r w:rsidR="00991793">
        <w:rPr>
          <w:rFonts w:ascii="Times New Roman" w:eastAsia="Times New Roman" w:hAnsi="Times New Roman"/>
          <w:sz w:val="24"/>
          <w:szCs w:val="20"/>
        </w:rPr>
        <w:t>highlighted in the table.</w:t>
      </w:r>
    </w:p>
    <w:p w:rsidR="00D510D9" w:rsidRPr="00D15614" w:rsidRDefault="00D510D9" w:rsidP="00F42F3C">
      <w:pPr>
        <w:pStyle w:val="ListParagraph"/>
        <w:ind w:left="0"/>
        <w:jc w:val="both"/>
        <w:rPr>
          <w:rFonts w:ascii="Times New Roman" w:eastAsia="Times New Roman" w:hAnsi="Times New Roman"/>
          <w:sz w:val="24"/>
          <w:szCs w:val="20"/>
        </w:rPr>
      </w:pPr>
    </w:p>
    <w:p w:rsidR="00D510D9" w:rsidRDefault="00D510D9" w:rsidP="00F42F3C">
      <w:pPr>
        <w:pStyle w:val="Subtitle"/>
        <w:numPr>
          <w:ilvl w:val="0"/>
          <w:numId w:val="0"/>
        </w:numPr>
        <w:spacing w:after="120"/>
        <w:rPr>
          <w:b/>
        </w:rPr>
      </w:pPr>
      <w:r w:rsidRPr="00C9049C">
        <w:rPr>
          <w:b/>
        </w:rPr>
        <w:t xml:space="preserve">Table </w:t>
      </w:r>
      <w:r w:rsidR="00991793">
        <w:rPr>
          <w:b/>
        </w:rPr>
        <w:t>6</w:t>
      </w:r>
      <w:r w:rsidRPr="00C9049C">
        <w:rPr>
          <w:b/>
        </w:rPr>
        <w:t xml:space="preserve">: </w:t>
      </w:r>
      <w:r>
        <w:rPr>
          <w:b/>
        </w:rPr>
        <w:t>Comparison of end-use structures based on BEC and table 1612</w:t>
      </w:r>
      <w:r w:rsidR="00991793">
        <w:rPr>
          <w:b/>
        </w:rPr>
        <w:t>, 2010</w:t>
      </w:r>
    </w:p>
    <w:tbl>
      <w:tblPr>
        <w:tblW w:w="6720" w:type="dxa"/>
        <w:jc w:val="center"/>
        <w:tblInd w:w="93" w:type="dxa"/>
        <w:tblLook w:val="04A0" w:firstRow="1" w:lastRow="0" w:firstColumn="1" w:lastColumn="0" w:noHBand="0" w:noVBand="1"/>
      </w:tblPr>
      <w:tblGrid>
        <w:gridCol w:w="960"/>
        <w:gridCol w:w="960"/>
        <w:gridCol w:w="960"/>
        <w:gridCol w:w="960"/>
        <w:gridCol w:w="960"/>
        <w:gridCol w:w="960"/>
        <w:gridCol w:w="960"/>
      </w:tblGrid>
      <w:tr w:rsidR="00D93BCB" w:rsidRPr="00D93BCB" w:rsidTr="00D93BCB">
        <w:trPr>
          <w:trHeight w:val="300"/>
          <w:jc w:val="center"/>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D93BCB" w:rsidRPr="00D93BCB" w:rsidRDefault="00D93BCB" w:rsidP="00F42F3C">
            <w:pPr>
              <w:spacing w:after="0"/>
              <w:jc w:val="left"/>
              <w:rPr>
                <w:rFonts w:ascii="Calibri" w:hAnsi="Calibri"/>
                <w:sz w:val="22"/>
                <w:szCs w:val="22"/>
                <w:lang w:eastAsia="en-GB"/>
              </w:rPr>
            </w:pPr>
            <w:r w:rsidRPr="00D93BCB">
              <w:rPr>
                <w:rFonts w:ascii="Calibri" w:hAnsi="Calibri"/>
                <w:sz w:val="22"/>
                <w:szCs w:val="22"/>
                <w:lang w:eastAsia="en-GB"/>
              </w:rPr>
              <w:t> </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IC</w:t>
            </w:r>
          </w:p>
        </w:tc>
        <w:tc>
          <w:tcPr>
            <w:tcW w:w="1920" w:type="dxa"/>
            <w:gridSpan w:val="2"/>
            <w:tcBorders>
              <w:top w:val="single" w:sz="4" w:space="0" w:color="auto"/>
              <w:left w:val="nil"/>
              <w:bottom w:val="single" w:sz="4" w:space="0" w:color="000000"/>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PHC</w:t>
            </w:r>
          </w:p>
        </w:tc>
        <w:tc>
          <w:tcPr>
            <w:tcW w:w="1920" w:type="dxa"/>
            <w:gridSpan w:val="2"/>
            <w:tcBorders>
              <w:top w:val="single" w:sz="4" w:space="0" w:color="auto"/>
              <w:left w:val="nil"/>
              <w:bottom w:val="single" w:sz="4" w:space="0" w:color="000000"/>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GFCF</w:t>
            </w:r>
          </w:p>
        </w:tc>
      </w:tr>
      <w:tr w:rsidR="00D93BCB" w:rsidRPr="00D93BCB" w:rsidTr="00D93BCB">
        <w:trPr>
          <w:trHeight w:val="525"/>
          <w:jc w:val="center"/>
        </w:trPr>
        <w:tc>
          <w:tcPr>
            <w:tcW w:w="960" w:type="dxa"/>
            <w:tcBorders>
              <w:top w:val="nil"/>
              <w:left w:val="single" w:sz="4" w:space="0" w:color="auto"/>
              <w:bottom w:val="double" w:sz="6" w:space="0" w:color="auto"/>
              <w:right w:val="single" w:sz="4" w:space="0" w:color="auto"/>
            </w:tcBorders>
            <w:shd w:val="clear" w:color="auto" w:fill="auto"/>
            <w:noWrap/>
            <w:vAlign w:val="bottom"/>
            <w:hideMark/>
          </w:tcPr>
          <w:p w:rsidR="00D93BCB" w:rsidRPr="00D93BCB" w:rsidRDefault="00D93BCB" w:rsidP="00F42F3C">
            <w:pPr>
              <w:spacing w:after="0"/>
              <w:jc w:val="center"/>
              <w:rPr>
                <w:rFonts w:ascii="Calibri" w:hAnsi="Calibri"/>
                <w:b/>
                <w:bCs/>
                <w:sz w:val="22"/>
                <w:szCs w:val="22"/>
                <w:lang w:eastAsia="en-GB"/>
              </w:rPr>
            </w:pPr>
            <w:r w:rsidRPr="00D93BCB">
              <w:rPr>
                <w:rFonts w:ascii="Calibri" w:hAnsi="Calibri"/>
                <w:b/>
                <w:bCs/>
                <w:sz w:val="22"/>
                <w:szCs w:val="22"/>
                <w:lang w:eastAsia="en-GB"/>
              </w:rPr>
              <w:t> </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BEC</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Import matrix</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BEC</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Import matrix</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BEC</w:t>
            </w:r>
          </w:p>
        </w:tc>
        <w:tc>
          <w:tcPr>
            <w:tcW w:w="960" w:type="dxa"/>
            <w:tcBorders>
              <w:top w:val="nil"/>
              <w:left w:val="nil"/>
              <w:bottom w:val="double" w:sz="6" w:space="0" w:color="auto"/>
              <w:right w:val="single" w:sz="4" w:space="0" w:color="000000"/>
            </w:tcBorders>
            <w:shd w:val="clear" w:color="auto" w:fill="auto"/>
            <w:vAlign w:val="center"/>
            <w:hideMark/>
          </w:tcPr>
          <w:p w:rsidR="00D93BCB" w:rsidRPr="00D93BCB" w:rsidRDefault="00D93BCB" w:rsidP="00F42F3C">
            <w:pPr>
              <w:spacing w:after="0"/>
              <w:jc w:val="center"/>
              <w:rPr>
                <w:rFonts w:ascii="Arial" w:hAnsi="Arial" w:cs="Arial"/>
                <w:b/>
                <w:bCs/>
                <w:sz w:val="20"/>
                <w:lang w:eastAsia="en-GB"/>
              </w:rPr>
            </w:pPr>
            <w:r w:rsidRPr="00D93BCB">
              <w:rPr>
                <w:rFonts w:ascii="Arial" w:hAnsi="Arial" w:cs="Arial"/>
                <w:b/>
                <w:bCs/>
                <w:sz w:val="20"/>
                <w:lang w:eastAsia="en-GB"/>
              </w:rPr>
              <w:t>Import matrix</w:t>
            </w:r>
          </w:p>
        </w:tc>
      </w:tr>
      <w:tr w:rsidR="00D93BCB" w:rsidRPr="00D93BCB" w:rsidTr="00D93BCB">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CZ</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0.650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0.772</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0.179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0.122</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0.171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0.107</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DE</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0.625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0.721</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0.216</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0.177</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0.102</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DK</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0.500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0.768</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0.331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0.143</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0.169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0.089</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EE</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0.611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0.721</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0.264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0.168</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0.125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0.111</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FR</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0.578</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0.673</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0.274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0.245</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0.149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0.082</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EL</w:t>
            </w:r>
          </w:p>
        </w:tc>
        <w:tc>
          <w:tcPr>
            <w:tcW w:w="960" w:type="dxa"/>
            <w:tcBorders>
              <w:top w:val="nil"/>
              <w:left w:val="nil"/>
              <w:bottom w:val="single" w:sz="4" w:space="0" w:color="000000"/>
              <w:right w:val="single" w:sz="4" w:space="0" w:color="000000"/>
            </w:tcBorders>
            <w:shd w:val="clear" w:color="000000" w:fill="FFC000"/>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0.534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0.494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0.309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0.352</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0.153</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HU</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0.689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0.813</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0.161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0.119</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0.069</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IE</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0.503</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0.783</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0.310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0.143</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0.187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0.074</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IT</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0.653</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0.720</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0.239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0.214</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0.107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0.066</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LT</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0.529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0.674</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0.327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0.254</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0.144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0.073</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NL</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0.590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0.762</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0.232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0.136</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0.178</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0.101</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RO</w:t>
            </w:r>
          </w:p>
        </w:tc>
        <w:tc>
          <w:tcPr>
            <w:tcW w:w="960" w:type="dxa"/>
            <w:tcBorders>
              <w:top w:val="nil"/>
              <w:left w:val="nil"/>
              <w:bottom w:val="single" w:sz="4" w:space="0" w:color="000000"/>
              <w:right w:val="single" w:sz="4" w:space="0" w:color="000000"/>
            </w:tcBorders>
            <w:shd w:val="clear" w:color="000000" w:fill="FFC000"/>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0.655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0.570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0.195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0.268</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0.162</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SK</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0.678</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0.708</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0.195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0.201</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0.127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0.091</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SI</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0.652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0.670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0.232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0.232</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0.116</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0.098</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SE</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0.596</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0.680</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0.252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0.167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0.153</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sz w:val="20"/>
                <w:lang w:eastAsia="en-GB"/>
              </w:rPr>
            </w:pPr>
            <w:r w:rsidRPr="00D93BCB">
              <w:rPr>
                <w:rFonts w:ascii="Arial" w:hAnsi="Arial" w:cs="Arial"/>
                <w:b/>
                <w:bCs/>
                <w:sz w:val="20"/>
                <w:lang w:eastAsia="en-GB"/>
              </w:rPr>
              <w:t>UK</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0.554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0.642</w:t>
            </w:r>
          </w:p>
        </w:tc>
        <w:tc>
          <w:tcPr>
            <w:tcW w:w="960" w:type="dxa"/>
            <w:tcBorders>
              <w:top w:val="nil"/>
              <w:left w:val="nil"/>
              <w:bottom w:val="single" w:sz="4" w:space="0" w:color="000000"/>
              <w:right w:val="single" w:sz="4" w:space="0" w:color="000000"/>
            </w:tcBorders>
            <w:shd w:val="clear" w:color="000000" w:fill="D8E4BC"/>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0.275</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0.274</w:t>
            </w:r>
          </w:p>
        </w:tc>
        <w:tc>
          <w:tcPr>
            <w:tcW w:w="960" w:type="dxa"/>
            <w:tcBorders>
              <w:top w:val="nil"/>
              <w:left w:val="single" w:sz="4" w:space="0" w:color="000000"/>
              <w:bottom w:val="single" w:sz="4" w:space="0" w:color="000000"/>
              <w:right w:val="single" w:sz="4" w:space="0" w:color="000000"/>
            </w:tcBorders>
            <w:shd w:val="clear" w:color="000000" w:fill="FCD5B4"/>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0.171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sz w:val="20"/>
                <w:lang w:eastAsia="en-GB"/>
              </w:rPr>
            </w:pPr>
            <w:r w:rsidRPr="00D93BCB">
              <w:rPr>
                <w:rFonts w:ascii="Arial" w:hAnsi="Arial" w:cs="Arial"/>
                <w:sz w:val="20"/>
                <w:lang w:eastAsia="en-GB"/>
              </w:rPr>
              <w:t>0.085</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left"/>
              <w:rPr>
                <w:rFonts w:ascii="Arial" w:hAnsi="Arial" w:cs="Arial"/>
                <w:b/>
                <w:bCs/>
                <w:color w:val="1122BF"/>
                <w:sz w:val="20"/>
                <w:lang w:eastAsia="en-GB"/>
              </w:rPr>
            </w:pPr>
            <w:r w:rsidRPr="00D93BCB">
              <w:rPr>
                <w:rFonts w:ascii="Arial" w:hAnsi="Arial" w:cs="Arial"/>
                <w:b/>
                <w:bCs/>
                <w:color w:val="1122BF"/>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 </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right"/>
              <w:rPr>
                <w:rFonts w:ascii="Arial" w:hAnsi="Arial" w:cs="Arial"/>
                <w:b/>
                <w:bCs/>
                <w:color w:val="00B050"/>
                <w:sz w:val="20"/>
                <w:lang w:eastAsia="en-GB"/>
              </w:rPr>
            </w:pPr>
            <w:r w:rsidRPr="00D93BCB">
              <w:rPr>
                <w:rFonts w:ascii="Arial" w:hAnsi="Arial" w:cs="Arial"/>
                <w:b/>
                <w:bCs/>
                <w:color w:val="00B050"/>
                <w:sz w:val="20"/>
                <w:lang w:eastAsia="en-GB"/>
              </w:rPr>
              <w:t>MIN</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0.500</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0.494</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0.161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0.119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0.107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00B050"/>
                <w:sz w:val="20"/>
                <w:lang w:eastAsia="en-GB"/>
              </w:rPr>
            </w:pPr>
            <w:r w:rsidRPr="00D93BCB">
              <w:rPr>
                <w:rFonts w:ascii="Arial" w:hAnsi="Arial" w:cs="Arial"/>
                <w:b/>
                <w:bCs/>
                <w:color w:val="00B050"/>
                <w:sz w:val="20"/>
                <w:lang w:eastAsia="en-GB"/>
              </w:rPr>
              <w:t>0.066</w:t>
            </w:r>
          </w:p>
        </w:tc>
      </w:tr>
      <w:tr w:rsidR="00D93BCB" w:rsidRPr="00D93BCB" w:rsidTr="00D93BCB">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D93BCB" w:rsidRPr="00D93BCB" w:rsidRDefault="00D93BCB" w:rsidP="00F42F3C">
            <w:pPr>
              <w:spacing w:after="0"/>
              <w:jc w:val="right"/>
              <w:rPr>
                <w:rFonts w:ascii="Arial" w:hAnsi="Arial" w:cs="Arial"/>
                <w:b/>
                <w:bCs/>
                <w:color w:val="FF0000"/>
                <w:sz w:val="20"/>
                <w:lang w:eastAsia="en-GB"/>
              </w:rPr>
            </w:pPr>
            <w:r w:rsidRPr="00D93BCB">
              <w:rPr>
                <w:rFonts w:ascii="Arial" w:hAnsi="Arial" w:cs="Arial"/>
                <w:b/>
                <w:bCs/>
                <w:color w:val="FF0000"/>
                <w:sz w:val="20"/>
                <w:lang w:eastAsia="en-GB"/>
              </w:rPr>
              <w:t>MAX</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0.689</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0.813</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0.331</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0.352</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0.187</w:t>
            </w:r>
          </w:p>
        </w:tc>
        <w:tc>
          <w:tcPr>
            <w:tcW w:w="960" w:type="dxa"/>
            <w:tcBorders>
              <w:top w:val="nil"/>
              <w:left w:val="nil"/>
              <w:bottom w:val="single" w:sz="4" w:space="0" w:color="000000"/>
              <w:right w:val="single" w:sz="4" w:space="0" w:color="000000"/>
            </w:tcBorders>
            <w:shd w:val="clear" w:color="auto" w:fill="auto"/>
            <w:vAlign w:val="bottom"/>
            <w:hideMark/>
          </w:tcPr>
          <w:p w:rsidR="00D93BCB" w:rsidRPr="00D93BCB" w:rsidRDefault="00D93BCB" w:rsidP="00F42F3C">
            <w:pPr>
              <w:spacing w:after="0"/>
              <w:jc w:val="center"/>
              <w:rPr>
                <w:rFonts w:ascii="Arial" w:hAnsi="Arial" w:cs="Arial"/>
                <w:b/>
                <w:bCs/>
                <w:color w:val="FF0000"/>
                <w:sz w:val="20"/>
                <w:lang w:eastAsia="en-GB"/>
              </w:rPr>
            </w:pPr>
            <w:r w:rsidRPr="00D93BCB">
              <w:rPr>
                <w:rFonts w:ascii="Arial" w:hAnsi="Arial" w:cs="Arial"/>
                <w:b/>
                <w:bCs/>
                <w:color w:val="FF0000"/>
                <w:sz w:val="20"/>
                <w:lang w:eastAsia="en-GB"/>
              </w:rPr>
              <w:t>0.162</w:t>
            </w:r>
          </w:p>
        </w:tc>
      </w:tr>
    </w:tbl>
    <w:p w:rsidR="00EC3622" w:rsidRDefault="00EC3622" w:rsidP="00CD25A9">
      <w:pPr>
        <w:spacing w:after="200"/>
      </w:pPr>
    </w:p>
    <w:p w:rsidR="00EC3622" w:rsidRDefault="00EC3622" w:rsidP="00CD25A9">
      <w:pPr>
        <w:spacing w:after="200"/>
      </w:pPr>
      <w:r>
        <w:rPr>
          <w:color w:val="0066FF"/>
        </w:rPr>
        <w:t xml:space="preserve">Analysing structures at product level, we can see a number of </w:t>
      </w:r>
      <w:r w:rsidR="002E0EB2">
        <w:rPr>
          <w:color w:val="0066FF"/>
        </w:rPr>
        <w:t>goods</w:t>
      </w:r>
      <w:r>
        <w:rPr>
          <w:color w:val="0066FF"/>
        </w:rPr>
        <w:t xml:space="preserve"> where allocation to end-use based on BEC gives very different results from what we can see from transmitted data. For example, </w:t>
      </w:r>
      <w:r w:rsidR="002E0EB2">
        <w:rPr>
          <w:color w:val="0066FF"/>
        </w:rPr>
        <w:t xml:space="preserve">for majority of countries BEC shows that more than 90% of import should go to final use for CPA 03 </w:t>
      </w:r>
      <w:r w:rsidR="002E0EB2" w:rsidRPr="002E0EB2">
        <w:rPr>
          <w:color w:val="0066FF"/>
        </w:rPr>
        <w:t>Fish and other fishing products; aquaculture products; support services to fishing</w:t>
      </w:r>
      <w:r w:rsidR="002E0EB2">
        <w:rPr>
          <w:color w:val="0066FF"/>
        </w:rPr>
        <w:t>.</w:t>
      </w:r>
      <w:r w:rsidR="006D1B1F">
        <w:rPr>
          <w:color w:val="0066FF"/>
        </w:rPr>
        <w:t xml:space="preserve"> However, in transmitted tables we can see that all countries have re-allocated a significant part also to IC. The</w:t>
      </w:r>
      <w:r w:rsidR="002E0EB2">
        <w:rPr>
          <w:color w:val="0066FF"/>
        </w:rPr>
        <w:t>ir</w:t>
      </w:r>
      <w:r w:rsidR="006D1B1F">
        <w:rPr>
          <w:color w:val="0066FF"/>
        </w:rPr>
        <w:t xml:space="preserve"> shares vary from 18% in Greece up to 100% in the United Kingdom. </w:t>
      </w:r>
      <w:r w:rsidR="00E860C4">
        <w:rPr>
          <w:color w:val="0066FF"/>
        </w:rPr>
        <w:t xml:space="preserve">In CPA 02 </w:t>
      </w:r>
      <w:r w:rsidR="00E860C4" w:rsidRPr="00E860C4">
        <w:rPr>
          <w:color w:val="0066FF"/>
        </w:rPr>
        <w:t>Products of forestry, logging and related services</w:t>
      </w:r>
      <w:r w:rsidR="00E860C4">
        <w:rPr>
          <w:color w:val="0066FF"/>
        </w:rPr>
        <w:t xml:space="preserve"> BEC </w:t>
      </w:r>
      <w:r w:rsidR="003D4767">
        <w:rPr>
          <w:color w:val="0066FF"/>
        </w:rPr>
        <w:t xml:space="preserve">allocates 100% to IC, but almost all countries have modified it and allocated part also to PHC (between 2% in Slovakia up to 59% in Greece). Also </w:t>
      </w:r>
      <w:r w:rsidR="00560595">
        <w:rPr>
          <w:color w:val="0066FF"/>
        </w:rPr>
        <w:t xml:space="preserve">for </w:t>
      </w:r>
      <w:r w:rsidR="003D4767">
        <w:rPr>
          <w:color w:val="0066FF"/>
        </w:rPr>
        <w:t>CPA 10-</w:t>
      </w:r>
      <w:r w:rsidR="003D4767" w:rsidRPr="003D4767">
        <w:rPr>
          <w:color w:val="0066FF"/>
        </w:rPr>
        <w:t>12 Food products, beverages and tobacco products</w:t>
      </w:r>
      <w:r w:rsidR="003D4767">
        <w:rPr>
          <w:color w:val="0066FF"/>
        </w:rPr>
        <w:t xml:space="preserve"> and CPA 13-</w:t>
      </w:r>
      <w:r w:rsidR="003D4767" w:rsidRPr="003D4767">
        <w:rPr>
          <w:color w:val="0066FF"/>
        </w:rPr>
        <w:t>15</w:t>
      </w:r>
      <w:r w:rsidR="003D4767">
        <w:rPr>
          <w:color w:val="0066FF"/>
        </w:rPr>
        <w:t xml:space="preserve"> </w:t>
      </w:r>
      <w:r w:rsidR="003D4767" w:rsidRPr="003D4767">
        <w:rPr>
          <w:color w:val="0066FF"/>
        </w:rPr>
        <w:t>Textiles, wearing apparel and leather products</w:t>
      </w:r>
      <w:r w:rsidR="000E2B71">
        <w:rPr>
          <w:color w:val="0066FF"/>
        </w:rPr>
        <w:t xml:space="preserve"> </w:t>
      </w:r>
      <w:r w:rsidR="00560595">
        <w:rPr>
          <w:color w:val="0066FF"/>
        </w:rPr>
        <w:t xml:space="preserve">in many countries allocation based on BEC data would differ quite significantly from the structure of actually transmitted data. </w:t>
      </w:r>
      <w:r w:rsidR="00136675">
        <w:rPr>
          <w:color w:val="0066FF"/>
        </w:rPr>
        <w:t>Not surprisingly we also see differences in product groups w</w:t>
      </w:r>
      <w:r w:rsidR="00331DB0">
        <w:rPr>
          <w:color w:val="0066FF"/>
        </w:rPr>
        <w:t>ith multiple end-use possibilities where a product can be use</w:t>
      </w:r>
      <w:r w:rsidR="002E0EB2">
        <w:rPr>
          <w:color w:val="0066FF"/>
        </w:rPr>
        <w:t>d</w:t>
      </w:r>
      <w:r w:rsidR="00331DB0">
        <w:rPr>
          <w:color w:val="0066FF"/>
        </w:rPr>
        <w:t xml:space="preserve"> either for IC or PHC or GFCF. For </w:t>
      </w:r>
      <w:r w:rsidR="00331DB0">
        <w:rPr>
          <w:color w:val="0066FF"/>
        </w:rPr>
        <w:lastRenderedPageBreak/>
        <w:t xml:space="preserve">example, CPA 21 </w:t>
      </w:r>
      <w:r w:rsidR="00331DB0" w:rsidRPr="00331DB0">
        <w:rPr>
          <w:color w:val="0066FF"/>
        </w:rPr>
        <w:t>Basic pharmaceutical products and pharmaceutical preparations</w:t>
      </w:r>
      <w:r w:rsidR="00331DB0">
        <w:rPr>
          <w:color w:val="0066FF"/>
        </w:rPr>
        <w:t xml:space="preserve">, CPA 26 </w:t>
      </w:r>
      <w:r w:rsidR="00331DB0" w:rsidRPr="00331DB0">
        <w:rPr>
          <w:color w:val="0066FF"/>
        </w:rPr>
        <w:t>Computer, electronic and optical products</w:t>
      </w:r>
      <w:r w:rsidR="00331DB0">
        <w:rPr>
          <w:color w:val="0066FF"/>
        </w:rPr>
        <w:t xml:space="preserve"> and CPA 29 </w:t>
      </w:r>
      <w:r w:rsidR="00331DB0" w:rsidRPr="00331DB0">
        <w:rPr>
          <w:color w:val="0066FF"/>
        </w:rPr>
        <w:t>Motor vehicles, trailers and semi-trailers</w:t>
      </w:r>
      <w:r w:rsidR="00331DB0">
        <w:rPr>
          <w:color w:val="0066FF"/>
        </w:rPr>
        <w:t xml:space="preserve">. For those products countries </w:t>
      </w:r>
      <w:r w:rsidR="002E0EB2">
        <w:rPr>
          <w:color w:val="0066FF"/>
        </w:rPr>
        <w:t xml:space="preserve">are using </w:t>
      </w:r>
      <w:r w:rsidR="00331DB0">
        <w:rPr>
          <w:color w:val="0066FF"/>
        </w:rPr>
        <w:t>additional data sources (government accounts, household budget surveys etc.) to verify and modify information received from BEC.</w:t>
      </w:r>
    </w:p>
    <w:p w:rsidR="00CD25A9" w:rsidRDefault="00CD25A9" w:rsidP="00CD25A9">
      <w:pPr>
        <w:spacing w:after="200"/>
      </w:pPr>
      <w:r>
        <w:t>When looking at intermediate consumption</w:t>
      </w:r>
      <w:r w:rsidR="00727E6A">
        <w:t xml:space="preserve"> (IC)</w:t>
      </w:r>
      <w:r>
        <w:t xml:space="preserve">, we can observe countries like Greece, Slovakia and Slovenia, where the allocation based on BEC data provides the same results as reported by country in their import matrices. However, there is also number of countries where BEC provides very different results. For example Denmark and Ireland are two countries with lowest shares for intermediate consumption when based on BEC data, but in their import matrices this share is much higher and above average of all countries. In Romania and in less extent also in Greece BEC seems to overestimate the share of goods going to intermediate consumption and underestimate two other end-uses.  </w:t>
      </w:r>
    </w:p>
    <w:p w:rsidR="00E376A7" w:rsidRPr="00D510D9" w:rsidRDefault="00E376A7" w:rsidP="00F42F3C">
      <w:pPr>
        <w:pStyle w:val="Subtitle"/>
        <w:numPr>
          <w:ilvl w:val="0"/>
          <w:numId w:val="0"/>
        </w:numPr>
        <w:spacing w:after="120"/>
        <w:rPr>
          <w:b/>
        </w:rPr>
      </w:pPr>
      <w:r>
        <w:rPr>
          <w:b/>
        </w:rPr>
        <w:t>Graph</w:t>
      </w:r>
      <w:r w:rsidRPr="00C9049C">
        <w:rPr>
          <w:b/>
        </w:rPr>
        <w:t xml:space="preserve"> </w:t>
      </w:r>
      <w:r>
        <w:rPr>
          <w:b/>
        </w:rPr>
        <w:t>2</w:t>
      </w:r>
      <w:r w:rsidRPr="00C9049C">
        <w:rPr>
          <w:b/>
        </w:rPr>
        <w:t xml:space="preserve">: </w:t>
      </w:r>
      <w:r>
        <w:rPr>
          <w:b/>
        </w:rPr>
        <w:t>Comparison of IC based on BEC and table 1612</w:t>
      </w:r>
    </w:p>
    <w:p w:rsidR="00E376A7" w:rsidRDefault="00E376A7" w:rsidP="00F42F3C">
      <w:pPr>
        <w:spacing w:after="200"/>
        <w:jc w:val="center"/>
      </w:pPr>
      <w:r>
        <w:rPr>
          <w:noProof/>
          <w:lang w:eastAsia="en-GB"/>
        </w:rPr>
        <w:drawing>
          <wp:inline distT="0" distB="0" distL="0" distR="0" wp14:anchorId="27CF21EB" wp14:editId="5054F45C">
            <wp:extent cx="3848100" cy="2543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0768" cy="2544938"/>
                    </a:xfrm>
                    <a:prstGeom prst="rect">
                      <a:avLst/>
                    </a:prstGeom>
                    <a:noFill/>
                  </pic:spPr>
                </pic:pic>
              </a:graphicData>
            </a:graphic>
          </wp:inline>
        </w:drawing>
      </w:r>
    </w:p>
    <w:p w:rsidR="00746651" w:rsidRDefault="00746651" w:rsidP="00F42F3C">
      <w:pPr>
        <w:pStyle w:val="Subtitle"/>
        <w:numPr>
          <w:ilvl w:val="0"/>
          <w:numId w:val="0"/>
        </w:numPr>
        <w:spacing w:after="120"/>
        <w:rPr>
          <w:b/>
        </w:rPr>
      </w:pPr>
      <w:r>
        <w:rPr>
          <w:b/>
        </w:rPr>
        <w:t>Graph</w:t>
      </w:r>
      <w:r w:rsidRPr="00C9049C">
        <w:rPr>
          <w:b/>
        </w:rPr>
        <w:t xml:space="preserve"> </w:t>
      </w:r>
      <w:r w:rsidR="00991793">
        <w:rPr>
          <w:b/>
        </w:rPr>
        <w:t>3</w:t>
      </w:r>
      <w:r w:rsidRPr="00C9049C">
        <w:rPr>
          <w:b/>
        </w:rPr>
        <w:t xml:space="preserve">: </w:t>
      </w:r>
      <w:r>
        <w:rPr>
          <w:b/>
        </w:rPr>
        <w:t>Comparison of PHC based on BEC and table 1612</w:t>
      </w:r>
    </w:p>
    <w:p w:rsidR="00746651" w:rsidRDefault="00FB11A9" w:rsidP="00F42F3C">
      <w:pPr>
        <w:jc w:val="center"/>
        <w:rPr>
          <w:noProof/>
          <w:lang w:eastAsia="en-GB"/>
        </w:rPr>
      </w:pPr>
      <w:r>
        <w:rPr>
          <w:noProof/>
          <w:lang w:eastAsia="en-GB"/>
        </w:rPr>
        <w:drawing>
          <wp:inline distT="0" distB="0" distL="0" distR="0" wp14:anchorId="662F4BE8" wp14:editId="3F7FDEFE">
            <wp:extent cx="4000500" cy="259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3317" cy="2592625"/>
                    </a:xfrm>
                    <a:prstGeom prst="rect">
                      <a:avLst/>
                    </a:prstGeom>
                    <a:noFill/>
                  </pic:spPr>
                </pic:pic>
              </a:graphicData>
            </a:graphic>
          </wp:inline>
        </w:drawing>
      </w:r>
    </w:p>
    <w:p w:rsidR="00746651" w:rsidRDefault="00CB2FF9" w:rsidP="00F42F3C">
      <w:pPr>
        <w:spacing w:after="200"/>
      </w:pPr>
      <w:r>
        <w:t>F</w:t>
      </w:r>
      <w:r w:rsidR="00746651">
        <w:t xml:space="preserve">or final consumption </w:t>
      </w:r>
      <w:r>
        <w:t xml:space="preserve">Slovakia, Slovenia and the United Kingdom show the same results based on two sources. However, for majority of countries BEC data show higher rate for final use than actually reported in import matrices. Again, Denmark and Ireland show significant </w:t>
      </w:r>
      <w:r>
        <w:lastRenderedPageBreak/>
        <w:t>discrepancies between the real data and BEC. As for intermediate consumption, Romania and Greece remain exceptions where according to BEC data the share of goods attributed to final consumption should be lower than is actually used in their import matrices.</w:t>
      </w:r>
    </w:p>
    <w:p w:rsidR="00746651" w:rsidRDefault="00746651" w:rsidP="00F42F3C">
      <w:pPr>
        <w:pStyle w:val="Subtitle"/>
        <w:numPr>
          <w:ilvl w:val="0"/>
          <w:numId w:val="0"/>
        </w:numPr>
        <w:spacing w:after="120"/>
        <w:rPr>
          <w:b/>
        </w:rPr>
      </w:pPr>
      <w:r>
        <w:rPr>
          <w:b/>
        </w:rPr>
        <w:t>Graph</w:t>
      </w:r>
      <w:r w:rsidRPr="00C9049C">
        <w:rPr>
          <w:b/>
        </w:rPr>
        <w:t xml:space="preserve"> </w:t>
      </w:r>
      <w:r w:rsidR="00991793">
        <w:rPr>
          <w:b/>
        </w:rPr>
        <w:t>4</w:t>
      </w:r>
      <w:r w:rsidRPr="00C9049C">
        <w:rPr>
          <w:b/>
        </w:rPr>
        <w:t xml:space="preserve">: </w:t>
      </w:r>
      <w:r>
        <w:rPr>
          <w:b/>
        </w:rPr>
        <w:t>Comparison of GFCF based on BEC and table 1612</w:t>
      </w:r>
    </w:p>
    <w:p w:rsidR="00746651" w:rsidRDefault="00612F3C" w:rsidP="00F42F3C">
      <w:pPr>
        <w:spacing w:after="200"/>
        <w:jc w:val="center"/>
      </w:pPr>
      <w:r>
        <w:rPr>
          <w:noProof/>
          <w:lang w:eastAsia="en-GB"/>
        </w:rPr>
        <w:drawing>
          <wp:inline distT="0" distB="0" distL="0" distR="0" wp14:anchorId="279A9CB4" wp14:editId="717A647A">
            <wp:extent cx="3971925" cy="2581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6506" cy="2584252"/>
                    </a:xfrm>
                    <a:prstGeom prst="rect">
                      <a:avLst/>
                    </a:prstGeom>
                    <a:noFill/>
                  </pic:spPr>
                </pic:pic>
              </a:graphicData>
            </a:graphic>
          </wp:inline>
        </w:drawing>
      </w:r>
    </w:p>
    <w:p w:rsidR="00B42DA8" w:rsidRDefault="00E376A7" w:rsidP="00F42F3C">
      <w:pPr>
        <w:spacing w:after="200"/>
      </w:pPr>
      <w:r>
        <w:t xml:space="preserve">In case of GFCF, the BEC would allocate higher share to capital goods than actually used by countries. There are only two exceptions: Sweden, where the share in BEC is as in the import matrix, and Romania, the only country where BEC is underestimating capital goods. For all countries we can assume that they correct data and allocate part of capital goods to intermediate goods. </w:t>
      </w:r>
    </w:p>
    <w:p w:rsidR="00CD25A9" w:rsidRPr="00D15614" w:rsidRDefault="00CD25A9" w:rsidP="00F42F3C">
      <w:pPr>
        <w:spacing w:after="200"/>
      </w:pPr>
    </w:p>
    <w:p w:rsidR="008D3DC9" w:rsidRDefault="008D3DC9" w:rsidP="00F42F3C">
      <w:pPr>
        <w:pStyle w:val="Heading2"/>
        <w:spacing w:after="240"/>
        <w:ind w:left="714" w:hanging="357"/>
      </w:pPr>
      <w:r>
        <w:t>C</w:t>
      </w:r>
      <w:r w:rsidRPr="008D3DC9">
        <w:t xml:space="preserve">omparison of </w:t>
      </w:r>
      <w:r>
        <w:t>results based on BEC to the prop</w:t>
      </w:r>
      <w:r w:rsidRPr="008D3DC9">
        <w:t xml:space="preserve">ortionality assumption and the real data </w:t>
      </w:r>
      <w:r>
        <w:t xml:space="preserve">using </w:t>
      </w:r>
      <w:r w:rsidR="008F6E90">
        <w:t>WAPE</w:t>
      </w:r>
    </w:p>
    <w:p w:rsidR="00F42F3C" w:rsidRDefault="00F42F3C" w:rsidP="00F42F3C">
      <w:r>
        <w:t xml:space="preserve">In the current consolidation process Eurostat applies the proportionality assumption to obtain import matrices for countries </w:t>
      </w:r>
      <w:r w:rsidR="00E527CB">
        <w:t>that</w:t>
      </w:r>
      <w:r>
        <w:t xml:space="preserve"> have not transmitted it to Eurostat. It means that the import </w:t>
      </w:r>
      <w:r w:rsidR="008F6E90">
        <w:t xml:space="preserve">vector is allocated using proportions from the use table at producers' prices to obtain an import </w:t>
      </w:r>
      <w:r w:rsidR="00E527CB">
        <w:t>matrix</w:t>
      </w:r>
      <w:r w:rsidR="008F6E90">
        <w:t xml:space="preserve">. Within this exercise we wanted to test who far are these results from the real data, but also compare it to results obtained when using BEC data. For this purposes WAPE (Weighted Average Percentage Error) was used. </w:t>
      </w:r>
      <w:r w:rsidR="008F6E90" w:rsidRPr="00E7459A">
        <w:t>This indicator weights each percentage deviation of the elements of a matrix from the true value by the relative size of the latter in the overall sum of the elements of the true matrix. This indicator considers errors in absolute value in order to avoid potential compensations of deviations due to different signs.</w:t>
      </w:r>
    </w:p>
    <w:p w:rsidR="008D3DC9" w:rsidRDefault="00F42F3C" w:rsidP="008F6E90">
      <w:pPr>
        <w:jc w:val="center"/>
      </w:pPr>
      <w:r w:rsidRPr="00EA3CF8">
        <w:rPr>
          <w:noProof/>
          <w:sz w:val="16"/>
          <w:szCs w:val="16"/>
          <w:lang w:eastAsia="en-GB"/>
        </w:rPr>
        <w:drawing>
          <wp:inline distT="0" distB="0" distL="0" distR="0" wp14:anchorId="7F6D9A45" wp14:editId="2AC4564F">
            <wp:extent cx="3114675" cy="962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15124" cy="962164"/>
                    </a:xfrm>
                    <a:prstGeom prst="rect">
                      <a:avLst/>
                    </a:prstGeom>
                  </pic:spPr>
                </pic:pic>
              </a:graphicData>
            </a:graphic>
          </wp:inline>
        </w:drawing>
      </w:r>
    </w:p>
    <w:p w:rsidR="00552E4E" w:rsidRDefault="00552E4E" w:rsidP="00893ED7">
      <w:pPr>
        <w:pStyle w:val="Subtitle"/>
        <w:numPr>
          <w:ilvl w:val="0"/>
          <w:numId w:val="0"/>
        </w:numPr>
        <w:rPr>
          <w:rFonts w:ascii="Times New Roman" w:eastAsia="Times New Roman" w:hAnsi="Times New Roman" w:cs="Times New Roman"/>
          <w:i w:val="0"/>
          <w:iCs w:val="0"/>
          <w:color w:val="auto"/>
          <w:spacing w:val="0"/>
          <w:szCs w:val="20"/>
        </w:rPr>
      </w:pPr>
      <w:r>
        <w:rPr>
          <w:rFonts w:ascii="Times New Roman" w:eastAsia="Times New Roman" w:hAnsi="Times New Roman" w:cs="Times New Roman"/>
          <w:i w:val="0"/>
          <w:iCs w:val="0"/>
          <w:color w:val="auto"/>
          <w:spacing w:val="0"/>
          <w:szCs w:val="20"/>
        </w:rPr>
        <w:t>The two table</w:t>
      </w:r>
      <w:r w:rsidR="009E0B98">
        <w:rPr>
          <w:rFonts w:ascii="Times New Roman" w:eastAsia="Times New Roman" w:hAnsi="Times New Roman" w:cs="Times New Roman"/>
          <w:i w:val="0"/>
          <w:iCs w:val="0"/>
          <w:color w:val="auto"/>
          <w:spacing w:val="0"/>
          <w:szCs w:val="20"/>
        </w:rPr>
        <w:t>s</w:t>
      </w:r>
      <w:r>
        <w:rPr>
          <w:rFonts w:ascii="Times New Roman" w:eastAsia="Times New Roman" w:hAnsi="Times New Roman" w:cs="Times New Roman"/>
          <w:i w:val="0"/>
          <w:iCs w:val="0"/>
          <w:color w:val="auto"/>
          <w:spacing w:val="0"/>
          <w:szCs w:val="20"/>
        </w:rPr>
        <w:t xml:space="preserve"> below show</w:t>
      </w:r>
      <w:r w:rsidRPr="00552E4E">
        <w:rPr>
          <w:rFonts w:ascii="Times New Roman" w:eastAsia="Times New Roman" w:hAnsi="Times New Roman" w:cs="Times New Roman"/>
          <w:i w:val="0"/>
          <w:iCs w:val="0"/>
          <w:color w:val="auto"/>
          <w:spacing w:val="0"/>
          <w:szCs w:val="20"/>
        </w:rPr>
        <w:t xml:space="preserve"> results </w:t>
      </w:r>
      <w:r>
        <w:rPr>
          <w:rFonts w:ascii="Times New Roman" w:eastAsia="Times New Roman" w:hAnsi="Times New Roman" w:cs="Times New Roman"/>
          <w:i w:val="0"/>
          <w:iCs w:val="0"/>
          <w:color w:val="auto"/>
          <w:spacing w:val="0"/>
          <w:szCs w:val="20"/>
        </w:rPr>
        <w:t xml:space="preserve">for WAPE. In the first one structure from the import matrix is compared with the one from use table. </w:t>
      </w:r>
      <w:r w:rsidR="00E7459A">
        <w:rPr>
          <w:rFonts w:ascii="Times New Roman" w:eastAsia="Times New Roman" w:hAnsi="Times New Roman" w:cs="Times New Roman"/>
          <w:i w:val="0"/>
          <w:iCs w:val="0"/>
          <w:color w:val="auto"/>
          <w:spacing w:val="0"/>
          <w:szCs w:val="20"/>
        </w:rPr>
        <w:t xml:space="preserve">As BEC data cover mainly goods, WAPE calculations exclude services part. </w:t>
      </w:r>
      <w:r>
        <w:rPr>
          <w:rFonts w:ascii="Times New Roman" w:eastAsia="Times New Roman" w:hAnsi="Times New Roman" w:cs="Times New Roman"/>
          <w:i w:val="0"/>
          <w:iCs w:val="0"/>
          <w:color w:val="auto"/>
          <w:spacing w:val="0"/>
          <w:szCs w:val="20"/>
        </w:rPr>
        <w:t xml:space="preserve">Results are presented for each member states, except for </w:t>
      </w:r>
      <w:r>
        <w:rPr>
          <w:rFonts w:ascii="Times New Roman" w:eastAsia="Times New Roman" w:hAnsi="Times New Roman" w:cs="Times New Roman"/>
          <w:i w:val="0"/>
          <w:iCs w:val="0"/>
          <w:color w:val="auto"/>
          <w:spacing w:val="0"/>
          <w:szCs w:val="20"/>
        </w:rPr>
        <w:lastRenderedPageBreak/>
        <w:t xml:space="preserve">Ireland where due to confidentiality reasons full calculations were not possible. </w:t>
      </w:r>
      <w:r w:rsidR="00334775">
        <w:rPr>
          <w:rFonts w:ascii="Times New Roman" w:eastAsia="Times New Roman" w:hAnsi="Times New Roman" w:cs="Times New Roman"/>
          <w:i w:val="0"/>
          <w:iCs w:val="0"/>
          <w:color w:val="auto"/>
          <w:spacing w:val="0"/>
          <w:szCs w:val="20"/>
        </w:rPr>
        <w:t xml:space="preserve">In case of Slovakia, both tables have quite similar structures and the error rate is very small for all components. The highest error rates are for Romania, around 14% of error for intermediate consumption and private consumption. </w:t>
      </w:r>
      <w:r w:rsidR="000518D2">
        <w:rPr>
          <w:rFonts w:ascii="Times New Roman" w:eastAsia="Times New Roman" w:hAnsi="Times New Roman" w:cs="Times New Roman"/>
          <w:i w:val="0"/>
          <w:iCs w:val="0"/>
          <w:color w:val="auto"/>
          <w:spacing w:val="0"/>
          <w:szCs w:val="20"/>
        </w:rPr>
        <w:t xml:space="preserve">When looking error rates at product level, the highest errors are for CPA 02 </w:t>
      </w:r>
      <w:r w:rsidR="000518D2" w:rsidRPr="000518D2">
        <w:rPr>
          <w:rFonts w:ascii="Times New Roman" w:eastAsia="Times New Roman" w:hAnsi="Times New Roman" w:cs="Times New Roman"/>
          <w:i w:val="0"/>
          <w:iCs w:val="0"/>
          <w:color w:val="auto"/>
          <w:spacing w:val="0"/>
          <w:szCs w:val="20"/>
        </w:rPr>
        <w:t>Products of forestry, logging and related services</w:t>
      </w:r>
      <w:r w:rsidR="000518D2">
        <w:rPr>
          <w:rFonts w:ascii="Times New Roman" w:eastAsia="Times New Roman" w:hAnsi="Times New Roman" w:cs="Times New Roman"/>
          <w:i w:val="0"/>
          <w:iCs w:val="0"/>
          <w:color w:val="auto"/>
          <w:spacing w:val="0"/>
          <w:szCs w:val="20"/>
        </w:rPr>
        <w:t xml:space="preserve"> (2.7%), CPA 03 </w:t>
      </w:r>
      <w:r w:rsidR="000518D2" w:rsidRPr="000518D2">
        <w:rPr>
          <w:rFonts w:ascii="Times New Roman" w:eastAsia="Times New Roman" w:hAnsi="Times New Roman" w:cs="Times New Roman"/>
          <w:i w:val="0"/>
          <w:iCs w:val="0"/>
          <w:color w:val="auto"/>
          <w:spacing w:val="0"/>
          <w:szCs w:val="20"/>
        </w:rPr>
        <w:t>Fish and other fishing products; aquaculture products; support services to fishing</w:t>
      </w:r>
      <w:r w:rsidR="000518D2">
        <w:rPr>
          <w:rFonts w:ascii="Times New Roman" w:eastAsia="Times New Roman" w:hAnsi="Times New Roman" w:cs="Times New Roman"/>
          <w:i w:val="0"/>
          <w:iCs w:val="0"/>
          <w:color w:val="auto"/>
          <w:spacing w:val="0"/>
          <w:szCs w:val="20"/>
        </w:rPr>
        <w:t xml:space="preserve"> (2.5%) and for CPA </w:t>
      </w:r>
      <w:r w:rsidR="000518D2" w:rsidRPr="000518D2">
        <w:rPr>
          <w:rFonts w:ascii="Times New Roman" w:eastAsia="Times New Roman" w:hAnsi="Times New Roman" w:cs="Times New Roman"/>
          <w:i w:val="0"/>
          <w:iCs w:val="0"/>
          <w:color w:val="auto"/>
          <w:spacing w:val="0"/>
          <w:szCs w:val="20"/>
        </w:rPr>
        <w:t>31</w:t>
      </w:r>
      <w:r w:rsidR="000518D2">
        <w:rPr>
          <w:rFonts w:ascii="Times New Roman" w:eastAsia="Times New Roman" w:hAnsi="Times New Roman" w:cs="Times New Roman"/>
          <w:i w:val="0"/>
          <w:iCs w:val="0"/>
          <w:color w:val="auto"/>
          <w:spacing w:val="0"/>
          <w:szCs w:val="20"/>
        </w:rPr>
        <w:t>_</w:t>
      </w:r>
      <w:r w:rsidR="000518D2" w:rsidRPr="000518D2">
        <w:rPr>
          <w:rFonts w:ascii="Times New Roman" w:eastAsia="Times New Roman" w:hAnsi="Times New Roman" w:cs="Times New Roman"/>
          <w:i w:val="0"/>
          <w:iCs w:val="0"/>
          <w:color w:val="auto"/>
          <w:spacing w:val="0"/>
          <w:szCs w:val="20"/>
        </w:rPr>
        <w:t>32</w:t>
      </w:r>
      <w:r w:rsidR="000518D2">
        <w:rPr>
          <w:rFonts w:ascii="Times New Roman" w:eastAsia="Times New Roman" w:hAnsi="Times New Roman" w:cs="Times New Roman"/>
          <w:i w:val="0"/>
          <w:iCs w:val="0"/>
          <w:color w:val="auto"/>
          <w:spacing w:val="0"/>
          <w:szCs w:val="20"/>
        </w:rPr>
        <w:t xml:space="preserve"> </w:t>
      </w:r>
      <w:r w:rsidR="000518D2" w:rsidRPr="000518D2">
        <w:t xml:space="preserve"> </w:t>
      </w:r>
      <w:r w:rsidR="000518D2" w:rsidRPr="000518D2">
        <w:rPr>
          <w:rFonts w:ascii="Times New Roman" w:eastAsia="Times New Roman" w:hAnsi="Times New Roman" w:cs="Times New Roman"/>
          <w:i w:val="0"/>
          <w:iCs w:val="0"/>
          <w:color w:val="auto"/>
          <w:spacing w:val="0"/>
          <w:szCs w:val="20"/>
        </w:rPr>
        <w:t>Furniture; other manufactured goods</w:t>
      </w:r>
      <w:r w:rsidR="000518D2">
        <w:rPr>
          <w:rFonts w:ascii="Times New Roman" w:eastAsia="Times New Roman" w:hAnsi="Times New Roman" w:cs="Times New Roman"/>
          <w:i w:val="0"/>
          <w:iCs w:val="0"/>
          <w:color w:val="auto"/>
          <w:spacing w:val="0"/>
          <w:szCs w:val="20"/>
        </w:rPr>
        <w:t xml:space="preserve"> (1.5%). </w:t>
      </w:r>
      <w:r w:rsidR="00B9739F">
        <w:rPr>
          <w:rFonts w:ascii="Times New Roman" w:eastAsia="Times New Roman" w:hAnsi="Times New Roman" w:cs="Times New Roman"/>
          <w:i w:val="0"/>
          <w:iCs w:val="0"/>
          <w:color w:val="auto"/>
          <w:spacing w:val="0"/>
          <w:szCs w:val="20"/>
        </w:rPr>
        <w:t>Als</w:t>
      </w:r>
      <w:r w:rsidR="000518D2">
        <w:rPr>
          <w:rFonts w:ascii="Times New Roman" w:eastAsia="Times New Roman" w:hAnsi="Times New Roman" w:cs="Times New Roman"/>
          <w:i w:val="0"/>
          <w:iCs w:val="0"/>
          <w:color w:val="auto"/>
          <w:spacing w:val="0"/>
          <w:szCs w:val="20"/>
        </w:rPr>
        <w:t xml:space="preserve">o Italy and Denmark show </w:t>
      </w:r>
      <w:r w:rsidR="00B9739F">
        <w:rPr>
          <w:rFonts w:ascii="Times New Roman" w:eastAsia="Times New Roman" w:hAnsi="Times New Roman" w:cs="Times New Roman"/>
          <w:i w:val="0"/>
          <w:iCs w:val="0"/>
          <w:color w:val="auto"/>
          <w:spacing w:val="0"/>
          <w:szCs w:val="20"/>
        </w:rPr>
        <w:t>errors</w:t>
      </w:r>
      <w:r w:rsidR="000518D2">
        <w:rPr>
          <w:rFonts w:ascii="Times New Roman" w:eastAsia="Times New Roman" w:hAnsi="Times New Roman" w:cs="Times New Roman"/>
          <w:i w:val="0"/>
          <w:iCs w:val="0"/>
          <w:color w:val="auto"/>
          <w:spacing w:val="0"/>
          <w:szCs w:val="20"/>
        </w:rPr>
        <w:t xml:space="preserve"> rates above 10% for intermediate consumption and private consumption</w:t>
      </w:r>
      <w:r w:rsidR="00B9739F">
        <w:rPr>
          <w:rFonts w:ascii="Times New Roman" w:eastAsia="Times New Roman" w:hAnsi="Times New Roman" w:cs="Times New Roman"/>
          <w:i w:val="0"/>
          <w:iCs w:val="0"/>
          <w:color w:val="auto"/>
          <w:spacing w:val="0"/>
          <w:szCs w:val="20"/>
        </w:rPr>
        <w:t xml:space="preserve">. </w:t>
      </w:r>
      <w:r w:rsidR="004A41D3">
        <w:rPr>
          <w:rFonts w:ascii="Times New Roman" w:eastAsia="Times New Roman" w:hAnsi="Times New Roman" w:cs="Times New Roman"/>
          <w:i w:val="0"/>
          <w:iCs w:val="0"/>
          <w:color w:val="auto"/>
          <w:spacing w:val="0"/>
          <w:szCs w:val="20"/>
        </w:rPr>
        <w:t xml:space="preserve">In Italy the products with higher error rates are CPA 02 </w:t>
      </w:r>
      <w:r w:rsidR="004A41D3" w:rsidRPr="000518D2">
        <w:rPr>
          <w:rFonts w:ascii="Times New Roman" w:eastAsia="Times New Roman" w:hAnsi="Times New Roman" w:cs="Times New Roman"/>
          <w:i w:val="0"/>
          <w:iCs w:val="0"/>
          <w:color w:val="auto"/>
          <w:spacing w:val="0"/>
          <w:szCs w:val="20"/>
        </w:rPr>
        <w:t>Products of forestry, logging and related services</w:t>
      </w:r>
      <w:r w:rsidR="004A41D3">
        <w:rPr>
          <w:rFonts w:ascii="Times New Roman" w:eastAsia="Times New Roman" w:hAnsi="Times New Roman" w:cs="Times New Roman"/>
          <w:i w:val="0"/>
          <w:iCs w:val="0"/>
          <w:color w:val="auto"/>
          <w:spacing w:val="0"/>
          <w:szCs w:val="20"/>
        </w:rPr>
        <w:t xml:space="preserve"> (2.0%), CPA 19 </w:t>
      </w:r>
      <w:r w:rsidR="004A41D3" w:rsidRPr="004A41D3">
        <w:rPr>
          <w:rFonts w:ascii="Times New Roman" w:eastAsia="Times New Roman" w:hAnsi="Times New Roman" w:cs="Times New Roman"/>
          <w:i w:val="0"/>
          <w:iCs w:val="0"/>
          <w:color w:val="auto"/>
          <w:spacing w:val="0"/>
          <w:szCs w:val="20"/>
        </w:rPr>
        <w:t>Coke and refined petroleum products</w:t>
      </w:r>
      <w:r w:rsidR="004A41D3">
        <w:rPr>
          <w:rFonts w:ascii="Times New Roman" w:eastAsia="Times New Roman" w:hAnsi="Times New Roman" w:cs="Times New Roman"/>
          <w:i w:val="0"/>
          <w:iCs w:val="0"/>
          <w:color w:val="auto"/>
          <w:spacing w:val="0"/>
          <w:szCs w:val="20"/>
        </w:rPr>
        <w:t xml:space="preserve"> (1.2%) and CPA 10_12 </w:t>
      </w:r>
      <w:r w:rsidR="004A41D3" w:rsidRPr="004A41D3">
        <w:rPr>
          <w:rFonts w:ascii="Times New Roman" w:eastAsia="Times New Roman" w:hAnsi="Times New Roman" w:cs="Times New Roman"/>
          <w:i w:val="0"/>
          <w:iCs w:val="0"/>
          <w:color w:val="auto"/>
          <w:spacing w:val="0"/>
          <w:szCs w:val="20"/>
        </w:rPr>
        <w:t>Food products, beverages and tobacco products</w:t>
      </w:r>
      <w:r w:rsidR="004A41D3">
        <w:rPr>
          <w:rFonts w:ascii="Times New Roman" w:eastAsia="Times New Roman" w:hAnsi="Times New Roman" w:cs="Times New Roman"/>
          <w:i w:val="0"/>
          <w:iCs w:val="0"/>
          <w:color w:val="auto"/>
          <w:spacing w:val="0"/>
          <w:szCs w:val="20"/>
        </w:rPr>
        <w:t xml:space="preserve"> (1.1%) and in Denmark CPA 18 </w:t>
      </w:r>
      <w:r w:rsidR="004A41D3" w:rsidRPr="004A41D3">
        <w:rPr>
          <w:rFonts w:ascii="Times New Roman" w:eastAsia="Times New Roman" w:hAnsi="Times New Roman" w:cs="Times New Roman"/>
          <w:i w:val="0"/>
          <w:iCs w:val="0"/>
          <w:color w:val="auto"/>
          <w:spacing w:val="0"/>
          <w:szCs w:val="20"/>
        </w:rPr>
        <w:t>Printing and recording services</w:t>
      </w:r>
      <w:r w:rsidR="004A41D3">
        <w:rPr>
          <w:rFonts w:ascii="Times New Roman" w:eastAsia="Times New Roman" w:hAnsi="Times New Roman" w:cs="Times New Roman"/>
          <w:i w:val="0"/>
          <w:iCs w:val="0"/>
          <w:color w:val="auto"/>
          <w:spacing w:val="0"/>
          <w:szCs w:val="20"/>
        </w:rPr>
        <w:t xml:space="preserve"> (2.3%) and CPA 28 </w:t>
      </w:r>
      <w:r w:rsidR="004A41D3" w:rsidRPr="004A41D3">
        <w:rPr>
          <w:rFonts w:ascii="Times New Roman" w:eastAsia="Times New Roman" w:hAnsi="Times New Roman" w:cs="Times New Roman"/>
          <w:i w:val="0"/>
          <w:iCs w:val="0"/>
          <w:color w:val="auto"/>
          <w:spacing w:val="0"/>
          <w:szCs w:val="20"/>
        </w:rPr>
        <w:t xml:space="preserve">Machinery and equipment </w:t>
      </w:r>
      <w:proofErr w:type="spellStart"/>
      <w:r w:rsidR="004A41D3" w:rsidRPr="004A41D3">
        <w:rPr>
          <w:rFonts w:ascii="Times New Roman" w:eastAsia="Times New Roman" w:hAnsi="Times New Roman" w:cs="Times New Roman"/>
          <w:i w:val="0"/>
          <w:iCs w:val="0"/>
          <w:color w:val="auto"/>
          <w:spacing w:val="0"/>
          <w:szCs w:val="20"/>
        </w:rPr>
        <w:t>n.e.c</w:t>
      </w:r>
      <w:proofErr w:type="spellEnd"/>
      <w:r w:rsidR="004A41D3" w:rsidRPr="004A41D3">
        <w:rPr>
          <w:rFonts w:ascii="Times New Roman" w:eastAsia="Times New Roman" w:hAnsi="Times New Roman" w:cs="Times New Roman"/>
          <w:i w:val="0"/>
          <w:iCs w:val="0"/>
          <w:color w:val="auto"/>
          <w:spacing w:val="0"/>
          <w:szCs w:val="20"/>
        </w:rPr>
        <w:t>.</w:t>
      </w:r>
      <w:r w:rsidR="004A41D3">
        <w:rPr>
          <w:rFonts w:ascii="Times New Roman" w:eastAsia="Times New Roman" w:hAnsi="Times New Roman" w:cs="Times New Roman"/>
          <w:i w:val="0"/>
          <w:iCs w:val="0"/>
          <w:color w:val="auto"/>
          <w:spacing w:val="0"/>
          <w:szCs w:val="20"/>
        </w:rPr>
        <w:t xml:space="preserve"> (1.6%). </w:t>
      </w:r>
    </w:p>
    <w:p w:rsidR="00AD34A5" w:rsidRDefault="00AD34A5" w:rsidP="00AD34A5">
      <w:pPr>
        <w:pStyle w:val="Subtitle"/>
        <w:numPr>
          <w:ilvl w:val="0"/>
          <w:numId w:val="0"/>
        </w:numPr>
        <w:spacing w:after="120"/>
        <w:rPr>
          <w:b/>
        </w:rPr>
      </w:pPr>
      <w:r w:rsidRPr="00C9049C">
        <w:rPr>
          <w:b/>
        </w:rPr>
        <w:t xml:space="preserve">Table </w:t>
      </w:r>
      <w:r>
        <w:rPr>
          <w:b/>
        </w:rPr>
        <w:t>7</w:t>
      </w:r>
      <w:r w:rsidRPr="00C9049C">
        <w:rPr>
          <w:b/>
        </w:rPr>
        <w:t xml:space="preserve">: </w:t>
      </w:r>
      <w:r w:rsidR="00C86C6E">
        <w:rPr>
          <w:b/>
        </w:rPr>
        <w:t xml:space="preserve">WAPE assessment: </w:t>
      </w:r>
      <w:r>
        <w:rPr>
          <w:b/>
        </w:rPr>
        <w:t>Import matrix vs use table at purchases prices, 2010</w:t>
      </w:r>
    </w:p>
    <w:tbl>
      <w:tblPr>
        <w:tblW w:w="4800" w:type="dxa"/>
        <w:jc w:val="center"/>
        <w:tblInd w:w="93" w:type="dxa"/>
        <w:tblLook w:val="04A0" w:firstRow="1" w:lastRow="0" w:firstColumn="1" w:lastColumn="0" w:noHBand="0" w:noVBand="1"/>
      </w:tblPr>
      <w:tblGrid>
        <w:gridCol w:w="960"/>
        <w:gridCol w:w="960"/>
        <w:gridCol w:w="960"/>
        <w:gridCol w:w="960"/>
        <w:gridCol w:w="960"/>
      </w:tblGrid>
      <w:tr w:rsidR="00AD34A5" w:rsidRPr="00AD34A5" w:rsidTr="00CD25A9">
        <w:trPr>
          <w:trHeight w:val="315"/>
          <w:jc w:val="center"/>
        </w:trPr>
        <w:tc>
          <w:tcPr>
            <w:tcW w:w="960" w:type="dxa"/>
            <w:tcBorders>
              <w:top w:val="single" w:sz="4" w:space="0" w:color="000000"/>
              <w:left w:val="single" w:sz="4" w:space="0" w:color="000000"/>
              <w:bottom w:val="double" w:sz="6" w:space="0" w:color="auto"/>
              <w:right w:val="single" w:sz="4" w:space="0" w:color="000000"/>
            </w:tcBorders>
            <w:shd w:val="clear" w:color="auto" w:fill="auto"/>
            <w:hideMark/>
          </w:tcPr>
          <w:p w:rsidR="00AD34A5" w:rsidRPr="00AD34A5" w:rsidRDefault="00AD34A5" w:rsidP="00AD34A5">
            <w:pPr>
              <w:spacing w:after="0"/>
              <w:jc w:val="center"/>
              <w:rPr>
                <w:rFonts w:ascii="Arial" w:hAnsi="Arial" w:cs="Arial"/>
                <w:b/>
                <w:bCs/>
                <w:sz w:val="20"/>
                <w:lang w:eastAsia="en-GB"/>
              </w:rPr>
            </w:pPr>
            <w:r w:rsidRPr="00AD34A5">
              <w:rPr>
                <w:rFonts w:ascii="Arial" w:hAnsi="Arial" w:cs="Arial"/>
                <w:b/>
                <w:bCs/>
                <w:sz w:val="20"/>
                <w:lang w:eastAsia="en-GB"/>
              </w:rPr>
              <w:t> </w:t>
            </w:r>
          </w:p>
        </w:tc>
        <w:tc>
          <w:tcPr>
            <w:tcW w:w="960" w:type="dxa"/>
            <w:tcBorders>
              <w:top w:val="single" w:sz="4" w:space="0" w:color="000000"/>
              <w:left w:val="nil"/>
              <w:bottom w:val="double" w:sz="6" w:space="0" w:color="auto"/>
              <w:right w:val="single" w:sz="4" w:space="0" w:color="000000"/>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IC</w:t>
            </w:r>
          </w:p>
        </w:tc>
        <w:tc>
          <w:tcPr>
            <w:tcW w:w="960" w:type="dxa"/>
            <w:tcBorders>
              <w:top w:val="single" w:sz="4" w:space="0" w:color="000000"/>
              <w:left w:val="nil"/>
              <w:bottom w:val="double" w:sz="6" w:space="0" w:color="auto"/>
              <w:right w:val="single" w:sz="4" w:space="0" w:color="000000"/>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PHC</w:t>
            </w:r>
          </w:p>
        </w:tc>
        <w:tc>
          <w:tcPr>
            <w:tcW w:w="960" w:type="dxa"/>
            <w:tcBorders>
              <w:top w:val="single" w:sz="4" w:space="0" w:color="000000"/>
              <w:left w:val="nil"/>
              <w:bottom w:val="double" w:sz="6" w:space="0" w:color="auto"/>
              <w:right w:val="nil"/>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GFCF</w:t>
            </w:r>
          </w:p>
        </w:tc>
        <w:tc>
          <w:tcPr>
            <w:tcW w:w="960" w:type="dxa"/>
            <w:tcBorders>
              <w:top w:val="single" w:sz="4" w:space="0" w:color="000000"/>
              <w:left w:val="single" w:sz="4" w:space="0" w:color="000000"/>
              <w:bottom w:val="double" w:sz="6" w:space="0" w:color="auto"/>
              <w:right w:val="single" w:sz="4" w:space="0" w:color="auto"/>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TOTAL</w:t>
            </w:r>
          </w:p>
        </w:tc>
      </w:tr>
      <w:tr w:rsidR="00AD34A5" w:rsidRPr="00AD34A5" w:rsidTr="00AD34A5">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CZ</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4.3%</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0.3%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8.7%</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DE</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21.2%</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DK</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24.4%</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EE</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19.0%</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FR</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7.7%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7.4%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16.1%</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EL</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0.5%</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9.5%</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HU</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7.3%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6.7%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15.1%</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IT</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12.1%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27.5%</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LT</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2.5%</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23.2%</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NL</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20.2%</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RO</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14.3%</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13.9%</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3.3%</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31.5%</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SK</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1.9%</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0.5%</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4.5%</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SI</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6.1%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6.0%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13.9%</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SE</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6.9%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7.0%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15.7%</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UK</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9.3%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20.9%</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color w:val="1122BF"/>
                <w:sz w:val="20"/>
                <w:lang w:eastAsia="en-GB"/>
              </w:rPr>
            </w:pPr>
            <w:r w:rsidRPr="00AD34A5">
              <w:rPr>
                <w:rFonts w:ascii="Arial" w:hAnsi="Arial" w:cs="Arial"/>
                <w:b/>
                <w:bCs/>
                <w:color w:val="1122BF"/>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right"/>
              <w:rPr>
                <w:rFonts w:ascii="Arial" w:hAnsi="Arial" w:cs="Arial"/>
                <w:b/>
                <w:bCs/>
                <w:color w:val="00B050"/>
                <w:sz w:val="20"/>
                <w:lang w:eastAsia="en-GB"/>
              </w:rPr>
            </w:pPr>
            <w:r w:rsidRPr="00AD34A5">
              <w:rPr>
                <w:rFonts w:ascii="Arial" w:hAnsi="Arial" w:cs="Arial"/>
                <w:b/>
                <w:bCs/>
                <w:color w:val="00B050"/>
                <w:sz w:val="20"/>
                <w:lang w:eastAsia="en-GB"/>
              </w:rPr>
              <w:t>MIN</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0.3%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4.5%</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right"/>
              <w:rPr>
                <w:rFonts w:ascii="Arial" w:hAnsi="Arial" w:cs="Arial"/>
                <w:b/>
                <w:bCs/>
                <w:color w:val="FF0000"/>
                <w:sz w:val="20"/>
                <w:lang w:eastAsia="en-GB"/>
              </w:rPr>
            </w:pPr>
            <w:r w:rsidRPr="00AD34A5">
              <w:rPr>
                <w:rFonts w:ascii="Arial" w:hAnsi="Arial" w:cs="Arial"/>
                <w:b/>
                <w:bCs/>
                <w:color w:val="FF0000"/>
                <w:sz w:val="20"/>
                <w:lang w:eastAsia="en-GB"/>
              </w:rPr>
              <w:t>MAX</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31.5%</w:t>
            </w:r>
          </w:p>
        </w:tc>
      </w:tr>
    </w:tbl>
    <w:p w:rsidR="008D3DC9" w:rsidRDefault="008D3DC9" w:rsidP="00F42F3C"/>
    <w:p w:rsidR="00B711D3" w:rsidRDefault="00280A93" w:rsidP="00F42F3C">
      <w:pPr>
        <w:rPr>
          <w:iCs/>
        </w:rPr>
      </w:pPr>
      <w:r>
        <w:t xml:space="preserve">Table below shows results for analysis were BEC data structure was compared to the one from import matrices transmitted to Eurostat. In this assessment Germany has the lowest error rates, but they are still relatively high and close to maximum errors presented in comparison above.  </w:t>
      </w:r>
      <w:r w:rsidR="00B711D3">
        <w:t>Product groups with higher errors are</w:t>
      </w:r>
      <w:r w:rsidR="00B711D3" w:rsidRPr="009963F6">
        <w:t xml:space="preserve"> </w:t>
      </w:r>
      <w:r w:rsidR="00B711D3" w:rsidRPr="009963F6">
        <w:rPr>
          <w:iCs/>
        </w:rPr>
        <w:t>for</w:t>
      </w:r>
      <w:r w:rsidR="00B711D3">
        <w:rPr>
          <w:i/>
          <w:iCs/>
        </w:rPr>
        <w:t xml:space="preserve"> </w:t>
      </w:r>
      <w:r w:rsidR="00B711D3" w:rsidRPr="009963F6">
        <w:rPr>
          <w:iCs/>
        </w:rPr>
        <w:t>CPA 02</w:t>
      </w:r>
      <w:r w:rsidR="00B711D3">
        <w:rPr>
          <w:i/>
          <w:iCs/>
        </w:rPr>
        <w:t xml:space="preserve"> </w:t>
      </w:r>
      <w:r w:rsidR="00B711D3" w:rsidRPr="000518D2">
        <w:t>Products of forestry, logging and related services</w:t>
      </w:r>
      <w:r w:rsidR="00B711D3">
        <w:t xml:space="preserve"> (1.1%), </w:t>
      </w:r>
      <w:r w:rsidR="00B711D3" w:rsidRPr="009963F6">
        <w:rPr>
          <w:iCs/>
        </w:rPr>
        <w:t>CPA 03</w:t>
      </w:r>
      <w:r w:rsidR="00B711D3">
        <w:rPr>
          <w:i/>
          <w:iCs/>
        </w:rPr>
        <w:t xml:space="preserve"> </w:t>
      </w:r>
      <w:r w:rsidR="00B711D3" w:rsidRPr="000518D2">
        <w:t>Fish and other fishing products; aquaculture products; support services to fishing</w:t>
      </w:r>
      <w:r w:rsidR="00B711D3">
        <w:rPr>
          <w:i/>
          <w:iCs/>
        </w:rPr>
        <w:t xml:space="preserve"> </w:t>
      </w:r>
      <w:r w:rsidR="00B711D3" w:rsidRPr="00B711D3">
        <w:rPr>
          <w:iCs/>
        </w:rPr>
        <w:t>(1.9%)</w:t>
      </w:r>
      <w:r w:rsidR="00B711D3">
        <w:rPr>
          <w:iCs/>
        </w:rPr>
        <w:t xml:space="preserve"> and </w:t>
      </w:r>
      <w:r w:rsidR="00B711D3" w:rsidRPr="00B711D3">
        <w:rPr>
          <w:iCs/>
        </w:rPr>
        <w:t>CPA 19</w:t>
      </w:r>
      <w:r w:rsidR="00B711D3">
        <w:rPr>
          <w:i/>
          <w:iCs/>
        </w:rPr>
        <w:t xml:space="preserve"> </w:t>
      </w:r>
      <w:r w:rsidR="00B711D3" w:rsidRPr="004A41D3">
        <w:t>Coke and refined petroleum produ</w:t>
      </w:r>
      <w:r w:rsidR="00B711D3" w:rsidRPr="00B711D3">
        <w:t>cts</w:t>
      </w:r>
      <w:r w:rsidR="00B711D3">
        <w:rPr>
          <w:iCs/>
        </w:rPr>
        <w:t xml:space="preserve"> (1</w:t>
      </w:r>
      <w:r w:rsidR="00B711D3" w:rsidRPr="00B711D3">
        <w:rPr>
          <w:iCs/>
        </w:rPr>
        <w:t>%)</w:t>
      </w:r>
      <w:r w:rsidR="00B711D3">
        <w:rPr>
          <w:iCs/>
        </w:rPr>
        <w:t xml:space="preserve">. </w:t>
      </w:r>
      <w:r w:rsidR="0006051A">
        <w:rPr>
          <w:iCs/>
        </w:rPr>
        <w:t xml:space="preserve">Country with highest error rates is Denmark, about 21% for intermediate consumption and private final consumption. Here the main products contributing to errors are </w:t>
      </w:r>
      <w:r w:rsidR="009963F6" w:rsidRPr="009963F6">
        <w:rPr>
          <w:iCs/>
        </w:rPr>
        <w:t>CPA 03</w:t>
      </w:r>
      <w:r w:rsidR="009963F6">
        <w:rPr>
          <w:i/>
          <w:iCs/>
        </w:rPr>
        <w:t xml:space="preserve"> </w:t>
      </w:r>
      <w:r w:rsidR="009963F6" w:rsidRPr="000518D2">
        <w:t>Fish and other fishing products; aquaculture products; support services to fishing</w:t>
      </w:r>
      <w:r w:rsidR="009963F6">
        <w:rPr>
          <w:i/>
          <w:iCs/>
        </w:rPr>
        <w:t xml:space="preserve"> </w:t>
      </w:r>
      <w:r w:rsidR="009963F6" w:rsidRPr="00B711D3">
        <w:rPr>
          <w:iCs/>
        </w:rPr>
        <w:t>(</w:t>
      </w:r>
      <w:r w:rsidR="009963F6">
        <w:rPr>
          <w:iCs/>
        </w:rPr>
        <w:t>4.3</w:t>
      </w:r>
      <w:r w:rsidR="009963F6" w:rsidRPr="00B711D3">
        <w:rPr>
          <w:iCs/>
        </w:rPr>
        <w:t>%)</w:t>
      </w:r>
      <w:r w:rsidR="009963F6">
        <w:rPr>
          <w:iCs/>
        </w:rPr>
        <w:t xml:space="preserve">, </w:t>
      </w:r>
      <w:r w:rsidR="009963F6" w:rsidRPr="009963F6">
        <w:rPr>
          <w:iCs/>
        </w:rPr>
        <w:t xml:space="preserve">CPA 18 </w:t>
      </w:r>
      <w:r w:rsidR="009963F6" w:rsidRPr="009963F6">
        <w:t>Printing and recording services</w:t>
      </w:r>
      <w:r w:rsidR="009963F6" w:rsidRPr="009963F6">
        <w:rPr>
          <w:iCs/>
        </w:rPr>
        <w:t xml:space="preserve"> (2.</w:t>
      </w:r>
      <w:r w:rsidR="009963F6">
        <w:rPr>
          <w:iCs/>
        </w:rPr>
        <w:t>7</w:t>
      </w:r>
      <w:r w:rsidR="009963F6" w:rsidRPr="009963F6">
        <w:rPr>
          <w:iCs/>
        </w:rPr>
        <w:t>%)</w:t>
      </w:r>
      <w:r w:rsidR="009963F6">
        <w:rPr>
          <w:iCs/>
        </w:rPr>
        <w:t xml:space="preserve">, </w:t>
      </w:r>
      <w:r w:rsidR="00732399">
        <w:rPr>
          <w:iCs/>
        </w:rPr>
        <w:t xml:space="preserve">CPA 21 </w:t>
      </w:r>
      <w:r w:rsidR="00732399" w:rsidRPr="00732399">
        <w:rPr>
          <w:iCs/>
        </w:rPr>
        <w:t>Basic pharmaceutical products and pharmaceutical preparations</w:t>
      </w:r>
      <w:r w:rsidR="00732399">
        <w:rPr>
          <w:iCs/>
        </w:rPr>
        <w:t xml:space="preserve"> (1.8</w:t>
      </w:r>
      <w:r w:rsidR="00732399" w:rsidRPr="0044799C">
        <w:rPr>
          <w:iCs/>
        </w:rPr>
        <w:t>%)</w:t>
      </w:r>
      <w:r w:rsidR="0044799C" w:rsidRPr="0044799C">
        <w:rPr>
          <w:iCs/>
        </w:rPr>
        <w:t xml:space="preserve">, CPA 02 </w:t>
      </w:r>
      <w:r w:rsidR="0044799C" w:rsidRPr="0044799C">
        <w:t xml:space="preserve">Products of forestry, logging and </w:t>
      </w:r>
      <w:r w:rsidR="0044799C" w:rsidRPr="0044799C">
        <w:lastRenderedPageBreak/>
        <w:t>related services</w:t>
      </w:r>
      <w:r w:rsidR="0044799C" w:rsidRPr="0044799C">
        <w:rPr>
          <w:iCs/>
        </w:rPr>
        <w:t xml:space="preserve"> (</w:t>
      </w:r>
      <w:r w:rsidR="0044799C">
        <w:rPr>
          <w:iCs/>
        </w:rPr>
        <w:t>1.8</w:t>
      </w:r>
      <w:r w:rsidR="0044799C" w:rsidRPr="0044799C">
        <w:rPr>
          <w:iCs/>
        </w:rPr>
        <w:t>%)</w:t>
      </w:r>
      <w:r w:rsidR="0044799C">
        <w:rPr>
          <w:iCs/>
        </w:rPr>
        <w:t xml:space="preserve"> and </w:t>
      </w:r>
      <w:r w:rsidR="0044799C" w:rsidRPr="0044799C">
        <w:rPr>
          <w:iCs/>
        </w:rPr>
        <w:t>CPA 10_12</w:t>
      </w:r>
      <w:r w:rsidR="0044799C">
        <w:rPr>
          <w:i/>
          <w:iCs/>
        </w:rPr>
        <w:t xml:space="preserve"> </w:t>
      </w:r>
      <w:r w:rsidR="0044799C" w:rsidRPr="004A41D3">
        <w:t>Food products, beverages and tobacco products</w:t>
      </w:r>
      <w:r w:rsidR="0044799C">
        <w:rPr>
          <w:i/>
          <w:iCs/>
        </w:rPr>
        <w:t xml:space="preserve"> </w:t>
      </w:r>
      <w:r w:rsidR="0044799C">
        <w:rPr>
          <w:iCs/>
        </w:rPr>
        <w:t>(1.6</w:t>
      </w:r>
      <w:r w:rsidR="0044799C" w:rsidRPr="0044799C">
        <w:rPr>
          <w:iCs/>
        </w:rPr>
        <w:t>%)</w:t>
      </w:r>
      <w:r w:rsidR="0044799C">
        <w:rPr>
          <w:iCs/>
        </w:rPr>
        <w:t xml:space="preserve">. </w:t>
      </w:r>
    </w:p>
    <w:p w:rsidR="00AD34A5" w:rsidRPr="00AD34A5" w:rsidRDefault="00AD34A5" w:rsidP="00AD34A5">
      <w:pPr>
        <w:pStyle w:val="Subtitle"/>
        <w:numPr>
          <w:ilvl w:val="0"/>
          <w:numId w:val="0"/>
        </w:numPr>
        <w:spacing w:after="120"/>
        <w:rPr>
          <w:b/>
          <w:lang w:val="fr-BE"/>
        </w:rPr>
      </w:pPr>
      <w:r w:rsidRPr="00AD34A5">
        <w:rPr>
          <w:b/>
          <w:lang w:val="fr-BE"/>
        </w:rPr>
        <w:t xml:space="preserve">Table 8: </w:t>
      </w:r>
      <w:r w:rsidR="00C86C6E" w:rsidRPr="00C86C6E">
        <w:rPr>
          <w:b/>
        </w:rPr>
        <w:t>WAPE assessment</w:t>
      </w:r>
      <w:r w:rsidR="00C86C6E">
        <w:rPr>
          <w:b/>
          <w:lang w:val="fr-BE"/>
        </w:rPr>
        <w:t xml:space="preserve">: </w:t>
      </w:r>
      <w:r w:rsidRPr="00AD34A5">
        <w:rPr>
          <w:b/>
          <w:lang w:val="fr-BE"/>
        </w:rPr>
        <w:t>BEC</w:t>
      </w:r>
      <w:r w:rsidR="00913FD8">
        <w:rPr>
          <w:b/>
          <w:lang w:val="fr-BE"/>
        </w:rPr>
        <w:t xml:space="preserve"> data</w:t>
      </w:r>
      <w:r w:rsidRPr="00AD34A5">
        <w:rPr>
          <w:b/>
          <w:lang w:val="fr-BE"/>
        </w:rPr>
        <w:t xml:space="preserve"> vs Import matrix, 2010</w:t>
      </w:r>
    </w:p>
    <w:tbl>
      <w:tblPr>
        <w:tblW w:w="4800" w:type="dxa"/>
        <w:jc w:val="center"/>
        <w:tblInd w:w="93" w:type="dxa"/>
        <w:tblLook w:val="04A0" w:firstRow="1" w:lastRow="0" w:firstColumn="1" w:lastColumn="0" w:noHBand="0" w:noVBand="1"/>
      </w:tblPr>
      <w:tblGrid>
        <w:gridCol w:w="960"/>
        <w:gridCol w:w="960"/>
        <w:gridCol w:w="960"/>
        <w:gridCol w:w="960"/>
        <w:gridCol w:w="960"/>
      </w:tblGrid>
      <w:tr w:rsidR="00AD34A5" w:rsidRPr="00AD34A5" w:rsidTr="00CD25A9">
        <w:trPr>
          <w:trHeight w:val="315"/>
          <w:jc w:val="center"/>
        </w:trPr>
        <w:tc>
          <w:tcPr>
            <w:tcW w:w="960" w:type="dxa"/>
            <w:tcBorders>
              <w:top w:val="single" w:sz="4" w:space="0" w:color="000000"/>
              <w:left w:val="single" w:sz="4" w:space="0" w:color="000000"/>
              <w:bottom w:val="double" w:sz="6" w:space="0" w:color="auto"/>
              <w:right w:val="single" w:sz="4" w:space="0" w:color="000000"/>
            </w:tcBorders>
            <w:shd w:val="clear" w:color="auto" w:fill="auto"/>
            <w:hideMark/>
          </w:tcPr>
          <w:p w:rsidR="00AD34A5" w:rsidRPr="00F8415C" w:rsidRDefault="00AD34A5" w:rsidP="00AD34A5">
            <w:pPr>
              <w:spacing w:after="0"/>
              <w:jc w:val="center"/>
              <w:rPr>
                <w:rFonts w:ascii="Arial" w:hAnsi="Arial" w:cs="Arial"/>
                <w:b/>
                <w:bCs/>
                <w:sz w:val="20"/>
                <w:lang w:val="fr-BE" w:eastAsia="en-GB"/>
              </w:rPr>
            </w:pPr>
            <w:r w:rsidRPr="00F8415C">
              <w:rPr>
                <w:rFonts w:ascii="Arial" w:hAnsi="Arial" w:cs="Arial"/>
                <w:b/>
                <w:bCs/>
                <w:sz w:val="20"/>
                <w:lang w:val="fr-BE" w:eastAsia="en-GB"/>
              </w:rPr>
              <w:t> </w:t>
            </w:r>
          </w:p>
        </w:tc>
        <w:tc>
          <w:tcPr>
            <w:tcW w:w="960" w:type="dxa"/>
            <w:tcBorders>
              <w:top w:val="single" w:sz="4" w:space="0" w:color="000000"/>
              <w:left w:val="nil"/>
              <w:bottom w:val="double" w:sz="6" w:space="0" w:color="auto"/>
              <w:right w:val="single" w:sz="4" w:space="0" w:color="000000"/>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IC</w:t>
            </w:r>
          </w:p>
        </w:tc>
        <w:tc>
          <w:tcPr>
            <w:tcW w:w="960" w:type="dxa"/>
            <w:tcBorders>
              <w:top w:val="single" w:sz="4" w:space="0" w:color="000000"/>
              <w:left w:val="nil"/>
              <w:bottom w:val="double" w:sz="6" w:space="0" w:color="auto"/>
              <w:right w:val="single" w:sz="4" w:space="0" w:color="000000"/>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PHC</w:t>
            </w:r>
          </w:p>
        </w:tc>
        <w:tc>
          <w:tcPr>
            <w:tcW w:w="960" w:type="dxa"/>
            <w:tcBorders>
              <w:top w:val="single" w:sz="4" w:space="0" w:color="000000"/>
              <w:left w:val="nil"/>
              <w:bottom w:val="double" w:sz="6" w:space="0" w:color="auto"/>
              <w:right w:val="nil"/>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GFCF</w:t>
            </w:r>
          </w:p>
        </w:tc>
        <w:tc>
          <w:tcPr>
            <w:tcW w:w="960" w:type="dxa"/>
            <w:tcBorders>
              <w:top w:val="single" w:sz="4" w:space="0" w:color="000000"/>
              <w:left w:val="single" w:sz="4" w:space="0" w:color="000000"/>
              <w:bottom w:val="double" w:sz="6" w:space="0" w:color="auto"/>
              <w:right w:val="single" w:sz="4" w:space="0" w:color="auto"/>
            </w:tcBorders>
            <w:shd w:val="clear" w:color="auto" w:fill="auto"/>
            <w:vAlign w:val="center"/>
            <w:hideMark/>
          </w:tcPr>
          <w:p w:rsidR="00AD34A5" w:rsidRPr="00AD34A5" w:rsidRDefault="00AD34A5" w:rsidP="00CD25A9">
            <w:pPr>
              <w:spacing w:after="0"/>
              <w:jc w:val="center"/>
              <w:rPr>
                <w:rFonts w:ascii="Arial" w:hAnsi="Arial" w:cs="Arial"/>
                <w:b/>
                <w:bCs/>
                <w:sz w:val="20"/>
                <w:lang w:eastAsia="en-GB"/>
              </w:rPr>
            </w:pPr>
            <w:r w:rsidRPr="00AD34A5">
              <w:rPr>
                <w:rFonts w:ascii="Arial" w:hAnsi="Arial" w:cs="Arial"/>
                <w:b/>
                <w:bCs/>
                <w:sz w:val="20"/>
                <w:lang w:eastAsia="en-GB"/>
              </w:rPr>
              <w:t>TOTAL</w:t>
            </w:r>
          </w:p>
        </w:tc>
      </w:tr>
      <w:tr w:rsidR="00AD34A5" w:rsidRPr="00AD34A5" w:rsidTr="00AD34A5">
        <w:trPr>
          <w:trHeight w:val="315"/>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CZ</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12.5%</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31.1%</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DE</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10.4%</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2.7%</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21.6%</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DK</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21.2%</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5.0%</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46.7%</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EE</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15.1%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32.0%</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FR</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15.0%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5.7%</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34.3%</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EL</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12.9%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30.8%</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HU</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13.6%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6.8%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29.3%</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IT</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12.3%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28.6%</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LT</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16.0%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16.8%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35.2%</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NL</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7.9%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34.4%</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RO</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17.3%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11.6%</w:t>
            </w:r>
          </w:p>
        </w:tc>
        <w:tc>
          <w:tcPr>
            <w:tcW w:w="960" w:type="dxa"/>
            <w:tcBorders>
              <w:top w:val="nil"/>
              <w:left w:val="nil"/>
              <w:bottom w:val="single" w:sz="4" w:space="0" w:color="000000"/>
              <w:right w:val="single" w:sz="4" w:space="0" w:color="000000"/>
            </w:tcBorders>
            <w:shd w:val="clear" w:color="000000" w:fill="FFC000"/>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37.7%</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SK</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11.8%</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10.0%</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25.7%</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SI</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11.7%</w:t>
            </w:r>
          </w:p>
        </w:tc>
        <w:tc>
          <w:tcPr>
            <w:tcW w:w="960" w:type="dxa"/>
            <w:tcBorders>
              <w:top w:val="nil"/>
              <w:left w:val="nil"/>
              <w:bottom w:val="single" w:sz="4" w:space="0" w:color="000000"/>
              <w:right w:val="single" w:sz="4" w:space="0" w:color="000000"/>
            </w:tcBorders>
            <w:shd w:val="clear" w:color="000000" w:fill="CCFF99"/>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25.3%</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SE</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12.3%</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11.9%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28.3%</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sz w:val="20"/>
                <w:lang w:eastAsia="en-GB"/>
              </w:rPr>
            </w:pPr>
            <w:r w:rsidRPr="00AD34A5">
              <w:rPr>
                <w:rFonts w:ascii="Arial" w:hAnsi="Arial" w:cs="Arial"/>
                <w:b/>
                <w:bCs/>
                <w:sz w:val="20"/>
                <w:lang w:eastAsia="en-GB"/>
              </w:rPr>
              <w:t>UK</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14.5%</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14.2%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5.1%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33.8%</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left"/>
              <w:rPr>
                <w:rFonts w:ascii="Arial" w:hAnsi="Arial" w:cs="Arial"/>
                <w:b/>
                <w:bCs/>
                <w:color w:val="1122BF"/>
                <w:sz w:val="20"/>
                <w:lang w:eastAsia="en-GB"/>
              </w:rPr>
            </w:pPr>
            <w:r w:rsidRPr="00AD34A5">
              <w:rPr>
                <w:rFonts w:ascii="Arial" w:hAnsi="Arial" w:cs="Arial"/>
                <w:b/>
                <w:bCs/>
                <w:color w:val="1122BF"/>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 </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right"/>
              <w:rPr>
                <w:rFonts w:ascii="Arial" w:hAnsi="Arial" w:cs="Arial"/>
                <w:b/>
                <w:bCs/>
                <w:color w:val="00B050"/>
                <w:sz w:val="20"/>
                <w:lang w:eastAsia="en-GB"/>
              </w:rPr>
            </w:pPr>
            <w:r w:rsidRPr="00AD34A5">
              <w:rPr>
                <w:rFonts w:ascii="Arial" w:hAnsi="Arial" w:cs="Arial"/>
                <w:b/>
                <w:bCs/>
                <w:color w:val="00B050"/>
                <w:sz w:val="20"/>
                <w:lang w:eastAsia="en-GB"/>
              </w:rPr>
              <w:t>MIN</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10.4%</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21.6%</w:t>
            </w:r>
          </w:p>
        </w:tc>
      </w:tr>
      <w:tr w:rsidR="00AD34A5" w:rsidRPr="00AD34A5" w:rsidTr="00AD34A5">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hideMark/>
          </w:tcPr>
          <w:p w:rsidR="00AD34A5" w:rsidRPr="00AD34A5" w:rsidRDefault="00AD34A5" w:rsidP="00AD34A5">
            <w:pPr>
              <w:spacing w:after="0"/>
              <w:jc w:val="right"/>
              <w:rPr>
                <w:rFonts w:ascii="Arial" w:hAnsi="Arial" w:cs="Arial"/>
                <w:b/>
                <w:bCs/>
                <w:color w:val="FF0000"/>
                <w:sz w:val="20"/>
                <w:lang w:eastAsia="en-GB"/>
              </w:rPr>
            </w:pPr>
            <w:r w:rsidRPr="00AD34A5">
              <w:rPr>
                <w:rFonts w:ascii="Arial" w:hAnsi="Arial" w:cs="Arial"/>
                <w:b/>
                <w:bCs/>
                <w:color w:val="FF0000"/>
                <w:sz w:val="20"/>
                <w:lang w:eastAsia="en-GB"/>
              </w:rPr>
              <w:t>MAX</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21.2%</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20.6%</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8.9%</w:t>
            </w:r>
          </w:p>
        </w:tc>
        <w:tc>
          <w:tcPr>
            <w:tcW w:w="960" w:type="dxa"/>
            <w:tcBorders>
              <w:top w:val="nil"/>
              <w:left w:val="nil"/>
              <w:bottom w:val="single" w:sz="4" w:space="0" w:color="000000"/>
              <w:right w:val="single" w:sz="4" w:space="0" w:color="000000"/>
            </w:tcBorders>
            <w:shd w:val="clear" w:color="auto" w:fill="auto"/>
            <w:vAlign w:val="bottom"/>
            <w:hideMark/>
          </w:tcPr>
          <w:p w:rsidR="00AD34A5" w:rsidRPr="00AD34A5" w:rsidRDefault="00AD34A5" w:rsidP="00AD34A5">
            <w:pPr>
              <w:spacing w:after="0"/>
              <w:jc w:val="center"/>
              <w:rPr>
                <w:rFonts w:ascii="Arial" w:hAnsi="Arial" w:cs="Arial"/>
                <w:sz w:val="20"/>
                <w:lang w:eastAsia="en-GB"/>
              </w:rPr>
            </w:pPr>
            <w:r w:rsidRPr="00AD34A5">
              <w:rPr>
                <w:rFonts w:ascii="Arial" w:hAnsi="Arial" w:cs="Arial"/>
                <w:sz w:val="20"/>
                <w:lang w:eastAsia="en-GB"/>
              </w:rPr>
              <w:t>46.7%</w:t>
            </w:r>
          </w:p>
        </w:tc>
      </w:tr>
    </w:tbl>
    <w:p w:rsidR="00AD34A5" w:rsidRPr="00AD34A5" w:rsidRDefault="00AD34A5" w:rsidP="00AD34A5">
      <w:pPr>
        <w:jc w:val="center"/>
        <w:rPr>
          <w:lang w:val="fr-BE"/>
        </w:rPr>
      </w:pPr>
    </w:p>
    <w:p w:rsidR="00A87F79" w:rsidRDefault="00A87F79" w:rsidP="00F42F3C">
      <w:pPr>
        <w:pStyle w:val="Heading2"/>
        <w:spacing w:after="240"/>
        <w:ind w:left="714" w:hanging="357"/>
      </w:pPr>
      <w:r w:rsidRPr="00A87F79">
        <w:t>Possible refinement of the methodology by going at more detailed level of the trade classification (HS or CN detailed levels)</w:t>
      </w:r>
    </w:p>
    <w:p w:rsidR="00316656" w:rsidRDefault="00316656" w:rsidP="00316656">
      <w:proofErr w:type="gramStart"/>
      <w:r>
        <w:t xml:space="preserve">Results from WAPE show that the </w:t>
      </w:r>
      <w:r w:rsidR="009E0B98">
        <w:t xml:space="preserve">current </w:t>
      </w:r>
      <w:r>
        <w:t>proportionality assumption to estimate missing import data provides better results than applying information from BEC data.</w:t>
      </w:r>
      <w:proofErr w:type="gramEnd"/>
      <w:r>
        <w:t xml:space="preserve"> It might be due to the fact that in BEC some end-use groups are still multi-purpose and cannot be correctly allocated at this level of detail</w:t>
      </w:r>
      <w:r w:rsidR="006E7374">
        <w:t xml:space="preserve"> (40 product groups)</w:t>
      </w:r>
      <w:r>
        <w:t xml:space="preserve">. For some countries also confidential data </w:t>
      </w:r>
      <w:r w:rsidR="006E7374">
        <w:t xml:space="preserve">or adjustments </w:t>
      </w:r>
      <w:r>
        <w:t>make up a significant part</w:t>
      </w:r>
      <w:r w:rsidR="006E7374">
        <w:t xml:space="preserve">, but these data groups cannot be treated correctly without further investigation or additional information. </w:t>
      </w:r>
    </w:p>
    <w:p w:rsidR="006E7374" w:rsidRDefault="006E7374" w:rsidP="00316656">
      <w:r>
        <w:t xml:space="preserve">Eurostat discussed these issues with member states during the meeting of </w:t>
      </w:r>
      <w:r w:rsidRPr="006E7374">
        <w:t xml:space="preserve">Consolidated EU27 and Euro Area Supply-Use and Input-Output Tables Technical Group Meeting, </w:t>
      </w:r>
      <w:r w:rsidR="009E0B98">
        <w:t>in</w:t>
      </w:r>
      <w:r w:rsidRPr="006E7374">
        <w:t xml:space="preserve"> March </w:t>
      </w:r>
      <w:r w:rsidR="00FA1CF3">
        <w:t>in</w:t>
      </w:r>
      <w:r w:rsidRPr="006E7374">
        <w:t xml:space="preserve"> London</w:t>
      </w:r>
      <w:r>
        <w:t xml:space="preserve">. </w:t>
      </w:r>
      <w:r w:rsidR="00B16F44">
        <w:t>In their feedback National</w:t>
      </w:r>
      <w:r w:rsidR="009E0B98">
        <w:t xml:space="preserve"> Statistical Institutes stress</w:t>
      </w:r>
      <w:r w:rsidR="00B16F44">
        <w:t xml:space="preserve"> that BEC data are a good source to estimate import matrices, but the data should be available at more detailed level. For example in Estonia foreign trade data are converted to BEC at 8-digit level of Common Nomenclature. Missing and confidential data (about 6% of the import value) are available at 2-digits level of CN. </w:t>
      </w:r>
      <w:r w:rsidR="00F14BA0">
        <w:t xml:space="preserve">At this level of detail it is possible to carry out better analysis for product where the end-use cannot be defined </w:t>
      </w:r>
      <w:r w:rsidR="00F14BA0" w:rsidRPr="00F14BA0">
        <w:t>unambiguously</w:t>
      </w:r>
      <w:r w:rsidR="00F14BA0">
        <w:t>, e.g. pharmaceutical produc</w:t>
      </w:r>
      <w:r w:rsidR="009E0B98">
        <w:t>t</w:t>
      </w:r>
      <w:r w:rsidR="00F14BA0">
        <w:t xml:space="preserve">s, mobile phones, passenger cars etc. </w:t>
      </w:r>
    </w:p>
    <w:p w:rsidR="00F14BA0" w:rsidRDefault="00F14BA0" w:rsidP="00316656">
      <w:r>
        <w:t xml:space="preserve">Following up </w:t>
      </w:r>
      <w:r w:rsidR="009E0B98">
        <w:t>the</w:t>
      </w:r>
      <w:r>
        <w:t xml:space="preserve"> comments from the Technical Group, Eurostat will continue the work on BEC data and invest </w:t>
      </w:r>
      <w:r w:rsidR="009E0B98">
        <w:t>the possible</w:t>
      </w:r>
      <w:r>
        <w:t xml:space="preserve"> use</w:t>
      </w:r>
      <w:r w:rsidR="009E0B98">
        <w:t xml:space="preserve"> of</w:t>
      </w:r>
      <w:r>
        <w:t xml:space="preserve"> CN data to estimate missing import matrices.</w:t>
      </w:r>
    </w:p>
    <w:p w:rsidR="00F14BA0" w:rsidRPr="00F14BA0" w:rsidRDefault="00F14BA0" w:rsidP="00F14BA0"/>
    <w:p w:rsidR="002416DD" w:rsidRDefault="002416DD" w:rsidP="00F42F3C">
      <w:pPr>
        <w:pStyle w:val="Heading2"/>
        <w:spacing w:after="240"/>
        <w:ind w:left="714" w:hanging="357"/>
      </w:pPr>
      <w:r>
        <w:t>Conclusions</w:t>
      </w:r>
      <w:r w:rsidR="00BF1E2E">
        <w:t xml:space="preserve"> and future plans</w:t>
      </w:r>
    </w:p>
    <w:p w:rsidR="00BF1E2E" w:rsidRPr="00D15614" w:rsidRDefault="000F3D4D" w:rsidP="00F42F3C">
      <w:pPr>
        <w:spacing w:after="200"/>
      </w:pPr>
      <w:r w:rsidRPr="00D15614">
        <w:t xml:space="preserve">Though many countries declare that they use BEC data to compile their import matrix, the comparisons presented above demonstrate that BEC structures from foreign trade cannot be applied automatically. Member States who use BEC data in their regular production are using it at much more detailed level and with an advantage to have an expertise about their national economy and knowledge about local market. </w:t>
      </w:r>
      <w:r w:rsidR="00BF1E2E" w:rsidRPr="00D15614">
        <w:t xml:space="preserve">When Eurostat would estimate import matrices for those Member States who have not provided required tables, this important </w:t>
      </w:r>
      <w:r w:rsidR="00B81886">
        <w:t>information</w:t>
      </w:r>
      <w:r w:rsidR="00BF1E2E" w:rsidRPr="00D15614">
        <w:t xml:space="preserve"> is missing and BEC could serve probably as a rough allocation to different end-use categories. Quality of results depends also on level of detail used in compilation process and here, again, Eurostat would be bound by official transmission programme. </w:t>
      </w:r>
    </w:p>
    <w:p w:rsidR="00B81886" w:rsidRDefault="00B81886" w:rsidP="00F42F3C">
      <w:pPr>
        <w:spacing w:after="200"/>
      </w:pPr>
      <w:r>
        <w:t xml:space="preserve">Assessment based on WAPE confirmed that the proportionality assumption Eurostat currently uses </w:t>
      </w:r>
      <w:r w:rsidR="009E0B98">
        <w:t>to estimate</w:t>
      </w:r>
      <w:r>
        <w:t xml:space="preserve"> import matrices provides better results than allocation of import data based on BEC. </w:t>
      </w:r>
      <w:r w:rsidR="00F67595" w:rsidRPr="00D15614">
        <w:t xml:space="preserve">Before deciding whether and how to use BEC data in compilation of import matrices, </w:t>
      </w:r>
      <w:r w:rsidR="00BF1E2E" w:rsidRPr="00D15614">
        <w:t xml:space="preserve">Eurostat will </w:t>
      </w:r>
      <w:r w:rsidR="00F67595" w:rsidRPr="00D15614">
        <w:t xml:space="preserve">investigate more about possible use of HS/CN data, which would be at more detailed level. </w:t>
      </w:r>
      <w:r>
        <w:t xml:space="preserve">Results of this work will be reported back to the Technical Group in spring 2016. </w:t>
      </w:r>
      <w:r w:rsidR="00AE6CD3">
        <w:t xml:space="preserve">If use of CN data would provide better results than the current proportionality assumption, it can be implemented in 2016 </w:t>
      </w:r>
      <w:r w:rsidR="009E0B98">
        <w:t xml:space="preserve">European </w:t>
      </w:r>
      <w:r w:rsidR="00AE6CD3">
        <w:t xml:space="preserve">consolidation exercise for 2012 data.  </w:t>
      </w:r>
    </w:p>
    <w:p w:rsidR="00F67595" w:rsidRDefault="00F67595" w:rsidP="00F42F3C">
      <w:pPr>
        <w:spacing w:after="200"/>
        <w:rPr>
          <w:rFonts w:asciiTheme="minorHAnsi" w:hAnsiTheme="minorHAnsi"/>
          <w:sz w:val="22"/>
          <w:szCs w:val="22"/>
        </w:rPr>
      </w:pPr>
    </w:p>
    <w:p w:rsidR="00F67595" w:rsidRDefault="00F67595" w:rsidP="00F42F3C">
      <w:pPr>
        <w:spacing w:after="200"/>
        <w:rPr>
          <w:rFonts w:asciiTheme="minorHAnsi" w:hAnsiTheme="minorHAnsi"/>
          <w:sz w:val="22"/>
          <w:szCs w:val="22"/>
        </w:rPr>
      </w:pPr>
    </w:p>
    <w:p w:rsidR="00BF1E2E" w:rsidRDefault="00BF1E2E" w:rsidP="00F42F3C">
      <w:pPr>
        <w:spacing w:after="200"/>
        <w:rPr>
          <w:rFonts w:asciiTheme="minorHAnsi" w:hAnsiTheme="minorHAnsi"/>
          <w:sz w:val="22"/>
          <w:szCs w:val="22"/>
        </w:rPr>
      </w:pPr>
    </w:p>
    <w:p w:rsidR="00BF1E2E" w:rsidRDefault="008D3DC9" w:rsidP="008D3DC9">
      <w:pPr>
        <w:spacing w:after="200" w:line="276" w:lineRule="auto"/>
        <w:jc w:val="left"/>
        <w:rPr>
          <w:rFonts w:asciiTheme="minorHAnsi" w:hAnsiTheme="minorHAnsi"/>
          <w:sz w:val="22"/>
          <w:szCs w:val="22"/>
        </w:rPr>
      </w:pPr>
      <w:r>
        <w:rPr>
          <w:rFonts w:asciiTheme="minorHAnsi" w:hAnsiTheme="minorHAnsi"/>
          <w:sz w:val="22"/>
          <w:szCs w:val="22"/>
        </w:rPr>
        <w:br w:type="page"/>
      </w:r>
    </w:p>
    <w:p w:rsidR="003D7C38" w:rsidRPr="000F3D4D" w:rsidRDefault="006D5008" w:rsidP="00B42DA8">
      <w:pPr>
        <w:spacing w:after="200" w:line="276" w:lineRule="auto"/>
        <w:jc w:val="left"/>
        <w:rPr>
          <w:rFonts w:asciiTheme="majorHAnsi" w:eastAsiaTheme="majorEastAsia" w:hAnsiTheme="majorHAnsi" w:cstheme="majorBidi"/>
          <w:b/>
          <w:i/>
          <w:iCs/>
          <w:color w:val="4F81BD" w:themeColor="accent1"/>
          <w:spacing w:val="15"/>
          <w:szCs w:val="24"/>
        </w:rPr>
      </w:pPr>
      <w:r w:rsidRPr="000F3D4D">
        <w:rPr>
          <w:rFonts w:asciiTheme="majorHAnsi" w:eastAsiaTheme="majorEastAsia" w:hAnsiTheme="majorHAnsi" w:cstheme="majorBidi"/>
          <w:b/>
          <w:i/>
          <w:iCs/>
          <w:color w:val="4F81BD" w:themeColor="accent1"/>
          <w:spacing w:val="15"/>
          <w:szCs w:val="24"/>
        </w:rPr>
        <w:lastRenderedPageBreak/>
        <w:t xml:space="preserve">Annex 1 </w:t>
      </w:r>
    </w:p>
    <w:tbl>
      <w:tblPr>
        <w:tblStyle w:val="TableGrid"/>
        <w:tblW w:w="9840" w:type="dxa"/>
        <w:tblLook w:val="04A0" w:firstRow="1" w:lastRow="0" w:firstColumn="1" w:lastColumn="0" w:noHBand="0" w:noVBand="1"/>
      </w:tblPr>
      <w:tblGrid>
        <w:gridCol w:w="9840"/>
      </w:tblGrid>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b/>
                <w:sz w:val="20"/>
                <w:lang w:eastAsia="en-GB"/>
              </w:rPr>
            </w:pPr>
            <w:r w:rsidRPr="00FC21E1">
              <w:rPr>
                <w:rFonts w:ascii="Arial" w:hAnsi="Arial" w:cs="Arial"/>
                <w:b/>
                <w:sz w:val="20"/>
                <w:lang w:eastAsia="en-GB"/>
              </w:rPr>
              <w:t>CPA2008_2D/BEC_3D</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01 Products of agriculture, hunting and related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02 Products of forestry, logging and related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03 Fish and other fishing products; aquaculture products; support services to fishing</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05 Coal and lignite</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06 Crude petroleum and natural gas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07 Metal ores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08 Other mining and quarrying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10 Food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11 Beverages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12 Tobacco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13 Textiles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14 Wearing apparel</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15 Leather and related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16 Wood and of products of wood and cork, except furniture; articles of straw and plaiting materials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17 Paper and paper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18 Printing and recording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19 Coke and refined petroleum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20 Chemicals and chemical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21 Basic pharmaceutical products and pharmaceutical preparations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22 Rubber and plastics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23 Other non-metallic mineral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24 Basic metals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25 Fabricated metal products, except machinery and equipment</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26 Computer, electronic and optical products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27 Electrical equipment</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 xml:space="preserve">28 Machinery and equipment </w:t>
            </w:r>
            <w:proofErr w:type="spellStart"/>
            <w:r w:rsidRPr="00FC21E1">
              <w:rPr>
                <w:rFonts w:ascii="Arial" w:hAnsi="Arial" w:cs="Arial"/>
                <w:sz w:val="20"/>
                <w:lang w:eastAsia="en-GB"/>
              </w:rPr>
              <w:t>n.e.c</w:t>
            </w:r>
            <w:proofErr w:type="spellEnd"/>
            <w:r w:rsidRPr="00FC21E1">
              <w:rPr>
                <w:rFonts w:ascii="Arial" w:hAnsi="Arial" w:cs="Arial"/>
                <w:sz w:val="20"/>
                <w:lang w:eastAsia="en-GB"/>
              </w:rPr>
              <w:t>.</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29 Motor vehicles, trailers and semi-trailers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30 Other transport equipment</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31 Furniture</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32 Other manufactured goods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35 Electricity, gas, steam and air conditioning</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37 Sewerage services; sewage sludge</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38 Waste collection, treatment and disposal services; materials recovery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58 Publishing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59 Motion picture, video and television programme production services, sound recording and music publishing</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71 Architectural and engineering services; technical testing and analysis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74 Other professional, scientific and technical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90 Creative, arts and entertainment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91 Library, archive, museum and other cultural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96 Other personal services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AA Intra-EU trade involving transactions falling below the simplification threshold</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BB Articles declared as supplies or services for ships and aircrafts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CC Temporary corrections due to erroneous codes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EE Selections of goods,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FF Articles declared as supplies or services for offshore installations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II Components of complete industrial plant,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MM Adjustments ( broken down at chapter level only)</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PP Goods transported by post,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lastRenderedPageBreak/>
              <w:t>RR Returned goods,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SS Confidential data</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 xml:space="preserve">TOTAL </w:t>
            </w:r>
            <w:proofErr w:type="spellStart"/>
            <w:r w:rsidRPr="00FC21E1">
              <w:rPr>
                <w:rFonts w:ascii="Arial" w:hAnsi="Arial" w:cs="Arial"/>
                <w:sz w:val="20"/>
                <w:lang w:eastAsia="en-GB"/>
              </w:rPr>
              <w:t>TOTAL</w:t>
            </w:r>
            <w:proofErr w:type="spellEnd"/>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TT Foodstuff, drinks and tobacco,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VV Parts for motor vehicles, for which a simplified declaration applies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WW Parts for aircrafts</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YY Adjustments (not broken down at chapter level)</w:t>
            </w:r>
          </w:p>
        </w:tc>
      </w:tr>
      <w:tr w:rsidR="00FC21E1" w:rsidRPr="00FC21E1" w:rsidTr="00FC21E1">
        <w:trPr>
          <w:trHeight w:val="255"/>
        </w:trPr>
        <w:tc>
          <w:tcPr>
            <w:tcW w:w="9840" w:type="dxa"/>
            <w:noWrap/>
            <w:hideMark/>
          </w:tcPr>
          <w:p w:rsidR="00FC21E1" w:rsidRPr="00FC21E1" w:rsidRDefault="00FC21E1" w:rsidP="00FC21E1">
            <w:pPr>
              <w:spacing w:after="0"/>
              <w:jc w:val="left"/>
              <w:rPr>
                <w:rFonts w:ascii="Arial" w:hAnsi="Arial" w:cs="Arial"/>
                <w:sz w:val="20"/>
                <w:lang w:eastAsia="en-GB"/>
              </w:rPr>
            </w:pPr>
            <w:r w:rsidRPr="00FC21E1">
              <w:rPr>
                <w:rFonts w:ascii="Arial" w:hAnsi="Arial" w:cs="Arial"/>
                <w:sz w:val="20"/>
                <w:lang w:eastAsia="en-GB"/>
              </w:rPr>
              <w:t xml:space="preserve">ZZ </w:t>
            </w:r>
            <w:proofErr w:type="spellStart"/>
            <w:r w:rsidRPr="00FC21E1">
              <w:rPr>
                <w:rFonts w:ascii="Arial" w:hAnsi="Arial" w:cs="Arial"/>
                <w:sz w:val="20"/>
                <w:lang w:eastAsia="en-GB"/>
              </w:rPr>
              <w:t>ZZ</w:t>
            </w:r>
            <w:proofErr w:type="spellEnd"/>
          </w:p>
        </w:tc>
      </w:tr>
    </w:tbl>
    <w:p w:rsidR="00FC21E1" w:rsidRDefault="00FC21E1" w:rsidP="003D7C38"/>
    <w:p w:rsidR="009914E1" w:rsidRDefault="009914E1" w:rsidP="003D7C38"/>
    <w:p w:rsidR="009914E1" w:rsidRPr="003D7C38" w:rsidRDefault="009914E1" w:rsidP="003D7C38"/>
    <w:sectPr w:rsidR="009914E1" w:rsidRPr="003D7C3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6A" w:rsidRDefault="00727E6A" w:rsidP="00F12AE3">
      <w:pPr>
        <w:spacing w:after="0"/>
      </w:pPr>
      <w:r>
        <w:separator/>
      </w:r>
    </w:p>
  </w:endnote>
  <w:endnote w:type="continuationSeparator" w:id="0">
    <w:p w:rsidR="00727E6A" w:rsidRDefault="00727E6A" w:rsidP="00F12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Schoolbook">
    <w:altName w:val="Times New Roman"/>
    <w:charset w:val="00"/>
    <w:family w:val="roman"/>
    <w:pitch w:val="variable"/>
    <w:sig w:usb0="00000001"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84150"/>
      <w:docPartObj>
        <w:docPartGallery w:val="Page Numbers (Bottom of Page)"/>
        <w:docPartUnique/>
      </w:docPartObj>
    </w:sdtPr>
    <w:sdtEndPr>
      <w:rPr>
        <w:noProof/>
      </w:rPr>
    </w:sdtEndPr>
    <w:sdtContent>
      <w:p w:rsidR="00727E6A" w:rsidRDefault="00727E6A">
        <w:pPr>
          <w:pStyle w:val="Footer"/>
          <w:jc w:val="right"/>
        </w:pPr>
        <w:r>
          <w:fldChar w:fldCharType="begin"/>
        </w:r>
        <w:r>
          <w:instrText xml:space="preserve"> PAGE   \* MERGEFORMAT </w:instrText>
        </w:r>
        <w:r>
          <w:fldChar w:fldCharType="separate"/>
        </w:r>
        <w:r w:rsidR="00122FBC">
          <w:rPr>
            <w:noProof/>
          </w:rPr>
          <w:t>6</w:t>
        </w:r>
        <w:r>
          <w:rPr>
            <w:noProof/>
          </w:rPr>
          <w:fldChar w:fldCharType="end"/>
        </w:r>
      </w:p>
    </w:sdtContent>
  </w:sdt>
  <w:p w:rsidR="00727E6A" w:rsidRDefault="00727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6A" w:rsidRDefault="00727E6A" w:rsidP="00F12AE3">
      <w:pPr>
        <w:spacing w:after="0"/>
      </w:pPr>
      <w:r>
        <w:separator/>
      </w:r>
    </w:p>
  </w:footnote>
  <w:footnote w:type="continuationSeparator" w:id="0">
    <w:p w:rsidR="00727E6A" w:rsidRDefault="00727E6A" w:rsidP="00F12AE3">
      <w:pPr>
        <w:spacing w:after="0"/>
      </w:pPr>
      <w:r>
        <w:continuationSeparator/>
      </w:r>
    </w:p>
  </w:footnote>
  <w:footnote w:id="1">
    <w:p w:rsidR="00727E6A" w:rsidRPr="006D23FC" w:rsidRDefault="00727E6A" w:rsidP="006D23FC">
      <w:pPr>
        <w:pStyle w:val="FootnoteText"/>
      </w:pPr>
      <w:r>
        <w:rPr>
          <w:rStyle w:val="FootnoteReference"/>
        </w:rPr>
        <w:footnoteRef/>
      </w:r>
      <w:r>
        <w:t xml:space="preserve"> </w:t>
      </w:r>
      <w:r>
        <w:rPr>
          <w:sz w:val="19"/>
          <w:szCs w:val="19"/>
        </w:rPr>
        <w:t>Regulation (EU)  No 549/2013 of the European Parliament and of the Council of 21 May 2013 on the European system of national and regional accounts in the European Union</w:t>
      </w:r>
    </w:p>
  </w:footnote>
  <w:footnote w:id="2">
    <w:p w:rsidR="00727E6A" w:rsidRPr="005A6030" w:rsidRDefault="00727E6A" w:rsidP="005A6030">
      <w:pPr>
        <w:pStyle w:val="Default"/>
      </w:pPr>
      <w:r>
        <w:rPr>
          <w:rStyle w:val="FootnoteReference"/>
        </w:rPr>
        <w:footnoteRef/>
      </w:r>
      <w:r>
        <w:t xml:space="preserve"> </w:t>
      </w:r>
      <w:r w:rsidRPr="006D23FC">
        <w:rPr>
          <w:sz w:val="19"/>
          <w:szCs w:val="19"/>
        </w:rPr>
        <w:t xml:space="preserve">Annex B of </w:t>
      </w:r>
      <w:r>
        <w:rPr>
          <w:sz w:val="19"/>
          <w:szCs w:val="19"/>
        </w:rPr>
        <w:t>Regulation (EU)  No 549/2013 of the European Parliament and of the Council of 21 May 2013 on the European system of national and regional accounts in the European Union</w:t>
      </w:r>
    </w:p>
  </w:footnote>
  <w:footnote w:id="3">
    <w:p w:rsidR="00727E6A" w:rsidRPr="007B7E98" w:rsidRDefault="00727E6A" w:rsidP="007B7E98">
      <w:pPr>
        <w:pStyle w:val="FootnoteText"/>
      </w:pPr>
      <w:r>
        <w:rPr>
          <w:rStyle w:val="FootnoteReference"/>
        </w:rPr>
        <w:footnoteRef/>
      </w:r>
      <w:r>
        <w:t xml:space="preserve"> Regulation (EC) No 1392/2007 of the European Parliament and of the Council of 13 November 2007</w:t>
      </w:r>
    </w:p>
  </w:footnote>
  <w:footnote w:id="4">
    <w:p w:rsidR="00727E6A" w:rsidRPr="00531278" w:rsidRDefault="00727E6A">
      <w:pPr>
        <w:pStyle w:val="FootnoteText"/>
      </w:pPr>
      <w:r>
        <w:rPr>
          <w:rStyle w:val="FootnoteReference"/>
        </w:rPr>
        <w:footnoteRef/>
      </w:r>
      <w:r>
        <w:t xml:space="preserve"> Czech Republic, Denmark, Estonia, France, Germany, Greece, Hungary, Ireland, Italy, Lithuania, the Netherlands, Romania, Slovenia, Slovakia, Sweden, the United Kingdom</w:t>
      </w:r>
    </w:p>
  </w:footnote>
  <w:footnote w:id="5">
    <w:p w:rsidR="00727E6A" w:rsidRPr="00531278" w:rsidRDefault="00727E6A">
      <w:pPr>
        <w:pStyle w:val="FootnoteText"/>
      </w:pPr>
      <w:r>
        <w:rPr>
          <w:rStyle w:val="FootnoteReference"/>
        </w:rPr>
        <w:footnoteRef/>
      </w:r>
      <w:r>
        <w:t xml:space="preserve"> Austria, Denmark, Estonia, France, Hungary, Ireland, Italy, the Netherlands, Romania, Slovakia</w:t>
      </w:r>
    </w:p>
  </w:footnote>
  <w:footnote w:id="6">
    <w:p w:rsidR="00727E6A" w:rsidRPr="003146BF" w:rsidRDefault="00727E6A">
      <w:pPr>
        <w:pStyle w:val="FootnoteText"/>
      </w:pPr>
      <w:r>
        <w:rPr>
          <w:rStyle w:val="FootnoteReference"/>
        </w:rPr>
        <w:footnoteRef/>
      </w:r>
      <w:r>
        <w:t xml:space="preserve"> FIGARO aims to support Eurostat </w:t>
      </w:r>
      <w:r w:rsidRPr="00A6618A">
        <w:t>in establishing an annual production of EU Multi-country Input-Output Tables and a five-yearly production of EU Multi-country Supply, Use and Input-Output Tables (EU-MC-SUIOTs)</w:t>
      </w:r>
    </w:p>
  </w:footnote>
  <w:footnote w:id="7">
    <w:p w:rsidR="00727E6A" w:rsidRPr="002C340B" w:rsidRDefault="00727E6A" w:rsidP="002C340B">
      <w:pPr>
        <w:pStyle w:val="FootnoteText"/>
      </w:pPr>
      <w:r>
        <w:rPr>
          <w:rStyle w:val="FootnoteReference"/>
        </w:rPr>
        <w:footnoteRef/>
      </w:r>
      <w:r>
        <w:t xml:space="preserve"> </w:t>
      </w:r>
      <w:r w:rsidRPr="002C340B">
        <w:t>Colin Webb</w:t>
      </w:r>
      <w:r>
        <w:t xml:space="preserve">, </w:t>
      </w:r>
      <w:r w:rsidRPr="002C340B">
        <w:t xml:space="preserve">Norihiko </w:t>
      </w:r>
      <w:proofErr w:type="spellStart"/>
      <w:r w:rsidRPr="002C340B">
        <w:t>Yamano</w:t>
      </w:r>
      <w:proofErr w:type="spellEnd"/>
      <w:r w:rsidRPr="002C340B">
        <w:t xml:space="preserve"> </w:t>
      </w:r>
      <w:r>
        <w:t xml:space="preserve">"International trade by end-use and the BEC classification" </w:t>
      </w:r>
      <w:hyperlink r:id="rId1" w:history="1">
        <w:r w:rsidRPr="002C340B">
          <w:t>www.oecd.org/trade/its/46289160.ppt</w:t>
        </w:r>
      </w:hyperlink>
    </w:p>
  </w:footnote>
  <w:footnote w:id="8">
    <w:p w:rsidR="00727E6A" w:rsidRDefault="00727E6A" w:rsidP="004A538C">
      <w:pPr>
        <w:pStyle w:val="FootnoteText"/>
      </w:pPr>
      <w:r w:rsidRPr="002C340B">
        <w:footnoteRef/>
      </w:r>
      <w:r>
        <w:t xml:space="preserve"> "</w:t>
      </w:r>
      <w:r w:rsidRPr="004A538C">
        <w:t>OECD, Bilateral Trade Database by Industry and End-use (</w:t>
      </w:r>
      <w:proofErr w:type="spellStart"/>
      <w:r w:rsidRPr="004A538C">
        <w:t>BTDIxE</w:t>
      </w:r>
      <w:proofErr w:type="spellEnd"/>
      <w:r w:rsidRPr="004A538C">
        <w:t>), edition 2014</w:t>
      </w:r>
      <w:r>
        <w:t>", February 2015</w:t>
      </w:r>
    </w:p>
  </w:footnote>
  <w:footnote w:id="9">
    <w:p w:rsidR="00727E6A" w:rsidRPr="001E7078" w:rsidRDefault="00727E6A">
      <w:pPr>
        <w:pStyle w:val="FootnoteText"/>
      </w:pPr>
      <w:r>
        <w:rPr>
          <w:rStyle w:val="FootnoteReference"/>
        </w:rPr>
        <w:footnoteRef/>
      </w:r>
      <w:r>
        <w:t xml:space="preserve"> </w:t>
      </w:r>
      <w:proofErr w:type="spellStart"/>
      <w:r w:rsidRPr="001E7078">
        <w:t>Iljen</w:t>
      </w:r>
      <w:proofErr w:type="spellEnd"/>
      <w:r w:rsidRPr="001E7078">
        <w:t xml:space="preserve"> </w:t>
      </w:r>
      <w:proofErr w:type="spellStart"/>
      <w:r w:rsidRPr="001E7078">
        <w:t>Dedegkajeva</w:t>
      </w:r>
      <w:proofErr w:type="spellEnd"/>
      <w:r w:rsidRPr="001E7078">
        <w:t xml:space="preserve"> "Compilation of trade statistics and </w:t>
      </w:r>
      <w:proofErr w:type="spellStart"/>
      <w:r w:rsidRPr="001E7078">
        <w:t>BoP</w:t>
      </w:r>
      <w:proofErr w:type="spellEnd"/>
      <w:r w:rsidRPr="001E7078">
        <w:t xml:space="preserve"> in SUT framework</w:t>
      </w:r>
      <w:r>
        <w:t xml:space="preserve">". Presentation given on the </w:t>
      </w:r>
      <w:r w:rsidRPr="006950E4">
        <w:t>Consolidated EU27 and Euro Area Supply-Use and Input-Output Tables Technical Group Meeting, held on March 23-24 2015 at ONS, London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7A"/>
    <w:multiLevelType w:val="hybridMultilevel"/>
    <w:tmpl w:val="994EF38A"/>
    <w:lvl w:ilvl="0" w:tplc="72606B36">
      <w:start w:val="1"/>
      <w:numFmt w:val="decimal"/>
      <w:lvlText w:val="%1."/>
      <w:lvlJc w:val="left"/>
      <w:pPr>
        <w:ind w:left="1080" w:hanging="720"/>
      </w:pPr>
      <w:rPr>
        <w:rFonts w:ascii="Calibri" w:eastAsiaTheme="minorHAns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97683"/>
    <w:multiLevelType w:val="hybridMultilevel"/>
    <w:tmpl w:val="7B8AF7D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90035"/>
    <w:multiLevelType w:val="hybridMultilevel"/>
    <w:tmpl w:val="6CFA34A6"/>
    <w:lvl w:ilvl="0" w:tplc="226E2F2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F4759E"/>
    <w:multiLevelType w:val="hybridMultilevel"/>
    <w:tmpl w:val="FF38A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8204AE"/>
    <w:multiLevelType w:val="hybridMultilevel"/>
    <w:tmpl w:val="4C06D220"/>
    <w:lvl w:ilvl="0" w:tplc="700C1300">
      <w:numFmt w:val="bullet"/>
      <w:lvlText w:val="-"/>
      <w:lvlJc w:val="left"/>
      <w:pPr>
        <w:tabs>
          <w:tab w:val="num" w:pos="2475"/>
        </w:tabs>
        <w:ind w:left="2475" w:hanging="360"/>
      </w:pPr>
      <w:rPr>
        <w:rFonts w:ascii="Calibri" w:eastAsiaTheme="minorHAnsi" w:hAnsi="Calibri" w:cs="Times New Roman"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5">
    <w:nsid w:val="29F2647C"/>
    <w:multiLevelType w:val="hybridMultilevel"/>
    <w:tmpl w:val="E8FEDD10"/>
    <w:lvl w:ilvl="0" w:tplc="D696F8BC">
      <w:start w:val="1"/>
      <w:numFmt w:val="bullet"/>
      <w:lvlText w:val="•"/>
      <w:lvlJc w:val="left"/>
      <w:pPr>
        <w:tabs>
          <w:tab w:val="num" w:pos="720"/>
        </w:tabs>
        <w:ind w:left="720" w:hanging="360"/>
      </w:pPr>
      <w:rPr>
        <w:rFonts w:ascii="Arial" w:hAnsi="Arial" w:hint="default"/>
      </w:rPr>
    </w:lvl>
    <w:lvl w:ilvl="1" w:tplc="700C1300">
      <w:numFmt w:val="bullet"/>
      <w:lvlText w:val="-"/>
      <w:lvlJc w:val="left"/>
      <w:pPr>
        <w:ind w:left="1440" w:hanging="360"/>
      </w:pPr>
      <w:rPr>
        <w:rFonts w:ascii="Calibri" w:eastAsiaTheme="minorHAnsi" w:hAnsi="Calibri" w:cs="Times New Roman" w:hint="default"/>
      </w:rPr>
    </w:lvl>
    <w:lvl w:ilvl="2" w:tplc="F312A5A2" w:tentative="1">
      <w:start w:val="1"/>
      <w:numFmt w:val="bullet"/>
      <w:lvlText w:val="•"/>
      <w:lvlJc w:val="left"/>
      <w:pPr>
        <w:tabs>
          <w:tab w:val="num" w:pos="2160"/>
        </w:tabs>
        <w:ind w:left="2160" w:hanging="360"/>
      </w:pPr>
      <w:rPr>
        <w:rFonts w:ascii="Arial" w:hAnsi="Arial" w:hint="default"/>
      </w:rPr>
    </w:lvl>
    <w:lvl w:ilvl="3" w:tplc="BAEA5992" w:tentative="1">
      <w:start w:val="1"/>
      <w:numFmt w:val="bullet"/>
      <w:lvlText w:val="•"/>
      <w:lvlJc w:val="left"/>
      <w:pPr>
        <w:tabs>
          <w:tab w:val="num" w:pos="2880"/>
        </w:tabs>
        <w:ind w:left="2880" w:hanging="360"/>
      </w:pPr>
      <w:rPr>
        <w:rFonts w:ascii="Arial" w:hAnsi="Arial" w:hint="default"/>
      </w:rPr>
    </w:lvl>
    <w:lvl w:ilvl="4" w:tplc="B47ECDE6" w:tentative="1">
      <w:start w:val="1"/>
      <w:numFmt w:val="bullet"/>
      <w:lvlText w:val="•"/>
      <w:lvlJc w:val="left"/>
      <w:pPr>
        <w:tabs>
          <w:tab w:val="num" w:pos="3600"/>
        </w:tabs>
        <w:ind w:left="3600" w:hanging="360"/>
      </w:pPr>
      <w:rPr>
        <w:rFonts w:ascii="Arial" w:hAnsi="Arial" w:hint="default"/>
      </w:rPr>
    </w:lvl>
    <w:lvl w:ilvl="5" w:tplc="79203C5E" w:tentative="1">
      <w:start w:val="1"/>
      <w:numFmt w:val="bullet"/>
      <w:lvlText w:val="•"/>
      <w:lvlJc w:val="left"/>
      <w:pPr>
        <w:tabs>
          <w:tab w:val="num" w:pos="4320"/>
        </w:tabs>
        <w:ind w:left="4320" w:hanging="360"/>
      </w:pPr>
      <w:rPr>
        <w:rFonts w:ascii="Arial" w:hAnsi="Arial" w:hint="default"/>
      </w:rPr>
    </w:lvl>
    <w:lvl w:ilvl="6" w:tplc="605626E8" w:tentative="1">
      <w:start w:val="1"/>
      <w:numFmt w:val="bullet"/>
      <w:lvlText w:val="•"/>
      <w:lvlJc w:val="left"/>
      <w:pPr>
        <w:tabs>
          <w:tab w:val="num" w:pos="5040"/>
        </w:tabs>
        <w:ind w:left="5040" w:hanging="360"/>
      </w:pPr>
      <w:rPr>
        <w:rFonts w:ascii="Arial" w:hAnsi="Arial" w:hint="default"/>
      </w:rPr>
    </w:lvl>
    <w:lvl w:ilvl="7" w:tplc="1B2A7FFE" w:tentative="1">
      <w:start w:val="1"/>
      <w:numFmt w:val="bullet"/>
      <w:lvlText w:val="•"/>
      <w:lvlJc w:val="left"/>
      <w:pPr>
        <w:tabs>
          <w:tab w:val="num" w:pos="5760"/>
        </w:tabs>
        <w:ind w:left="5760" w:hanging="360"/>
      </w:pPr>
      <w:rPr>
        <w:rFonts w:ascii="Arial" w:hAnsi="Arial" w:hint="default"/>
      </w:rPr>
    </w:lvl>
    <w:lvl w:ilvl="8" w:tplc="AE06B604" w:tentative="1">
      <w:start w:val="1"/>
      <w:numFmt w:val="bullet"/>
      <w:lvlText w:val="•"/>
      <w:lvlJc w:val="left"/>
      <w:pPr>
        <w:tabs>
          <w:tab w:val="num" w:pos="6480"/>
        </w:tabs>
        <w:ind w:left="6480" w:hanging="360"/>
      </w:pPr>
      <w:rPr>
        <w:rFonts w:ascii="Arial" w:hAnsi="Arial" w:hint="default"/>
      </w:rPr>
    </w:lvl>
  </w:abstractNum>
  <w:abstractNum w:abstractNumId="6">
    <w:nsid w:val="2AFA0691"/>
    <w:multiLevelType w:val="hybridMultilevel"/>
    <w:tmpl w:val="2A0696F8"/>
    <w:lvl w:ilvl="0" w:tplc="9F308C20">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F46C3D"/>
    <w:multiLevelType w:val="hybridMultilevel"/>
    <w:tmpl w:val="476C590C"/>
    <w:lvl w:ilvl="0" w:tplc="700C130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DA6EAD"/>
    <w:multiLevelType w:val="hybridMultilevel"/>
    <w:tmpl w:val="6D7E07C0"/>
    <w:lvl w:ilvl="0" w:tplc="700C1300">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50EA2"/>
    <w:multiLevelType w:val="hybridMultilevel"/>
    <w:tmpl w:val="238E4C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C1A3A5C"/>
    <w:multiLevelType w:val="hybridMultilevel"/>
    <w:tmpl w:val="3CE8193A"/>
    <w:lvl w:ilvl="0" w:tplc="D696F8BC">
      <w:start w:val="1"/>
      <w:numFmt w:val="bullet"/>
      <w:lvlText w:val="•"/>
      <w:lvlJc w:val="left"/>
      <w:pPr>
        <w:tabs>
          <w:tab w:val="num" w:pos="1755"/>
        </w:tabs>
        <w:ind w:left="1755" w:hanging="360"/>
      </w:pPr>
      <w:rPr>
        <w:rFonts w:ascii="Arial" w:hAnsi="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1">
    <w:nsid w:val="51D47FAC"/>
    <w:multiLevelType w:val="multilevel"/>
    <w:tmpl w:val="66BCB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56682F"/>
    <w:multiLevelType w:val="hybridMultilevel"/>
    <w:tmpl w:val="369A09F8"/>
    <w:lvl w:ilvl="0" w:tplc="BF303E1A">
      <w:start w:val="1"/>
      <w:numFmt w:val="bullet"/>
      <w:lvlText w:val=""/>
      <w:lvlJc w:val="left"/>
      <w:pPr>
        <w:tabs>
          <w:tab w:val="num" w:pos="720"/>
        </w:tabs>
        <w:ind w:left="720" w:hanging="360"/>
      </w:pPr>
      <w:rPr>
        <w:rFonts w:ascii="Wingdings" w:hAnsi="Wingdings" w:hint="default"/>
      </w:rPr>
    </w:lvl>
    <w:lvl w:ilvl="1" w:tplc="EE64188C" w:tentative="1">
      <w:start w:val="1"/>
      <w:numFmt w:val="bullet"/>
      <w:lvlText w:val=""/>
      <w:lvlJc w:val="left"/>
      <w:pPr>
        <w:tabs>
          <w:tab w:val="num" w:pos="1440"/>
        </w:tabs>
        <w:ind w:left="1440" w:hanging="360"/>
      </w:pPr>
      <w:rPr>
        <w:rFonts w:ascii="Wingdings" w:hAnsi="Wingdings" w:hint="default"/>
      </w:rPr>
    </w:lvl>
    <w:lvl w:ilvl="2" w:tplc="01F44D54" w:tentative="1">
      <w:start w:val="1"/>
      <w:numFmt w:val="bullet"/>
      <w:lvlText w:val=""/>
      <w:lvlJc w:val="left"/>
      <w:pPr>
        <w:tabs>
          <w:tab w:val="num" w:pos="2160"/>
        </w:tabs>
        <w:ind w:left="2160" w:hanging="360"/>
      </w:pPr>
      <w:rPr>
        <w:rFonts w:ascii="Wingdings" w:hAnsi="Wingdings" w:hint="default"/>
      </w:rPr>
    </w:lvl>
    <w:lvl w:ilvl="3" w:tplc="0FE66162" w:tentative="1">
      <w:start w:val="1"/>
      <w:numFmt w:val="bullet"/>
      <w:lvlText w:val=""/>
      <w:lvlJc w:val="left"/>
      <w:pPr>
        <w:tabs>
          <w:tab w:val="num" w:pos="2880"/>
        </w:tabs>
        <w:ind w:left="2880" w:hanging="360"/>
      </w:pPr>
      <w:rPr>
        <w:rFonts w:ascii="Wingdings" w:hAnsi="Wingdings" w:hint="default"/>
      </w:rPr>
    </w:lvl>
    <w:lvl w:ilvl="4" w:tplc="6AAEF644" w:tentative="1">
      <w:start w:val="1"/>
      <w:numFmt w:val="bullet"/>
      <w:lvlText w:val=""/>
      <w:lvlJc w:val="left"/>
      <w:pPr>
        <w:tabs>
          <w:tab w:val="num" w:pos="3600"/>
        </w:tabs>
        <w:ind w:left="3600" w:hanging="360"/>
      </w:pPr>
      <w:rPr>
        <w:rFonts w:ascii="Wingdings" w:hAnsi="Wingdings" w:hint="default"/>
      </w:rPr>
    </w:lvl>
    <w:lvl w:ilvl="5" w:tplc="2D765E7A" w:tentative="1">
      <w:start w:val="1"/>
      <w:numFmt w:val="bullet"/>
      <w:lvlText w:val=""/>
      <w:lvlJc w:val="left"/>
      <w:pPr>
        <w:tabs>
          <w:tab w:val="num" w:pos="4320"/>
        </w:tabs>
        <w:ind w:left="4320" w:hanging="360"/>
      </w:pPr>
      <w:rPr>
        <w:rFonts w:ascii="Wingdings" w:hAnsi="Wingdings" w:hint="default"/>
      </w:rPr>
    </w:lvl>
    <w:lvl w:ilvl="6" w:tplc="F1F27A44" w:tentative="1">
      <w:start w:val="1"/>
      <w:numFmt w:val="bullet"/>
      <w:lvlText w:val=""/>
      <w:lvlJc w:val="left"/>
      <w:pPr>
        <w:tabs>
          <w:tab w:val="num" w:pos="5040"/>
        </w:tabs>
        <w:ind w:left="5040" w:hanging="360"/>
      </w:pPr>
      <w:rPr>
        <w:rFonts w:ascii="Wingdings" w:hAnsi="Wingdings" w:hint="default"/>
      </w:rPr>
    </w:lvl>
    <w:lvl w:ilvl="7" w:tplc="0CB6DF54" w:tentative="1">
      <w:start w:val="1"/>
      <w:numFmt w:val="bullet"/>
      <w:lvlText w:val=""/>
      <w:lvlJc w:val="left"/>
      <w:pPr>
        <w:tabs>
          <w:tab w:val="num" w:pos="5760"/>
        </w:tabs>
        <w:ind w:left="5760" w:hanging="360"/>
      </w:pPr>
      <w:rPr>
        <w:rFonts w:ascii="Wingdings" w:hAnsi="Wingdings" w:hint="default"/>
      </w:rPr>
    </w:lvl>
    <w:lvl w:ilvl="8" w:tplc="1D581BD8" w:tentative="1">
      <w:start w:val="1"/>
      <w:numFmt w:val="bullet"/>
      <w:lvlText w:val=""/>
      <w:lvlJc w:val="left"/>
      <w:pPr>
        <w:tabs>
          <w:tab w:val="num" w:pos="6480"/>
        </w:tabs>
        <w:ind w:left="6480" w:hanging="360"/>
      </w:pPr>
      <w:rPr>
        <w:rFonts w:ascii="Wingdings" w:hAnsi="Wingdings" w:hint="default"/>
      </w:rPr>
    </w:lvl>
  </w:abstractNum>
  <w:abstractNum w:abstractNumId="13">
    <w:nsid w:val="71D54FEF"/>
    <w:multiLevelType w:val="hybridMultilevel"/>
    <w:tmpl w:val="A9C8D6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9"/>
  </w:num>
  <w:num w:numId="9">
    <w:abstractNumId w:val="2"/>
    <w:lvlOverride w:ilvl="0">
      <w:startOverride w:val="1"/>
    </w:lvlOverride>
  </w:num>
  <w:num w:numId="10">
    <w:abstractNumId w:val="2"/>
  </w:num>
  <w:num w:numId="11">
    <w:abstractNumId w:val="1"/>
  </w:num>
  <w:num w:numId="12">
    <w:abstractNumId w:val="10"/>
  </w:num>
  <w:num w:numId="13">
    <w:abstractNumId w:val="4"/>
  </w:num>
  <w:num w:numId="14">
    <w:abstractNumId w:val="2"/>
    <w:lvlOverride w:ilvl="0">
      <w:startOverride w:val="1"/>
    </w:lvlOverride>
  </w:num>
  <w:num w:numId="15">
    <w:abstractNumId w:val="3"/>
  </w:num>
  <w:num w:numId="16">
    <w:abstractNumId w:val="7"/>
  </w:num>
  <w:num w:numId="17">
    <w:abstractNumId w:val="8"/>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3F2B"/>
    <w:rsid w:val="000035F4"/>
    <w:rsid w:val="00025FCF"/>
    <w:rsid w:val="00043553"/>
    <w:rsid w:val="000518D2"/>
    <w:rsid w:val="0006051A"/>
    <w:rsid w:val="00073F2B"/>
    <w:rsid w:val="000D0EE6"/>
    <w:rsid w:val="000E2B71"/>
    <w:rsid w:val="000F3D4D"/>
    <w:rsid w:val="00105174"/>
    <w:rsid w:val="00122FBC"/>
    <w:rsid w:val="001275CA"/>
    <w:rsid w:val="00136675"/>
    <w:rsid w:val="0016405F"/>
    <w:rsid w:val="00171A8E"/>
    <w:rsid w:val="001A0E00"/>
    <w:rsid w:val="001B1582"/>
    <w:rsid w:val="001C22C0"/>
    <w:rsid w:val="001C2F0D"/>
    <w:rsid w:val="001E7078"/>
    <w:rsid w:val="001F04CA"/>
    <w:rsid w:val="002416DD"/>
    <w:rsid w:val="00243C2F"/>
    <w:rsid w:val="002467F8"/>
    <w:rsid w:val="0024789C"/>
    <w:rsid w:val="00280A93"/>
    <w:rsid w:val="00281149"/>
    <w:rsid w:val="002B47C9"/>
    <w:rsid w:val="002C340B"/>
    <w:rsid w:val="002D14DD"/>
    <w:rsid w:val="002E0EB2"/>
    <w:rsid w:val="002E4341"/>
    <w:rsid w:val="002E6BF4"/>
    <w:rsid w:val="00311DBC"/>
    <w:rsid w:val="003146BF"/>
    <w:rsid w:val="00316656"/>
    <w:rsid w:val="00331DB0"/>
    <w:rsid w:val="00334775"/>
    <w:rsid w:val="003C3341"/>
    <w:rsid w:val="003D4767"/>
    <w:rsid w:val="003D7C38"/>
    <w:rsid w:val="003F47A9"/>
    <w:rsid w:val="00412C31"/>
    <w:rsid w:val="004448B6"/>
    <w:rsid w:val="004469E1"/>
    <w:rsid w:val="0044799C"/>
    <w:rsid w:val="0046109F"/>
    <w:rsid w:val="0047370E"/>
    <w:rsid w:val="004A06F1"/>
    <w:rsid w:val="004A41D3"/>
    <w:rsid w:val="004A538C"/>
    <w:rsid w:val="004A7FCF"/>
    <w:rsid w:val="004B0C2F"/>
    <w:rsid w:val="004B5B3D"/>
    <w:rsid w:val="00505C86"/>
    <w:rsid w:val="0051157D"/>
    <w:rsid w:val="00531278"/>
    <w:rsid w:val="00552E4E"/>
    <w:rsid w:val="00560595"/>
    <w:rsid w:val="00581922"/>
    <w:rsid w:val="00585054"/>
    <w:rsid w:val="00597646"/>
    <w:rsid w:val="005A3CF5"/>
    <w:rsid w:val="005A6030"/>
    <w:rsid w:val="005C5E18"/>
    <w:rsid w:val="005F2969"/>
    <w:rsid w:val="00612F3C"/>
    <w:rsid w:val="00644027"/>
    <w:rsid w:val="00682FC3"/>
    <w:rsid w:val="006D1B1F"/>
    <w:rsid w:val="006D23FC"/>
    <w:rsid w:val="006D5008"/>
    <w:rsid w:val="006D7658"/>
    <w:rsid w:val="006E61B9"/>
    <w:rsid w:val="006E7374"/>
    <w:rsid w:val="006F23E3"/>
    <w:rsid w:val="00727E6A"/>
    <w:rsid w:val="00732399"/>
    <w:rsid w:val="007379A9"/>
    <w:rsid w:val="007402EA"/>
    <w:rsid w:val="00746651"/>
    <w:rsid w:val="007A20CC"/>
    <w:rsid w:val="007A363A"/>
    <w:rsid w:val="007B09AC"/>
    <w:rsid w:val="007B4DC6"/>
    <w:rsid w:val="007B7E98"/>
    <w:rsid w:val="007C1541"/>
    <w:rsid w:val="00844394"/>
    <w:rsid w:val="00893ED7"/>
    <w:rsid w:val="008B4656"/>
    <w:rsid w:val="008C0D99"/>
    <w:rsid w:val="008C32D9"/>
    <w:rsid w:val="008D3DC9"/>
    <w:rsid w:val="008E0CA2"/>
    <w:rsid w:val="008E2ECC"/>
    <w:rsid w:val="008F6E90"/>
    <w:rsid w:val="00913FD8"/>
    <w:rsid w:val="00940145"/>
    <w:rsid w:val="00953AA2"/>
    <w:rsid w:val="00962582"/>
    <w:rsid w:val="00976DBC"/>
    <w:rsid w:val="00980605"/>
    <w:rsid w:val="009914E1"/>
    <w:rsid w:val="00991793"/>
    <w:rsid w:val="009943CB"/>
    <w:rsid w:val="009963F6"/>
    <w:rsid w:val="009B7DFD"/>
    <w:rsid w:val="009D7C0C"/>
    <w:rsid w:val="009E0B98"/>
    <w:rsid w:val="009F682D"/>
    <w:rsid w:val="00A00BC9"/>
    <w:rsid w:val="00A34603"/>
    <w:rsid w:val="00A413E2"/>
    <w:rsid w:val="00A53697"/>
    <w:rsid w:val="00A62764"/>
    <w:rsid w:val="00A65C10"/>
    <w:rsid w:val="00A6618A"/>
    <w:rsid w:val="00A72612"/>
    <w:rsid w:val="00A86A4D"/>
    <w:rsid w:val="00A87F79"/>
    <w:rsid w:val="00A91D51"/>
    <w:rsid w:val="00AD34A5"/>
    <w:rsid w:val="00AE22BE"/>
    <w:rsid w:val="00AE6CD3"/>
    <w:rsid w:val="00B047DC"/>
    <w:rsid w:val="00B16F44"/>
    <w:rsid w:val="00B26F45"/>
    <w:rsid w:val="00B36365"/>
    <w:rsid w:val="00B42175"/>
    <w:rsid w:val="00B42DA8"/>
    <w:rsid w:val="00B62919"/>
    <w:rsid w:val="00B711D3"/>
    <w:rsid w:val="00B747B5"/>
    <w:rsid w:val="00B81886"/>
    <w:rsid w:val="00B821F3"/>
    <w:rsid w:val="00B9739F"/>
    <w:rsid w:val="00BD0330"/>
    <w:rsid w:val="00BE6F67"/>
    <w:rsid w:val="00BF1E2E"/>
    <w:rsid w:val="00C01BFF"/>
    <w:rsid w:val="00C5317A"/>
    <w:rsid w:val="00C77699"/>
    <w:rsid w:val="00C77D45"/>
    <w:rsid w:val="00C84CA8"/>
    <w:rsid w:val="00C86C6E"/>
    <w:rsid w:val="00C9049C"/>
    <w:rsid w:val="00CA5B80"/>
    <w:rsid w:val="00CB0B48"/>
    <w:rsid w:val="00CB2FF9"/>
    <w:rsid w:val="00CC623B"/>
    <w:rsid w:val="00CD25A9"/>
    <w:rsid w:val="00D15614"/>
    <w:rsid w:val="00D510D9"/>
    <w:rsid w:val="00D52F9B"/>
    <w:rsid w:val="00D71203"/>
    <w:rsid w:val="00D93A0C"/>
    <w:rsid w:val="00D93BCB"/>
    <w:rsid w:val="00D9783C"/>
    <w:rsid w:val="00DA6845"/>
    <w:rsid w:val="00E02218"/>
    <w:rsid w:val="00E15F47"/>
    <w:rsid w:val="00E376A7"/>
    <w:rsid w:val="00E527CB"/>
    <w:rsid w:val="00E57928"/>
    <w:rsid w:val="00E65EC2"/>
    <w:rsid w:val="00E7459A"/>
    <w:rsid w:val="00E8352C"/>
    <w:rsid w:val="00E860C4"/>
    <w:rsid w:val="00E96970"/>
    <w:rsid w:val="00EC3622"/>
    <w:rsid w:val="00ED4E50"/>
    <w:rsid w:val="00F07CD1"/>
    <w:rsid w:val="00F12AE3"/>
    <w:rsid w:val="00F14BA0"/>
    <w:rsid w:val="00F42F3C"/>
    <w:rsid w:val="00F67595"/>
    <w:rsid w:val="00F8415C"/>
    <w:rsid w:val="00FA1CF3"/>
    <w:rsid w:val="00FB11A9"/>
    <w:rsid w:val="00FB59B0"/>
    <w:rsid w:val="00FC21E1"/>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FF"/>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0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699"/>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D51"/>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21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C01BFF"/>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C01BFF"/>
    <w:pPr>
      <w:widowControl w:val="0"/>
      <w:autoSpaceDE w:val="0"/>
      <w:autoSpaceDN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rsid w:val="00C01B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FF"/>
    <w:rPr>
      <w:rFonts w:ascii="Tahoma" w:eastAsia="Times New Roman" w:hAnsi="Tahoma" w:cs="Tahoma"/>
      <w:sz w:val="16"/>
      <w:szCs w:val="16"/>
    </w:rPr>
  </w:style>
  <w:style w:type="character" w:customStyle="1" w:styleId="Heading1Char">
    <w:name w:val="Heading 1 Char"/>
    <w:basedOn w:val="DefaultParagraphFont"/>
    <w:link w:val="Heading1"/>
    <w:uiPriority w:val="9"/>
    <w:rsid w:val="00C01BF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0517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05174"/>
    <w:rPr>
      <w:rFonts w:cstheme="minorBidi"/>
      <w:color w:val="auto"/>
    </w:rPr>
  </w:style>
  <w:style w:type="paragraph" w:customStyle="1" w:styleId="CM3">
    <w:name w:val="CM3"/>
    <w:basedOn w:val="Default"/>
    <w:next w:val="Default"/>
    <w:uiPriority w:val="99"/>
    <w:rsid w:val="00105174"/>
    <w:rPr>
      <w:rFonts w:cstheme="minorBidi"/>
      <w:color w:val="auto"/>
    </w:rPr>
  </w:style>
  <w:style w:type="character" w:customStyle="1" w:styleId="Heading2Char">
    <w:name w:val="Heading 2 Char"/>
    <w:basedOn w:val="DefaultParagraphFont"/>
    <w:link w:val="Heading2"/>
    <w:uiPriority w:val="9"/>
    <w:rsid w:val="00C776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B747B5"/>
    <w:rPr>
      <w:color w:val="0000FF"/>
      <w:u w:val="single"/>
    </w:rPr>
  </w:style>
  <w:style w:type="character" w:styleId="FollowedHyperlink">
    <w:name w:val="FollowedHyperlink"/>
    <w:basedOn w:val="DefaultParagraphFont"/>
    <w:uiPriority w:val="99"/>
    <w:semiHidden/>
    <w:unhideWhenUsed/>
    <w:rsid w:val="00B747B5"/>
    <w:rPr>
      <w:color w:val="800080" w:themeColor="followedHyperlink"/>
      <w:u w:val="single"/>
    </w:rPr>
  </w:style>
  <w:style w:type="paragraph" w:styleId="NormalWeb">
    <w:name w:val="Normal (Web)"/>
    <w:basedOn w:val="Normal"/>
    <w:uiPriority w:val="99"/>
    <w:semiHidden/>
    <w:unhideWhenUsed/>
    <w:rsid w:val="00644027"/>
    <w:pPr>
      <w:spacing w:before="100" w:beforeAutospacing="1" w:after="100" w:afterAutospacing="1"/>
      <w:jc w:val="left"/>
    </w:pPr>
    <w:rPr>
      <w:szCs w:val="24"/>
      <w:lang w:eastAsia="en-GB"/>
    </w:rPr>
  </w:style>
  <w:style w:type="character" w:styleId="Strong">
    <w:name w:val="Strong"/>
    <w:basedOn w:val="DefaultParagraphFont"/>
    <w:uiPriority w:val="22"/>
    <w:qFormat/>
    <w:rsid w:val="00644027"/>
    <w:rPr>
      <w:b/>
      <w:bCs/>
    </w:rPr>
  </w:style>
  <w:style w:type="character" w:customStyle="1" w:styleId="Heading3Char">
    <w:name w:val="Heading 3 Char"/>
    <w:basedOn w:val="DefaultParagraphFont"/>
    <w:link w:val="Heading3"/>
    <w:uiPriority w:val="9"/>
    <w:rsid w:val="00A91D51"/>
    <w:rPr>
      <w:rFonts w:asciiTheme="majorHAnsi" w:eastAsiaTheme="majorEastAsia" w:hAnsiTheme="majorHAnsi" w:cstheme="majorBidi"/>
      <w:b/>
      <w:bCs/>
      <w:color w:val="4F81BD" w:themeColor="accent1"/>
      <w:sz w:val="24"/>
      <w:szCs w:val="20"/>
    </w:rPr>
  </w:style>
  <w:style w:type="table" w:styleId="TableGrid">
    <w:name w:val="Table Grid"/>
    <w:basedOn w:val="TableNormal"/>
    <w:uiPriority w:val="59"/>
    <w:rsid w:val="00BE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E6F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E6F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F12AE3"/>
    <w:pPr>
      <w:spacing w:after="0"/>
    </w:pPr>
    <w:rPr>
      <w:sz w:val="20"/>
    </w:rPr>
  </w:style>
  <w:style w:type="character" w:customStyle="1" w:styleId="FootnoteTextChar">
    <w:name w:val="Footnote Text Char"/>
    <w:basedOn w:val="DefaultParagraphFont"/>
    <w:link w:val="FootnoteText"/>
    <w:uiPriority w:val="99"/>
    <w:rsid w:val="00F12A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2AE3"/>
    <w:rPr>
      <w:vertAlign w:val="superscript"/>
    </w:rPr>
  </w:style>
  <w:style w:type="paragraph" w:styleId="ListParagraph">
    <w:name w:val="List Paragraph"/>
    <w:basedOn w:val="Normal"/>
    <w:uiPriority w:val="34"/>
    <w:qFormat/>
    <w:rsid w:val="00597646"/>
    <w:pPr>
      <w:spacing w:after="0"/>
      <w:ind w:left="720"/>
      <w:jc w:val="left"/>
    </w:pPr>
    <w:rPr>
      <w:rFonts w:ascii="Calibri" w:eastAsiaTheme="minorHAnsi" w:hAnsi="Calibri"/>
      <w:sz w:val="22"/>
      <w:szCs w:val="22"/>
    </w:rPr>
  </w:style>
  <w:style w:type="character" w:styleId="HTMLCite">
    <w:name w:val="HTML Cite"/>
    <w:basedOn w:val="DefaultParagraphFont"/>
    <w:uiPriority w:val="99"/>
    <w:semiHidden/>
    <w:unhideWhenUsed/>
    <w:rsid w:val="007B4DC6"/>
    <w:rPr>
      <w:i/>
      <w:iCs/>
    </w:rPr>
  </w:style>
  <w:style w:type="character" w:styleId="CommentReference">
    <w:name w:val="annotation reference"/>
    <w:basedOn w:val="DefaultParagraphFont"/>
    <w:uiPriority w:val="99"/>
    <w:semiHidden/>
    <w:unhideWhenUsed/>
    <w:rsid w:val="004A7FCF"/>
    <w:rPr>
      <w:sz w:val="16"/>
      <w:szCs w:val="16"/>
    </w:rPr>
  </w:style>
  <w:style w:type="paragraph" w:styleId="CommentText">
    <w:name w:val="annotation text"/>
    <w:basedOn w:val="Normal"/>
    <w:link w:val="CommentTextChar"/>
    <w:uiPriority w:val="99"/>
    <w:semiHidden/>
    <w:unhideWhenUsed/>
    <w:rsid w:val="004A7FCF"/>
    <w:rPr>
      <w:sz w:val="20"/>
    </w:rPr>
  </w:style>
  <w:style w:type="character" w:customStyle="1" w:styleId="CommentTextChar">
    <w:name w:val="Comment Text Char"/>
    <w:basedOn w:val="DefaultParagraphFont"/>
    <w:link w:val="CommentText"/>
    <w:uiPriority w:val="99"/>
    <w:semiHidden/>
    <w:rsid w:val="004A7F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FCF"/>
    <w:rPr>
      <w:b/>
      <w:bCs/>
    </w:rPr>
  </w:style>
  <w:style w:type="character" w:customStyle="1" w:styleId="CommentSubjectChar">
    <w:name w:val="Comment Subject Char"/>
    <w:basedOn w:val="CommentTextChar"/>
    <w:link w:val="CommentSubject"/>
    <w:uiPriority w:val="99"/>
    <w:semiHidden/>
    <w:rsid w:val="004A7FC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C21E1"/>
    <w:rPr>
      <w:rFonts w:asciiTheme="majorHAnsi" w:eastAsiaTheme="majorEastAsia" w:hAnsiTheme="majorHAnsi" w:cstheme="majorBidi"/>
      <w:b/>
      <w:bCs/>
      <w:i/>
      <w:iCs/>
      <w:color w:val="4F81BD" w:themeColor="accent1"/>
      <w:sz w:val="24"/>
      <w:szCs w:val="20"/>
    </w:rPr>
  </w:style>
  <w:style w:type="paragraph" w:styleId="Subtitle">
    <w:name w:val="Subtitle"/>
    <w:basedOn w:val="Normal"/>
    <w:next w:val="Normal"/>
    <w:link w:val="SubtitleChar"/>
    <w:uiPriority w:val="11"/>
    <w:qFormat/>
    <w:rsid w:val="00C904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9049C"/>
    <w:rPr>
      <w:rFonts w:asciiTheme="majorHAnsi" w:eastAsiaTheme="majorEastAsia" w:hAnsiTheme="majorHAnsi" w:cstheme="majorBidi"/>
      <w:i/>
      <w:iCs/>
      <w:color w:val="4F81BD" w:themeColor="accent1"/>
      <w:spacing w:val="15"/>
      <w:sz w:val="24"/>
      <w:szCs w:val="24"/>
    </w:rPr>
  </w:style>
  <w:style w:type="paragraph" w:customStyle="1" w:styleId="Names">
    <w:name w:val="Names"/>
    <w:basedOn w:val="Normal"/>
    <w:rsid w:val="00581922"/>
    <w:pPr>
      <w:spacing w:after="0"/>
      <w:jc w:val="left"/>
    </w:pPr>
    <w:rPr>
      <w:b/>
      <w:i/>
      <w:lang w:eastAsia="es-ES"/>
    </w:rPr>
  </w:style>
  <w:style w:type="paragraph" w:styleId="Header">
    <w:name w:val="header"/>
    <w:basedOn w:val="Normal"/>
    <w:link w:val="HeaderChar"/>
    <w:uiPriority w:val="99"/>
    <w:unhideWhenUsed/>
    <w:rsid w:val="00940145"/>
    <w:pPr>
      <w:tabs>
        <w:tab w:val="center" w:pos="4513"/>
        <w:tab w:val="right" w:pos="9026"/>
      </w:tabs>
      <w:spacing w:after="0"/>
    </w:pPr>
  </w:style>
  <w:style w:type="character" w:customStyle="1" w:styleId="HeaderChar">
    <w:name w:val="Header Char"/>
    <w:basedOn w:val="DefaultParagraphFont"/>
    <w:link w:val="Header"/>
    <w:uiPriority w:val="99"/>
    <w:rsid w:val="0094014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0145"/>
    <w:pPr>
      <w:tabs>
        <w:tab w:val="center" w:pos="4513"/>
        <w:tab w:val="right" w:pos="9026"/>
      </w:tabs>
      <w:spacing w:after="0"/>
    </w:pPr>
  </w:style>
  <w:style w:type="character" w:customStyle="1" w:styleId="FooterChar">
    <w:name w:val="Footer Char"/>
    <w:basedOn w:val="DefaultParagraphFont"/>
    <w:link w:val="Footer"/>
    <w:uiPriority w:val="99"/>
    <w:rsid w:val="0094014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FF"/>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0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699"/>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D51"/>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21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C01BFF"/>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C01BFF"/>
    <w:pPr>
      <w:widowControl w:val="0"/>
      <w:autoSpaceDE w:val="0"/>
      <w:autoSpaceDN w:val="0"/>
      <w:spacing w:after="0"/>
      <w:ind w:right="85"/>
      <w:jc w:val="left"/>
    </w:pPr>
    <w:rPr>
      <w:rFonts w:ascii="Arial" w:hAnsi="Arial" w:cs="Arial"/>
      <w:sz w:val="16"/>
      <w:szCs w:val="16"/>
      <w:lang w:eastAsia="en-GB"/>
    </w:rPr>
  </w:style>
  <w:style w:type="paragraph" w:styleId="BalloonText">
    <w:name w:val="Balloon Text"/>
    <w:basedOn w:val="Normal"/>
    <w:link w:val="BalloonTextChar"/>
    <w:uiPriority w:val="99"/>
    <w:semiHidden/>
    <w:unhideWhenUsed/>
    <w:rsid w:val="00C01B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BFF"/>
    <w:rPr>
      <w:rFonts w:ascii="Tahoma" w:eastAsia="Times New Roman" w:hAnsi="Tahoma" w:cs="Tahoma"/>
      <w:sz w:val="16"/>
      <w:szCs w:val="16"/>
    </w:rPr>
  </w:style>
  <w:style w:type="character" w:customStyle="1" w:styleId="Heading1Char">
    <w:name w:val="Heading 1 Char"/>
    <w:basedOn w:val="DefaultParagraphFont"/>
    <w:link w:val="Heading1"/>
    <w:uiPriority w:val="9"/>
    <w:rsid w:val="00C01BF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0517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05174"/>
    <w:rPr>
      <w:rFonts w:cstheme="minorBidi"/>
      <w:color w:val="auto"/>
    </w:rPr>
  </w:style>
  <w:style w:type="paragraph" w:customStyle="1" w:styleId="CM3">
    <w:name w:val="CM3"/>
    <w:basedOn w:val="Default"/>
    <w:next w:val="Default"/>
    <w:uiPriority w:val="99"/>
    <w:rsid w:val="00105174"/>
    <w:rPr>
      <w:rFonts w:cstheme="minorBidi"/>
      <w:color w:val="auto"/>
    </w:rPr>
  </w:style>
  <w:style w:type="character" w:customStyle="1" w:styleId="Heading2Char">
    <w:name w:val="Heading 2 Char"/>
    <w:basedOn w:val="DefaultParagraphFont"/>
    <w:link w:val="Heading2"/>
    <w:uiPriority w:val="9"/>
    <w:rsid w:val="00C776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B747B5"/>
    <w:rPr>
      <w:color w:val="0000FF"/>
      <w:u w:val="single"/>
    </w:rPr>
  </w:style>
  <w:style w:type="character" w:styleId="FollowedHyperlink">
    <w:name w:val="FollowedHyperlink"/>
    <w:basedOn w:val="DefaultParagraphFont"/>
    <w:uiPriority w:val="99"/>
    <w:semiHidden/>
    <w:unhideWhenUsed/>
    <w:rsid w:val="00B747B5"/>
    <w:rPr>
      <w:color w:val="800080" w:themeColor="followedHyperlink"/>
      <w:u w:val="single"/>
    </w:rPr>
  </w:style>
  <w:style w:type="paragraph" w:styleId="NormalWeb">
    <w:name w:val="Normal (Web)"/>
    <w:basedOn w:val="Normal"/>
    <w:uiPriority w:val="99"/>
    <w:semiHidden/>
    <w:unhideWhenUsed/>
    <w:rsid w:val="00644027"/>
    <w:pPr>
      <w:spacing w:before="100" w:beforeAutospacing="1" w:after="100" w:afterAutospacing="1"/>
      <w:jc w:val="left"/>
    </w:pPr>
    <w:rPr>
      <w:szCs w:val="24"/>
      <w:lang w:eastAsia="en-GB"/>
    </w:rPr>
  </w:style>
  <w:style w:type="character" w:styleId="Strong">
    <w:name w:val="Strong"/>
    <w:basedOn w:val="DefaultParagraphFont"/>
    <w:uiPriority w:val="22"/>
    <w:qFormat/>
    <w:rsid w:val="00644027"/>
    <w:rPr>
      <w:b/>
      <w:bCs/>
    </w:rPr>
  </w:style>
  <w:style w:type="character" w:customStyle="1" w:styleId="Heading3Char">
    <w:name w:val="Heading 3 Char"/>
    <w:basedOn w:val="DefaultParagraphFont"/>
    <w:link w:val="Heading3"/>
    <w:uiPriority w:val="9"/>
    <w:rsid w:val="00A91D51"/>
    <w:rPr>
      <w:rFonts w:asciiTheme="majorHAnsi" w:eastAsiaTheme="majorEastAsia" w:hAnsiTheme="majorHAnsi" w:cstheme="majorBidi"/>
      <w:b/>
      <w:bCs/>
      <w:color w:val="4F81BD" w:themeColor="accent1"/>
      <w:sz w:val="24"/>
      <w:szCs w:val="20"/>
    </w:rPr>
  </w:style>
  <w:style w:type="table" w:styleId="TableGrid">
    <w:name w:val="Table Grid"/>
    <w:basedOn w:val="TableNormal"/>
    <w:uiPriority w:val="59"/>
    <w:rsid w:val="00BE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E6F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E6F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F12AE3"/>
    <w:pPr>
      <w:spacing w:after="0"/>
    </w:pPr>
    <w:rPr>
      <w:sz w:val="20"/>
    </w:rPr>
  </w:style>
  <w:style w:type="character" w:customStyle="1" w:styleId="FootnoteTextChar">
    <w:name w:val="Footnote Text Char"/>
    <w:basedOn w:val="DefaultParagraphFont"/>
    <w:link w:val="FootnoteText"/>
    <w:uiPriority w:val="99"/>
    <w:rsid w:val="00F12A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2AE3"/>
    <w:rPr>
      <w:vertAlign w:val="superscript"/>
    </w:rPr>
  </w:style>
  <w:style w:type="paragraph" w:styleId="ListParagraph">
    <w:name w:val="List Paragraph"/>
    <w:basedOn w:val="Normal"/>
    <w:uiPriority w:val="34"/>
    <w:qFormat/>
    <w:rsid w:val="00597646"/>
    <w:pPr>
      <w:spacing w:after="0"/>
      <w:ind w:left="720"/>
      <w:jc w:val="left"/>
    </w:pPr>
    <w:rPr>
      <w:rFonts w:ascii="Calibri" w:eastAsiaTheme="minorHAnsi" w:hAnsi="Calibri"/>
      <w:sz w:val="22"/>
      <w:szCs w:val="22"/>
    </w:rPr>
  </w:style>
  <w:style w:type="character" w:styleId="HTMLCite">
    <w:name w:val="HTML Cite"/>
    <w:basedOn w:val="DefaultParagraphFont"/>
    <w:uiPriority w:val="99"/>
    <w:semiHidden/>
    <w:unhideWhenUsed/>
    <w:rsid w:val="007B4DC6"/>
    <w:rPr>
      <w:i/>
      <w:iCs/>
    </w:rPr>
  </w:style>
  <w:style w:type="character" w:styleId="CommentReference">
    <w:name w:val="annotation reference"/>
    <w:basedOn w:val="DefaultParagraphFont"/>
    <w:uiPriority w:val="99"/>
    <w:semiHidden/>
    <w:unhideWhenUsed/>
    <w:rsid w:val="004A7FCF"/>
    <w:rPr>
      <w:sz w:val="16"/>
      <w:szCs w:val="16"/>
    </w:rPr>
  </w:style>
  <w:style w:type="paragraph" w:styleId="CommentText">
    <w:name w:val="annotation text"/>
    <w:basedOn w:val="Normal"/>
    <w:link w:val="CommentTextChar"/>
    <w:uiPriority w:val="99"/>
    <w:semiHidden/>
    <w:unhideWhenUsed/>
    <w:rsid w:val="004A7FCF"/>
    <w:rPr>
      <w:sz w:val="20"/>
    </w:rPr>
  </w:style>
  <w:style w:type="character" w:customStyle="1" w:styleId="CommentTextChar">
    <w:name w:val="Comment Text Char"/>
    <w:basedOn w:val="DefaultParagraphFont"/>
    <w:link w:val="CommentText"/>
    <w:uiPriority w:val="99"/>
    <w:semiHidden/>
    <w:rsid w:val="004A7F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FCF"/>
    <w:rPr>
      <w:b/>
      <w:bCs/>
    </w:rPr>
  </w:style>
  <w:style w:type="character" w:customStyle="1" w:styleId="CommentSubjectChar">
    <w:name w:val="Comment Subject Char"/>
    <w:basedOn w:val="CommentTextChar"/>
    <w:link w:val="CommentSubject"/>
    <w:uiPriority w:val="99"/>
    <w:semiHidden/>
    <w:rsid w:val="004A7FC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C21E1"/>
    <w:rPr>
      <w:rFonts w:asciiTheme="majorHAnsi" w:eastAsiaTheme="majorEastAsia" w:hAnsiTheme="majorHAnsi" w:cstheme="majorBidi"/>
      <w:b/>
      <w:bCs/>
      <w:i/>
      <w:iCs/>
      <w:color w:val="4F81BD" w:themeColor="accent1"/>
      <w:sz w:val="24"/>
      <w:szCs w:val="20"/>
    </w:rPr>
  </w:style>
  <w:style w:type="paragraph" w:styleId="Subtitle">
    <w:name w:val="Subtitle"/>
    <w:basedOn w:val="Normal"/>
    <w:next w:val="Normal"/>
    <w:link w:val="SubtitleChar"/>
    <w:uiPriority w:val="11"/>
    <w:qFormat/>
    <w:rsid w:val="00C904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9049C"/>
    <w:rPr>
      <w:rFonts w:asciiTheme="majorHAnsi" w:eastAsiaTheme="majorEastAsia" w:hAnsiTheme="majorHAnsi" w:cstheme="majorBidi"/>
      <w:i/>
      <w:iCs/>
      <w:color w:val="4F81BD" w:themeColor="accent1"/>
      <w:spacing w:val="15"/>
      <w:sz w:val="24"/>
      <w:szCs w:val="24"/>
    </w:rPr>
  </w:style>
  <w:style w:type="paragraph" w:customStyle="1" w:styleId="Names">
    <w:name w:val="Names"/>
    <w:basedOn w:val="Normal"/>
    <w:rsid w:val="00581922"/>
    <w:pPr>
      <w:spacing w:after="0"/>
      <w:jc w:val="left"/>
    </w:pPr>
    <w:rPr>
      <w:b/>
      <w:i/>
      <w:lang w:eastAsia="es-ES"/>
    </w:rPr>
  </w:style>
  <w:style w:type="paragraph" w:styleId="Header">
    <w:name w:val="header"/>
    <w:basedOn w:val="Normal"/>
    <w:link w:val="HeaderChar"/>
    <w:uiPriority w:val="99"/>
    <w:unhideWhenUsed/>
    <w:rsid w:val="00940145"/>
    <w:pPr>
      <w:tabs>
        <w:tab w:val="center" w:pos="4513"/>
        <w:tab w:val="right" w:pos="9026"/>
      </w:tabs>
      <w:spacing w:after="0"/>
    </w:pPr>
  </w:style>
  <w:style w:type="character" w:customStyle="1" w:styleId="HeaderChar">
    <w:name w:val="Header Char"/>
    <w:basedOn w:val="DefaultParagraphFont"/>
    <w:link w:val="Header"/>
    <w:uiPriority w:val="99"/>
    <w:rsid w:val="0094014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0145"/>
    <w:pPr>
      <w:tabs>
        <w:tab w:val="center" w:pos="4513"/>
        <w:tab w:val="right" w:pos="9026"/>
      </w:tabs>
      <w:spacing w:after="0"/>
    </w:pPr>
  </w:style>
  <w:style w:type="character" w:customStyle="1" w:styleId="FooterChar">
    <w:name w:val="Footer Char"/>
    <w:basedOn w:val="DefaultParagraphFont"/>
    <w:link w:val="Footer"/>
    <w:uiPriority w:val="99"/>
    <w:rsid w:val="0094014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618">
      <w:bodyDiv w:val="1"/>
      <w:marLeft w:val="0"/>
      <w:marRight w:val="0"/>
      <w:marTop w:val="0"/>
      <w:marBottom w:val="0"/>
      <w:divBdr>
        <w:top w:val="none" w:sz="0" w:space="0" w:color="auto"/>
        <w:left w:val="none" w:sz="0" w:space="0" w:color="auto"/>
        <w:bottom w:val="none" w:sz="0" w:space="0" w:color="auto"/>
        <w:right w:val="none" w:sz="0" w:space="0" w:color="auto"/>
      </w:divBdr>
    </w:div>
    <w:div w:id="143131334">
      <w:bodyDiv w:val="1"/>
      <w:marLeft w:val="0"/>
      <w:marRight w:val="0"/>
      <w:marTop w:val="0"/>
      <w:marBottom w:val="0"/>
      <w:divBdr>
        <w:top w:val="none" w:sz="0" w:space="0" w:color="auto"/>
        <w:left w:val="none" w:sz="0" w:space="0" w:color="auto"/>
        <w:bottom w:val="none" w:sz="0" w:space="0" w:color="auto"/>
        <w:right w:val="none" w:sz="0" w:space="0" w:color="auto"/>
      </w:divBdr>
      <w:divsChild>
        <w:div w:id="1348672921">
          <w:marLeft w:val="547"/>
          <w:marRight w:val="0"/>
          <w:marTop w:val="115"/>
          <w:marBottom w:val="0"/>
          <w:divBdr>
            <w:top w:val="none" w:sz="0" w:space="0" w:color="auto"/>
            <w:left w:val="none" w:sz="0" w:space="0" w:color="auto"/>
            <w:bottom w:val="none" w:sz="0" w:space="0" w:color="auto"/>
            <w:right w:val="none" w:sz="0" w:space="0" w:color="auto"/>
          </w:divBdr>
        </w:div>
        <w:div w:id="2020426304">
          <w:marLeft w:val="547"/>
          <w:marRight w:val="0"/>
          <w:marTop w:val="115"/>
          <w:marBottom w:val="0"/>
          <w:divBdr>
            <w:top w:val="none" w:sz="0" w:space="0" w:color="auto"/>
            <w:left w:val="none" w:sz="0" w:space="0" w:color="auto"/>
            <w:bottom w:val="none" w:sz="0" w:space="0" w:color="auto"/>
            <w:right w:val="none" w:sz="0" w:space="0" w:color="auto"/>
          </w:divBdr>
        </w:div>
        <w:div w:id="634606542">
          <w:marLeft w:val="547"/>
          <w:marRight w:val="0"/>
          <w:marTop w:val="115"/>
          <w:marBottom w:val="0"/>
          <w:divBdr>
            <w:top w:val="none" w:sz="0" w:space="0" w:color="auto"/>
            <w:left w:val="none" w:sz="0" w:space="0" w:color="auto"/>
            <w:bottom w:val="none" w:sz="0" w:space="0" w:color="auto"/>
            <w:right w:val="none" w:sz="0" w:space="0" w:color="auto"/>
          </w:divBdr>
        </w:div>
        <w:div w:id="1033535361">
          <w:marLeft w:val="547"/>
          <w:marRight w:val="0"/>
          <w:marTop w:val="115"/>
          <w:marBottom w:val="0"/>
          <w:divBdr>
            <w:top w:val="none" w:sz="0" w:space="0" w:color="auto"/>
            <w:left w:val="none" w:sz="0" w:space="0" w:color="auto"/>
            <w:bottom w:val="none" w:sz="0" w:space="0" w:color="auto"/>
            <w:right w:val="none" w:sz="0" w:space="0" w:color="auto"/>
          </w:divBdr>
        </w:div>
        <w:div w:id="2000845987">
          <w:marLeft w:val="547"/>
          <w:marRight w:val="0"/>
          <w:marTop w:val="115"/>
          <w:marBottom w:val="0"/>
          <w:divBdr>
            <w:top w:val="none" w:sz="0" w:space="0" w:color="auto"/>
            <w:left w:val="none" w:sz="0" w:space="0" w:color="auto"/>
            <w:bottom w:val="none" w:sz="0" w:space="0" w:color="auto"/>
            <w:right w:val="none" w:sz="0" w:space="0" w:color="auto"/>
          </w:divBdr>
        </w:div>
        <w:div w:id="1377268933">
          <w:marLeft w:val="547"/>
          <w:marRight w:val="0"/>
          <w:marTop w:val="115"/>
          <w:marBottom w:val="0"/>
          <w:divBdr>
            <w:top w:val="none" w:sz="0" w:space="0" w:color="auto"/>
            <w:left w:val="none" w:sz="0" w:space="0" w:color="auto"/>
            <w:bottom w:val="none" w:sz="0" w:space="0" w:color="auto"/>
            <w:right w:val="none" w:sz="0" w:space="0" w:color="auto"/>
          </w:divBdr>
        </w:div>
        <w:div w:id="1108964093">
          <w:marLeft w:val="547"/>
          <w:marRight w:val="0"/>
          <w:marTop w:val="115"/>
          <w:marBottom w:val="0"/>
          <w:divBdr>
            <w:top w:val="none" w:sz="0" w:space="0" w:color="auto"/>
            <w:left w:val="none" w:sz="0" w:space="0" w:color="auto"/>
            <w:bottom w:val="none" w:sz="0" w:space="0" w:color="auto"/>
            <w:right w:val="none" w:sz="0" w:space="0" w:color="auto"/>
          </w:divBdr>
        </w:div>
      </w:divsChild>
    </w:div>
    <w:div w:id="223416092">
      <w:bodyDiv w:val="1"/>
      <w:marLeft w:val="0"/>
      <w:marRight w:val="0"/>
      <w:marTop w:val="0"/>
      <w:marBottom w:val="0"/>
      <w:divBdr>
        <w:top w:val="none" w:sz="0" w:space="0" w:color="auto"/>
        <w:left w:val="none" w:sz="0" w:space="0" w:color="auto"/>
        <w:bottom w:val="none" w:sz="0" w:space="0" w:color="auto"/>
        <w:right w:val="none" w:sz="0" w:space="0" w:color="auto"/>
      </w:divBdr>
    </w:div>
    <w:div w:id="254900475">
      <w:bodyDiv w:val="1"/>
      <w:marLeft w:val="0"/>
      <w:marRight w:val="0"/>
      <w:marTop w:val="0"/>
      <w:marBottom w:val="0"/>
      <w:divBdr>
        <w:top w:val="none" w:sz="0" w:space="0" w:color="auto"/>
        <w:left w:val="none" w:sz="0" w:space="0" w:color="auto"/>
        <w:bottom w:val="none" w:sz="0" w:space="0" w:color="auto"/>
        <w:right w:val="none" w:sz="0" w:space="0" w:color="auto"/>
      </w:divBdr>
    </w:div>
    <w:div w:id="453401993">
      <w:bodyDiv w:val="1"/>
      <w:marLeft w:val="0"/>
      <w:marRight w:val="0"/>
      <w:marTop w:val="0"/>
      <w:marBottom w:val="0"/>
      <w:divBdr>
        <w:top w:val="none" w:sz="0" w:space="0" w:color="auto"/>
        <w:left w:val="none" w:sz="0" w:space="0" w:color="auto"/>
        <w:bottom w:val="none" w:sz="0" w:space="0" w:color="auto"/>
        <w:right w:val="none" w:sz="0" w:space="0" w:color="auto"/>
      </w:divBdr>
      <w:divsChild>
        <w:div w:id="87503029">
          <w:marLeft w:val="0"/>
          <w:marRight w:val="0"/>
          <w:marTop w:val="0"/>
          <w:marBottom w:val="0"/>
          <w:divBdr>
            <w:top w:val="none" w:sz="0" w:space="0" w:color="auto"/>
            <w:left w:val="none" w:sz="0" w:space="0" w:color="auto"/>
            <w:bottom w:val="none" w:sz="0" w:space="0" w:color="auto"/>
            <w:right w:val="none" w:sz="0" w:space="0" w:color="auto"/>
          </w:divBdr>
          <w:divsChild>
            <w:div w:id="1133521930">
              <w:marLeft w:val="0"/>
              <w:marRight w:val="0"/>
              <w:marTop w:val="0"/>
              <w:marBottom w:val="0"/>
              <w:divBdr>
                <w:top w:val="none" w:sz="0" w:space="0" w:color="auto"/>
                <w:left w:val="none" w:sz="0" w:space="0" w:color="auto"/>
                <w:bottom w:val="none" w:sz="0" w:space="0" w:color="auto"/>
                <w:right w:val="none" w:sz="0" w:space="0" w:color="auto"/>
              </w:divBdr>
              <w:divsChild>
                <w:div w:id="1719544266">
                  <w:marLeft w:val="0"/>
                  <w:marRight w:val="0"/>
                  <w:marTop w:val="0"/>
                  <w:marBottom w:val="0"/>
                  <w:divBdr>
                    <w:top w:val="none" w:sz="0" w:space="0" w:color="auto"/>
                    <w:left w:val="none" w:sz="0" w:space="0" w:color="auto"/>
                    <w:bottom w:val="none" w:sz="0" w:space="0" w:color="auto"/>
                    <w:right w:val="none" w:sz="0" w:space="0" w:color="auto"/>
                  </w:divBdr>
                  <w:divsChild>
                    <w:div w:id="20790199">
                      <w:marLeft w:val="0"/>
                      <w:marRight w:val="0"/>
                      <w:marTop w:val="0"/>
                      <w:marBottom w:val="0"/>
                      <w:divBdr>
                        <w:top w:val="none" w:sz="0" w:space="0" w:color="auto"/>
                        <w:left w:val="none" w:sz="0" w:space="0" w:color="auto"/>
                        <w:bottom w:val="none" w:sz="0" w:space="0" w:color="auto"/>
                        <w:right w:val="none" w:sz="0" w:space="0" w:color="auto"/>
                      </w:divBdr>
                      <w:divsChild>
                        <w:div w:id="308562282">
                          <w:marLeft w:val="0"/>
                          <w:marRight w:val="0"/>
                          <w:marTop w:val="0"/>
                          <w:marBottom w:val="0"/>
                          <w:divBdr>
                            <w:top w:val="none" w:sz="0" w:space="0" w:color="auto"/>
                            <w:left w:val="none" w:sz="0" w:space="0" w:color="auto"/>
                            <w:bottom w:val="none" w:sz="0" w:space="0" w:color="auto"/>
                            <w:right w:val="none" w:sz="0" w:space="0" w:color="auto"/>
                          </w:divBdr>
                          <w:divsChild>
                            <w:div w:id="1636912808">
                              <w:marLeft w:val="0"/>
                              <w:marRight w:val="0"/>
                              <w:marTop w:val="0"/>
                              <w:marBottom w:val="0"/>
                              <w:divBdr>
                                <w:top w:val="none" w:sz="0" w:space="0" w:color="auto"/>
                                <w:left w:val="none" w:sz="0" w:space="0" w:color="auto"/>
                                <w:bottom w:val="none" w:sz="0" w:space="0" w:color="auto"/>
                                <w:right w:val="none" w:sz="0" w:space="0" w:color="auto"/>
                              </w:divBdr>
                              <w:divsChild>
                                <w:div w:id="1432893917">
                                  <w:marLeft w:val="0"/>
                                  <w:marRight w:val="0"/>
                                  <w:marTop w:val="0"/>
                                  <w:marBottom w:val="0"/>
                                  <w:divBdr>
                                    <w:top w:val="none" w:sz="0" w:space="0" w:color="auto"/>
                                    <w:left w:val="none" w:sz="0" w:space="0" w:color="auto"/>
                                    <w:bottom w:val="none" w:sz="0" w:space="0" w:color="auto"/>
                                    <w:right w:val="none" w:sz="0" w:space="0" w:color="auto"/>
                                  </w:divBdr>
                                  <w:divsChild>
                                    <w:div w:id="2117866169">
                                      <w:marLeft w:val="0"/>
                                      <w:marRight w:val="0"/>
                                      <w:marTop w:val="0"/>
                                      <w:marBottom w:val="0"/>
                                      <w:divBdr>
                                        <w:top w:val="none" w:sz="0" w:space="0" w:color="auto"/>
                                        <w:left w:val="none" w:sz="0" w:space="0" w:color="auto"/>
                                        <w:bottom w:val="none" w:sz="0" w:space="0" w:color="auto"/>
                                        <w:right w:val="none" w:sz="0" w:space="0" w:color="auto"/>
                                      </w:divBdr>
                                      <w:divsChild>
                                        <w:div w:id="1282881883">
                                          <w:marLeft w:val="0"/>
                                          <w:marRight w:val="0"/>
                                          <w:marTop w:val="0"/>
                                          <w:marBottom w:val="0"/>
                                          <w:divBdr>
                                            <w:top w:val="none" w:sz="0" w:space="0" w:color="auto"/>
                                            <w:left w:val="none" w:sz="0" w:space="0" w:color="auto"/>
                                            <w:bottom w:val="none" w:sz="0" w:space="0" w:color="auto"/>
                                            <w:right w:val="none" w:sz="0" w:space="0" w:color="auto"/>
                                          </w:divBdr>
                                          <w:divsChild>
                                            <w:div w:id="654532260">
                                              <w:marLeft w:val="0"/>
                                              <w:marRight w:val="0"/>
                                              <w:marTop w:val="0"/>
                                              <w:marBottom w:val="0"/>
                                              <w:divBdr>
                                                <w:top w:val="none" w:sz="0" w:space="0" w:color="auto"/>
                                                <w:left w:val="none" w:sz="0" w:space="0" w:color="auto"/>
                                                <w:bottom w:val="none" w:sz="0" w:space="0" w:color="auto"/>
                                                <w:right w:val="none" w:sz="0" w:space="0" w:color="auto"/>
                                              </w:divBdr>
                                              <w:divsChild>
                                                <w:div w:id="293830372">
                                                  <w:marLeft w:val="0"/>
                                                  <w:marRight w:val="0"/>
                                                  <w:marTop w:val="0"/>
                                                  <w:marBottom w:val="0"/>
                                                  <w:divBdr>
                                                    <w:top w:val="none" w:sz="0" w:space="0" w:color="auto"/>
                                                    <w:left w:val="none" w:sz="0" w:space="0" w:color="auto"/>
                                                    <w:bottom w:val="none" w:sz="0" w:space="0" w:color="auto"/>
                                                    <w:right w:val="none" w:sz="0" w:space="0" w:color="auto"/>
                                                  </w:divBdr>
                                                  <w:divsChild>
                                                    <w:div w:id="1597328943">
                                                      <w:marLeft w:val="0"/>
                                                      <w:marRight w:val="0"/>
                                                      <w:marTop w:val="0"/>
                                                      <w:marBottom w:val="0"/>
                                                      <w:divBdr>
                                                        <w:top w:val="none" w:sz="0" w:space="0" w:color="auto"/>
                                                        <w:left w:val="none" w:sz="0" w:space="0" w:color="auto"/>
                                                        <w:bottom w:val="none" w:sz="0" w:space="0" w:color="auto"/>
                                                        <w:right w:val="none" w:sz="0" w:space="0" w:color="auto"/>
                                                      </w:divBdr>
                                                      <w:divsChild>
                                                        <w:div w:id="586574825">
                                                          <w:marLeft w:val="0"/>
                                                          <w:marRight w:val="0"/>
                                                          <w:marTop w:val="0"/>
                                                          <w:marBottom w:val="0"/>
                                                          <w:divBdr>
                                                            <w:top w:val="none" w:sz="0" w:space="0" w:color="auto"/>
                                                            <w:left w:val="none" w:sz="0" w:space="0" w:color="auto"/>
                                                            <w:bottom w:val="none" w:sz="0" w:space="0" w:color="auto"/>
                                                            <w:right w:val="none" w:sz="0" w:space="0" w:color="auto"/>
                                                          </w:divBdr>
                                                          <w:divsChild>
                                                            <w:div w:id="1443718756">
                                                              <w:marLeft w:val="0"/>
                                                              <w:marRight w:val="0"/>
                                                              <w:marTop w:val="0"/>
                                                              <w:marBottom w:val="0"/>
                                                              <w:divBdr>
                                                                <w:top w:val="none" w:sz="0" w:space="0" w:color="auto"/>
                                                                <w:left w:val="none" w:sz="0" w:space="0" w:color="auto"/>
                                                                <w:bottom w:val="none" w:sz="0" w:space="0" w:color="auto"/>
                                                                <w:right w:val="none" w:sz="0" w:space="0" w:color="auto"/>
                                                              </w:divBdr>
                                                              <w:divsChild>
                                                                <w:div w:id="2127037773">
                                                                  <w:marLeft w:val="0"/>
                                                                  <w:marRight w:val="0"/>
                                                                  <w:marTop w:val="0"/>
                                                                  <w:marBottom w:val="0"/>
                                                                  <w:divBdr>
                                                                    <w:top w:val="none" w:sz="0" w:space="0" w:color="auto"/>
                                                                    <w:left w:val="none" w:sz="0" w:space="0" w:color="auto"/>
                                                                    <w:bottom w:val="none" w:sz="0" w:space="0" w:color="auto"/>
                                                                    <w:right w:val="none" w:sz="0" w:space="0" w:color="auto"/>
                                                                  </w:divBdr>
                                                                  <w:divsChild>
                                                                    <w:div w:id="1011837869">
                                                                      <w:marLeft w:val="0"/>
                                                                      <w:marRight w:val="0"/>
                                                                      <w:marTop w:val="0"/>
                                                                      <w:marBottom w:val="0"/>
                                                                      <w:divBdr>
                                                                        <w:top w:val="none" w:sz="0" w:space="0" w:color="auto"/>
                                                                        <w:left w:val="none" w:sz="0" w:space="0" w:color="auto"/>
                                                                        <w:bottom w:val="none" w:sz="0" w:space="0" w:color="auto"/>
                                                                        <w:right w:val="none" w:sz="0" w:space="0" w:color="auto"/>
                                                                      </w:divBdr>
                                                                      <w:divsChild>
                                                                        <w:div w:id="1843809564">
                                                                          <w:marLeft w:val="0"/>
                                                                          <w:marRight w:val="0"/>
                                                                          <w:marTop w:val="0"/>
                                                                          <w:marBottom w:val="0"/>
                                                                          <w:divBdr>
                                                                            <w:top w:val="none" w:sz="0" w:space="0" w:color="auto"/>
                                                                            <w:left w:val="none" w:sz="0" w:space="0" w:color="auto"/>
                                                                            <w:bottom w:val="none" w:sz="0" w:space="0" w:color="auto"/>
                                                                            <w:right w:val="none" w:sz="0" w:space="0" w:color="auto"/>
                                                                          </w:divBdr>
                                                                          <w:divsChild>
                                                                            <w:div w:id="12959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310940">
      <w:bodyDiv w:val="1"/>
      <w:marLeft w:val="0"/>
      <w:marRight w:val="0"/>
      <w:marTop w:val="0"/>
      <w:marBottom w:val="0"/>
      <w:divBdr>
        <w:top w:val="none" w:sz="0" w:space="0" w:color="auto"/>
        <w:left w:val="none" w:sz="0" w:space="0" w:color="auto"/>
        <w:bottom w:val="none" w:sz="0" w:space="0" w:color="auto"/>
        <w:right w:val="none" w:sz="0" w:space="0" w:color="auto"/>
      </w:divBdr>
    </w:div>
    <w:div w:id="512646529">
      <w:bodyDiv w:val="1"/>
      <w:marLeft w:val="0"/>
      <w:marRight w:val="0"/>
      <w:marTop w:val="0"/>
      <w:marBottom w:val="0"/>
      <w:divBdr>
        <w:top w:val="none" w:sz="0" w:space="0" w:color="auto"/>
        <w:left w:val="none" w:sz="0" w:space="0" w:color="auto"/>
        <w:bottom w:val="none" w:sz="0" w:space="0" w:color="auto"/>
        <w:right w:val="none" w:sz="0" w:space="0" w:color="auto"/>
      </w:divBdr>
    </w:div>
    <w:div w:id="683704280">
      <w:bodyDiv w:val="1"/>
      <w:marLeft w:val="0"/>
      <w:marRight w:val="0"/>
      <w:marTop w:val="0"/>
      <w:marBottom w:val="0"/>
      <w:divBdr>
        <w:top w:val="none" w:sz="0" w:space="0" w:color="auto"/>
        <w:left w:val="none" w:sz="0" w:space="0" w:color="auto"/>
        <w:bottom w:val="none" w:sz="0" w:space="0" w:color="auto"/>
        <w:right w:val="none" w:sz="0" w:space="0" w:color="auto"/>
      </w:divBdr>
    </w:div>
    <w:div w:id="694042231">
      <w:bodyDiv w:val="1"/>
      <w:marLeft w:val="0"/>
      <w:marRight w:val="0"/>
      <w:marTop w:val="0"/>
      <w:marBottom w:val="0"/>
      <w:divBdr>
        <w:top w:val="none" w:sz="0" w:space="0" w:color="auto"/>
        <w:left w:val="none" w:sz="0" w:space="0" w:color="auto"/>
        <w:bottom w:val="none" w:sz="0" w:space="0" w:color="auto"/>
        <w:right w:val="none" w:sz="0" w:space="0" w:color="auto"/>
      </w:divBdr>
    </w:div>
    <w:div w:id="808087628">
      <w:bodyDiv w:val="1"/>
      <w:marLeft w:val="0"/>
      <w:marRight w:val="0"/>
      <w:marTop w:val="0"/>
      <w:marBottom w:val="0"/>
      <w:divBdr>
        <w:top w:val="none" w:sz="0" w:space="0" w:color="auto"/>
        <w:left w:val="none" w:sz="0" w:space="0" w:color="auto"/>
        <w:bottom w:val="none" w:sz="0" w:space="0" w:color="auto"/>
        <w:right w:val="none" w:sz="0" w:space="0" w:color="auto"/>
      </w:divBdr>
    </w:div>
    <w:div w:id="883490937">
      <w:bodyDiv w:val="1"/>
      <w:marLeft w:val="0"/>
      <w:marRight w:val="0"/>
      <w:marTop w:val="0"/>
      <w:marBottom w:val="0"/>
      <w:divBdr>
        <w:top w:val="none" w:sz="0" w:space="0" w:color="auto"/>
        <w:left w:val="none" w:sz="0" w:space="0" w:color="auto"/>
        <w:bottom w:val="none" w:sz="0" w:space="0" w:color="auto"/>
        <w:right w:val="none" w:sz="0" w:space="0" w:color="auto"/>
      </w:divBdr>
    </w:div>
    <w:div w:id="895092489">
      <w:bodyDiv w:val="1"/>
      <w:marLeft w:val="0"/>
      <w:marRight w:val="0"/>
      <w:marTop w:val="0"/>
      <w:marBottom w:val="0"/>
      <w:divBdr>
        <w:top w:val="none" w:sz="0" w:space="0" w:color="auto"/>
        <w:left w:val="none" w:sz="0" w:space="0" w:color="auto"/>
        <w:bottom w:val="none" w:sz="0" w:space="0" w:color="auto"/>
        <w:right w:val="none" w:sz="0" w:space="0" w:color="auto"/>
      </w:divBdr>
    </w:div>
    <w:div w:id="1017467590">
      <w:bodyDiv w:val="1"/>
      <w:marLeft w:val="0"/>
      <w:marRight w:val="0"/>
      <w:marTop w:val="0"/>
      <w:marBottom w:val="0"/>
      <w:divBdr>
        <w:top w:val="none" w:sz="0" w:space="0" w:color="auto"/>
        <w:left w:val="none" w:sz="0" w:space="0" w:color="auto"/>
        <w:bottom w:val="none" w:sz="0" w:space="0" w:color="auto"/>
        <w:right w:val="none" w:sz="0" w:space="0" w:color="auto"/>
      </w:divBdr>
    </w:div>
    <w:div w:id="1028219818">
      <w:bodyDiv w:val="1"/>
      <w:marLeft w:val="0"/>
      <w:marRight w:val="0"/>
      <w:marTop w:val="0"/>
      <w:marBottom w:val="0"/>
      <w:divBdr>
        <w:top w:val="none" w:sz="0" w:space="0" w:color="auto"/>
        <w:left w:val="none" w:sz="0" w:space="0" w:color="auto"/>
        <w:bottom w:val="none" w:sz="0" w:space="0" w:color="auto"/>
        <w:right w:val="none" w:sz="0" w:space="0" w:color="auto"/>
      </w:divBdr>
    </w:div>
    <w:div w:id="1075661211">
      <w:bodyDiv w:val="1"/>
      <w:marLeft w:val="0"/>
      <w:marRight w:val="0"/>
      <w:marTop w:val="0"/>
      <w:marBottom w:val="0"/>
      <w:divBdr>
        <w:top w:val="none" w:sz="0" w:space="0" w:color="auto"/>
        <w:left w:val="none" w:sz="0" w:space="0" w:color="auto"/>
        <w:bottom w:val="none" w:sz="0" w:space="0" w:color="auto"/>
        <w:right w:val="none" w:sz="0" w:space="0" w:color="auto"/>
      </w:divBdr>
      <w:divsChild>
        <w:div w:id="1606766813">
          <w:marLeft w:val="45"/>
          <w:marRight w:val="45"/>
          <w:marTop w:val="45"/>
          <w:marBottom w:val="45"/>
          <w:divBdr>
            <w:top w:val="single" w:sz="6" w:space="2" w:color="CCCCCC"/>
            <w:left w:val="single" w:sz="6" w:space="2" w:color="CCCCCC"/>
            <w:bottom w:val="single" w:sz="6" w:space="2" w:color="CCCCCC"/>
            <w:right w:val="single" w:sz="6" w:space="2" w:color="CCCCCC"/>
          </w:divBdr>
          <w:divsChild>
            <w:div w:id="1512598625">
              <w:marLeft w:val="0"/>
              <w:marRight w:val="0"/>
              <w:marTop w:val="0"/>
              <w:marBottom w:val="0"/>
              <w:divBdr>
                <w:top w:val="none" w:sz="0" w:space="0" w:color="auto"/>
                <w:left w:val="none" w:sz="0" w:space="0" w:color="auto"/>
                <w:bottom w:val="none" w:sz="0" w:space="0" w:color="auto"/>
                <w:right w:val="none" w:sz="0" w:space="0" w:color="auto"/>
              </w:divBdr>
              <w:divsChild>
                <w:div w:id="8434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4431">
      <w:bodyDiv w:val="1"/>
      <w:marLeft w:val="0"/>
      <w:marRight w:val="0"/>
      <w:marTop w:val="0"/>
      <w:marBottom w:val="0"/>
      <w:divBdr>
        <w:top w:val="none" w:sz="0" w:space="0" w:color="auto"/>
        <w:left w:val="none" w:sz="0" w:space="0" w:color="auto"/>
        <w:bottom w:val="none" w:sz="0" w:space="0" w:color="auto"/>
        <w:right w:val="none" w:sz="0" w:space="0" w:color="auto"/>
      </w:divBdr>
    </w:div>
    <w:div w:id="1220750930">
      <w:bodyDiv w:val="1"/>
      <w:marLeft w:val="0"/>
      <w:marRight w:val="0"/>
      <w:marTop w:val="0"/>
      <w:marBottom w:val="0"/>
      <w:divBdr>
        <w:top w:val="none" w:sz="0" w:space="0" w:color="auto"/>
        <w:left w:val="none" w:sz="0" w:space="0" w:color="auto"/>
        <w:bottom w:val="none" w:sz="0" w:space="0" w:color="auto"/>
        <w:right w:val="none" w:sz="0" w:space="0" w:color="auto"/>
      </w:divBdr>
    </w:div>
    <w:div w:id="1224681457">
      <w:bodyDiv w:val="1"/>
      <w:marLeft w:val="0"/>
      <w:marRight w:val="0"/>
      <w:marTop w:val="0"/>
      <w:marBottom w:val="0"/>
      <w:divBdr>
        <w:top w:val="none" w:sz="0" w:space="0" w:color="auto"/>
        <w:left w:val="none" w:sz="0" w:space="0" w:color="auto"/>
        <w:bottom w:val="none" w:sz="0" w:space="0" w:color="auto"/>
        <w:right w:val="none" w:sz="0" w:space="0" w:color="auto"/>
      </w:divBdr>
    </w:div>
    <w:div w:id="1238055249">
      <w:bodyDiv w:val="1"/>
      <w:marLeft w:val="0"/>
      <w:marRight w:val="0"/>
      <w:marTop w:val="0"/>
      <w:marBottom w:val="0"/>
      <w:divBdr>
        <w:top w:val="none" w:sz="0" w:space="0" w:color="auto"/>
        <w:left w:val="none" w:sz="0" w:space="0" w:color="auto"/>
        <w:bottom w:val="none" w:sz="0" w:space="0" w:color="auto"/>
        <w:right w:val="none" w:sz="0" w:space="0" w:color="auto"/>
      </w:divBdr>
    </w:div>
    <w:div w:id="1257058239">
      <w:bodyDiv w:val="1"/>
      <w:marLeft w:val="0"/>
      <w:marRight w:val="0"/>
      <w:marTop w:val="0"/>
      <w:marBottom w:val="0"/>
      <w:divBdr>
        <w:top w:val="none" w:sz="0" w:space="0" w:color="auto"/>
        <w:left w:val="none" w:sz="0" w:space="0" w:color="auto"/>
        <w:bottom w:val="none" w:sz="0" w:space="0" w:color="auto"/>
        <w:right w:val="none" w:sz="0" w:space="0" w:color="auto"/>
      </w:divBdr>
    </w:div>
    <w:div w:id="1297293637">
      <w:bodyDiv w:val="1"/>
      <w:marLeft w:val="0"/>
      <w:marRight w:val="0"/>
      <w:marTop w:val="0"/>
      <w:marBottom w:val="0"/>
      <w:divBdr>
        <w:top w:val="none" w:sz="0" w:space="0" w:color="auto"/>
        <w:left w:val="none" w:sz="0" w:space="0" w:color="auto"/>
        <w:bottom w:val="none" w:sz="0" w:space="0" w:color="auto"/>
        <w:right w:val="none" w:sz="0" w:space="0" w:color="auto"/>
      </w:divBdr>
    </w:div>
    <w:div w:id="1368726084">
      <w:bodyDiv w:val="1"/>
      <w:marLeft w:val="0"/>
      <w:marRight w:val="0"/>
      <w:marTop w:val="0"/>
      <w:marBottom w:val="0"/>
      <w:divBdr>
        <w:top w:val="none" w:sz="0" w:space="0" w:color="auto"/>
        <w:left w:val="none" w:sz="0" w:space="0" w:color="auto"/>
        <w:bottom w:val="none" w:sz="0" w:space="0" w:color="auto"/>
        <w:right w:val="none" w:sz="0" w:space="0" w:color="auto"/>
      </w:divBdr>
    </w:div>
    <w:div w:id="1466697540">
      <w:bodyDiv w:val="1"/>
      <w:marLeft w:val="0"/>
      <w:marRight w:val="0"/>
      <w:marTop w:val="0"/>
      <w:marBottom w:val="0"/>
      <w:divBdr>
        <w:top w:val="none" w:sz="0" w:space="0" w:color="auto"/>
        <w:left w:val="none" w:sz="0" w:space="0" w:color="auto"/>
        <w:bottom w:val="none" w:sz="0" w:space="0" w:color="auto"/>
        <w:right w:val="none" w:sz="0" w:space="0" w:color="auto"/>
      </w:divBdr>
      <w:divsChild>
        <w:div w:id="1427773901">
          <w:marLeft w:val="0"/>
          <w:marRight w:val="0"/>
          <w:marTop w:val="300"/>
          <w:marBottom w:val="300"/>
          <w:divBdr>
            <w:top w:val="single" w:sz="6" w:space="0" w:color="959596"/>
            <w:left w:val="single" w:sz="6" w:space="0" w:color="959596"/>
            <w:bottom w:val="single" w:sz="6" w:space="0" w:color="959596"/>
            <w:right w:val="single" w:sz="6" w:space="0" w:color="959596"/>
          </w:divBdr>
          <w:divsChild>
            <w:div w:id="1232346249">
              <w:marLeft w:val="0"/>
              <w:marRight w:val="0"/>
              <w:marTop w:val="0"/>
              <w:marBottom w:val="0"/>
              <w:divBdr>
                <w:top w:val="none" w:sz="0" w:space="0" w:color="auto"/>
                <w:left w:val="none" w:sz="0" w:space="0" w:color="auto"/>
                <w:bottom w:val="none" w:sz="0" w:space="0" w:color="auto"/>
                <w:right w:val="none" w:sz="0" w:space="0" w:color="auto"/>
              </w:divBdr>
              <w:divsChild>
                <w:div w:id="978803023">
                  <w:marLeft w:val="0"/>
                  <w:marRight w:val="0"/>
                  <w:marTop w:val="0"/>
                  <w:marBottom w:val="600"/>
                  <w:divBdr>
                    <w:top w:val="none" w:sz="0" w:space="0" w:color="auto"/>
                    <w:left w:val="none" w:sz="0" w:space="0" w:color="auto"/>
                    <w:bottom w:val="none" w:sz="0" w:space="0" w:color="auto"/>
                    <w:right w:val="none" w:sz="0" w:space="0" w:color="auto"/>
                  </w:divBdr>
                  <w:divsChild>
                    <w:div w:id="1881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467">
      <w:bodyDiv w:val="1"/>
      <w:marLeft w:val="0"/>
      <w:marRight w:val="0"/>
      <w:marTop w:val="0"/>
      <w:marBottom w:val="0"/>
      <w:divBdr>
        <w:top w:val="none" w:sz="0" w:space="0" w:color="auto"/>
        <w:left w:val="none" w:sz="0" w:space="0" w:color="auto"/>
        <w:bottom w:val="none" w:sz="0" w:space="0" w:color="auto"/>
        <w:right w:val="none" w:sz="0" w:space="0" w:color="auto"/>
      </w:divBdr>
    </w:div>
    <w:div w:id="1896430757">
      <w:bodyDiv w:val="1"/>
      <w:marLeft w:val="0"/>
      <w:marRight w:val="0"/>
      <w:marTop w:val="0"/>
      <w:marBottom w:val="0"/>
      <w:divBdr>
        <w:top w:val="none" w:sz="0" w:space="0" w:color="auto"/>
        <w:left w:val="none" w:sz="0" w:space="0" w:color="auto"/>
        <w:bottom w:val="none" w:sz="0" w:space="0" w:color="auto"/>
        <w:right w:val="none" w:sz="0" w:space="0" w:color="auto"/>
      </w:divBdr>
      <w:divsChild>
        <w:div w:id="1253005147">
          <w:marLeft w:val="57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AntonioF.AMORES@ec.europa.e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ille.palojarv@ec.europa.eu" TargetMode="Externa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oecd.org/trade/its/46289160.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FBF9-81EA-4A8E-B34E-F9973B98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14</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REMOND-TIEDREZ Isabelle (ESTAT)</dc:creator>
  <cp:lastModifiedBy>DEFENSE-PALOJARV Pille (ESTAT)</cp:lastModifiedBy>
  <cp:revision>86</cp:revision>
  <dcterms:created xsi:type="dcterms:W3CDTF">2015-02-26T09:02:00Z</dcterms:created>
  <dcterms:modified xsi:type="dcterms:W3CDTF">2015-04-23T07:08:00Z</dcterms:modified>
</cp:coreProperties>
</file>