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85B" w:rsidRDefault="00AC3112" w:rsidP="00AC3112">
      <w:pPr>
        <w:jc w:val="center"/>
        <w:rPr>
          <w:rFonts w:ascii="Arial" w:hAnsi="Arial" w:cs="Arial"/>
          <w:color w:val="000000"/>
          <w:sz w:val="27"/>
          <w:szCs w:val="27"/>
          <w:shd w:val="clear" w:color="auto" w:fill="FFFFFF"/>
        </w:rPr>
      </w:pPr>
      <w:proofErr w:type="spellStart"/>
      <w:r>
        <w:rPr>
          <w:rFonts w:ascii="Arial" w:hAnsi="Arial" w:cs="Arial"/>
          <w:color w:val="000000"/>
          <w:sz w:val="27"/>
          <w:szCs w:val="27"/>
          <w:shd w:val="clear" w:color="auto" w:fill="FFFFFF"/>
        </w:rPr>
        <w:t>Import</w:t>
      </w:r>
      <w:proofErr w:type="spellEnd"/>
      <w:r>
        <w:rPr>
          <w:rFonts w:ascii="Arial" w:hAnsi="Arial" w:cs="Arial"/>
          <w:color w:val="000000"/>
          <w:sz w:val="27"/>
          <w:szCs w:val="27"/>
          <w:shd w:val="clear" w:color="auto" w:fill="FFFFFF"/>
        </w:rPr>
        <w:t xml:space="preserve"> </w:t>
      </w:r>
      <w:proofErr w:type="spellStart"/>
      <w:r>
        <w:rPr>
          <w:rFonts w:ascii="Arial" w:hAnsi="Arial" w:cs="Arial"/>
          <w:color w:val="000000"/>
          <w:sz w:val="27"/>
          <w:szCs w:val="27"/>
          <w:shd w:val="clear" w:color="auto" w:fill="FFFFFF"/>
        </w:rPr>
        <w:t>Dependency</w:t>
      </w:r>
      <w:proofErr w:type="spellEnd"/>
      <w:r>
        <w:rPr>
          <w:rFonts w:ascii="Arial" w:hAnsi="Arial" w:cs="Arial"/>
          <w:color w:val="000000"/>
          <w:sz w:val="27"/>
          <w:szCs w:val="27"/>
          <w:shd w:val="clear" w:color="auto" w:fill="FFFFFF"/>
        </w:rPr>
        <w:t xml:space="preserve"> of </w:t>
      </w:r>
      <w:proofErr w:type="spellStart"/>
      <w:r>
        <w:rPr>
          <w:rFonts w:ascii="Arial" w:hAnsi="Arial" w:cs="Arial"/>
          <w:color w:val="000000"/>
          <w:sz w:val="27"/>
          <w:szCs w:val="27"/>
          <w:shd w:val="clear" w:color="auto" w:fill="FFFFFF"/>
        </w:rPr>
        <w:t>Turkish</w:t>
      </w:r>
      <w:proofErr w:type="spellEnd"/>
      <w:r>
        <w:rPr>
          <w:rFonts w:ascii="Arial" w:hAnsi="Arial" w:cs="Arial"/>
          <w:color w:val="000000"/>
          <w:sz w:val="27"/>
          <w:szCs w:val="27"/>
          <w:shd w:val="clear" w:color="auto" w:fill="FFFFFF"/>
        </w:rPr>
        <w:t xml:space="preserve"> </w:t>
      </w:r>
      <w:proofErr w:type="spellStart"/>
      <w:r>
        <w:rPr>
          <w:rFonts w:ascii="Arial" w:hAnsi="Arial" w:cs="Arial"/>
          <w:color w:val="000000"/>
          <w:sz w:val="27"/>
          <w:szCs w:val="27"/>
          <w:shd w:val="clear" w:color="auto" w:fill="FFFFFF"/>
        </w:rPr>
        <w:t>Economy</w:t>
      </w:r>
      <w:proofErr w:type="spellEnd"/>
      <w:r>
        <w:rPr>
          <w:rFonts w:ascii="Arial" w:hAnsi="Arial" w:cs="Arial"/>
          <w:color w:val="000000"/>
          <w:sz w:val="27"/>
          <w:szCs w:val="27"/>
          <w:shd w:val="clear" w:color="auto" w:fill="FFFFFF"/>
        </w:rPr>
        <w:t xml:space="preserve"> </w:t>
      </w:r>
      <w:proofErr w:type="spellStart"/>
      <w:r>
        <w:rPr>
          <w:rFonts w:ascii="Arial" w:hAnsi="Arial" w:cs="Arial"/>
          <w:color w:val="000000"/>
          <w:sz w:val="27"/>
          <w:szCs w:val="27"/>
          <w:shd w:val="clear" w:color="auto" w:fill="FFFFFF"/>
        </w:rPr>
        <w:t>and</w:t>
      </w:r>
      <w:proofErr w:type="spellEnd"/>
      <w:r>
        <w:rPr>
          <w:rFonts w:ascii="Arial" w:hAnsi="Arial" w:cs="Arial"/>
          <w:color w:val="000000"/>
          <w:sz w:val="27"/>
          <w:szCs w:val="27"/>
          <w:shd w:val="clear" w:color="auto" w:fill="FFFFFF"/>
        </w:rPr>
        <w:t xml:space="preserve"> </w:t>
      </w:r>
      <w:proofErr w:type="spellStart"/>
      <w:r>
        <w:rPr>
          <w:rFonts w:ascii="Arial" w:hAnsi="Arial" w:cs="Arial"/>
          <w:color w:val="000000"/>
          <w:sz w:val="27"/>
          <w:szCs w:val="27"/>
          <w:shd w:val="clear" w:color="auto" w:fill="FFFFFF"/>
        </w:rPr>
        <w:t>Major</w:t>
      </w:r>
      <w:proofErr w:type="spellEnd"/>
      <w:r>
        <w:rPr>
          <w:rFonts w:ascii="Arial" w:hAnsi="Arial" w:cs="Arial"/>
          <w:color w:val="000000"/>
          <w:sz w:val="27"/>
          <w:szCs w:val="27"/>
          <w:shd w:val="clear" w:color="auto" w:fill="FFFFFF"/>
        </w:rPr>
        <w:t xml:space="preserve"> </w:t>
      </w:r>
      <w:proofErr w:type="spellStart"/>
      <w:r>
        <w:rPr>
          <w:rFonts w:ascii="Arial" w:hAnsi="Arial" w:cs="Arial"/>
          <w:color w:val="000000"/>
          <w:sz w:val="27"/>
          <w:szCs w:val="27"/>
          <w:shd w:val="clear" w:color="auto" w:fill="FFFFFF"/>
        </w:rPr>
        <w:t>Determinants</w:t>
      </w:r>
      <w:proofErr w:type="spellEnd"/>
      <w:r>
        <w:rPr>
          <w:rFonts w:ascii="Arial" w:hAnsi="Arial" w:cs="Arial"/>
          <w:color w:val="000000"/>
          <w:sz w:val="27"/>
          <w:szCs w:val="27"/>
          <w:shd w:val="clear" w:color="auto" w:fill="FFFFFF"/>
        </w:rPr>
        <w:t xml:space="preserve"> in </w:t>
      </w:r>
      <w:proofErr w:type="spellStart"/>
      <w:r>
        <w:rPr>
          <w:rFonts w:ascii="Arial" w:hAnsi="Arial" w:cs="Arial"/>
          <w:color w:val="000000"/>
          <w:sz w:val="27"/>
          <w:szCs w:val="27"/>
          <w:shd w:val="clear" w:color="auto" w:fill="FFFFFF"/>
        </w:rPr>
        <w:t>Sectoral</w:t>
      </w:r>
      <w:proofErr w:type="spellEnd"/>
      <w:r>
        <w:rPr>
          <w:rFonts w:ascii="Arial" w:hAnsi="Arial" w:cs="Arial"/>
          <w:color w:val="000000"/>
          <w:sz w:val="27"/>
          <w:szCs w:val="27"/>
          <w:shd w:val="clear" w:color="auto" w:fill="FFFFFF"/>
        </w:rPr>
        <w:t xml:space="preserve"> Level: An </w:t>
      </w:r>
      <w:proofErr w:type="spellStart"/>
      <w:r>
        <w:rPr>
          <w:rFonts w:ascii="Arial" w:hAnsi="Arial" w:cs="Arial"/>
          <w:color w:val="000000"/>
          <w:sz w:val="27"/>
          <w:szCs w:val="27"/>
          <w:shd w:val="clear" w:color="auto" w:fill="FFFFFF"/>
        </w:rPr>
        <w:t>Input</w:t>
      </w:r>
      <w:proofErr w:type="spellEnd"/>
      <w:r>
        <w:rPr>
          <w:rFonts w:ascii="Arial" w:hAnsi="Arial" w:cs="Arial"/>
          <w:color w:val="000000"/>
          <w:sz w:val="27"/>
          <w:szCs w:val="27"/>
          <w:shd w:val="clear" w:color="auto" w:fill="FFFFFF"/>
        </w:rPr>
        <w:t xml:space="preserve"> </w:t>
      </w:r>
      <w:proofErr w:type="spellStart"/>
      <w:r>
        <w:rPr>
          <w:rFonts w:ascii="Arial" w:hAnsi="Arial" w:cs="Arial"/>
          <w:color w:val="000000"/>
          <w:sz w:val="27"/>
          <w:szCs w:val="27"/>
          <w:shd w:val="clear" w:color="auto" w:fill="FFFFFF"/>
        </w:rPr>
        <w:t>Output</w:t>
      </w:r>
      <w:proofErr w:type="spellEnd"/>
      <w:r>
        <w:rPr>
          <w:rFonts w:ascii="Arial" w:hAnsi="Arial" w:cs="Arial"/>
          <w:color w:val="000000"/>
          <w:sz w:val="27"/>
          <w:szCs w:val="27"/>
          <w:shd w:val="clear" w:color="auto" w:fill="FFFFFF"/>
        </w:rPr>
        <w:t xml:space="preserve"> Analysis</w:t>
      </w:r>
    </w:p>
    <w:p w:rsidR="00AC3112" w:rsidRDefault="00AC3112" w:rsidP="00AC3112">
      <w:pPr>
        <w:jc w:val="center"/>
        <w:rPr>
          <w:rFonts w:ascii="Arial" w:hAnsi="Arial" w:cs="Arial"/>
          <w:color w:val="000000"/>
          <w:sz w:val="27"/>
          <w:szCs w:val="27"/>
          <w:shd w:val="clear" w:color="auto" w:fill="FFFFFF"/>
        </w:rPr>
      </w:pPr>
    </w:p>
    <w:p w:rsidR="00AC3112" w:rsidRPr="00AC3112" w:rsidRDefault="00AC3112" w:rsidP="00AC3112">
      <w:pPr>
        <w:autoSpaceDE w:val="0"/>
        <w:autoSpaceDN w:val="0"/>
        <w:adjustRightInd w:val="0"/>
        <w:spacing w:before="120" w:after="120" w:line="240" w:lineRule="auto"/>
        <w:ind w:firstLine="567"/>
        <w:jc w:val="center"/>
        <w:rPr>
          <w:rFonts w:ascii="Times New Roman" w:eastAsia="Times New Roman" w:hAnsi="Times New Roman" w:cs="Times New Roman"/>
          <w:b/>
          <w:bCs/>
          <w:sz w:val="23"/>
          <w:szCs w:val="23"/>
          <w:shd w:val="clear" w:color="auto" w:fill="FFFFFF"/>
          <w:lang w:val="en-US" w:eastAsia="tr-TR"/>
        </w:rPr>
      </w:pPr>
      <w:r w:rsidRPr="00AC3112">
        <w:rPr>
          <w:rFonts w:ascii="Times New Roman" w:eastAsia="Times New Roman" w:hAnsi="Times New Roman" w:cs="Times New Roman"/>
          <w:b/>
          <w:bCs/>
          <w:i/>
          <w:iCs/>
          <w:sz w:val="23"/>
          <w:szCs w:val="23"/>
          <w:shd w:val="clear" w:color="auto" w:fill="FFFFFF"/>
          <w:lang w:val="en-US" w:eastAsia="tr-TR"/>
        </w:rPr>
        <w:t>Associate</w:t>
      </w:r>
      <w:r w:rsidRPr="00AC3112">
        <w:rPr>
          <w:rFonts w:ascii="Times New Roman" w:eastAsia="Times New Roman" w:hAnsi="Times New Roman" w:cs="Times New Roman"/>
          <w:b/>
          <w:bCs/>
          <w:sz w:val="23"/>
          <w:szCs w:val="23"/>
          <w:shd w:val="clear" w:color="auto" w:fill="FFFFFF"/>
          <w:lang w:val="en-US" w:eastAsia="tr-TR"/>
        </w:rPr>
        <w:t> Professor Dr. Necla AYAŞ</w:t>
      </w:r>
      <w:r w:rsidRPr="00AC3112">
        <w:rPr>
          <w:rFonts w:ascii="Times New Roman" w:eastAsia="Times New Roman" w:hAnsi="Times New Roman" w:cs="Times New Roman"/>
          <w:b/>
          <w:bCs/>
          <w:sz w:val="23"/>
          <w:szCs w:val="23"/>
          <w:shd w:val="clear" w:color="auto" w:fill="FFFFFF"/>
          <w:vertAlign w:val="superscript"/>
          <w:lang w:val="en-US" w:eastAsia="tr-TR"/>
        </w:rPr>
        <w:footnoteReference w:id="1"/>
      </w:r>
    </w:p>
    <w:p w:rsidR="00AC3112" w:rsidRPr="00AC3112" w:rsidRDefault="00AC3112" w:rsidP="00AC3112">
      <w:pPr>
        <w:spacing w:after="0" w:line="240" w:lineRule="auto"/>
        <w:jc w:val="center"/>
        <w:rPr>
          <w:rFonts w:ascii="Times New Roman" w:eastAsia="Times New Roman" w:hAnsi="Times New Roman" w:cs="Times New Roman"/>
          <w:sz w:val="20"/>
          <w:szCs w:val="20"/>
          <w:lang w:val="en-US" w:eastAsia="tr-TR"/>
        </w:rPr>
      </w:pPr>
    </w:p>
    <w:p w:rsidR="00AC3112" w:rsidRPr="00AC3112" w:rsidRDefault="00AC3112" w:rsidP="00AC3112">
      <w:pPr>
        <w:spacing w:after="0" w:line="240" w:lineRule="auto"/>
        <w:jc w:val="center"/>
        <w:rPr>
          <w:rFonts w:ascii="Calibri" w:hAnsi="Calibri" w:cs="Times New Roman"/>
          <w:lang w:val="en-US"/>
        </w:rPr>
      </w:pPr>
      <w:r w:rsidRPr="00AC3112">
        <w:rPr>
          <w:rFonts w:ascii="Calibri" w:hAnsi="Calibri" w:cs="Times New Roman"/>
          <w:lang w:val="en-US"/>
        </w:rPr>
        <w:t xml:space="preserve">Department of Economics and Administrative Sciences, University of Bulent Ecevit, </w:t>
      </w:r>
      <w:proofErr w:type="spellStart"/>
      <w:r w:rsidRPr="00AC3112">
        <w:rPr>
          <w:rFonts w:ascii="Calibri" w:hAnsi="Calibri" w:cs="Times New Roman"/>
          <w:lang w:val="en-US"/>
        </w:rPr>
        <w:t>Zonguldak</w:t>
      </w:r>
      <w:proofErr w:type="spellEnd"/>
      <w:r w:rsidRPr="00AC3112">
        <w:rPr>
          <w:rFonts w:ascii="Calibri" w:hAnsi="Calibri" w:cs="Times New Roman"/>
          <w:lang w:val="en-US"/>
        </w:rPr>
        <w:t>, Turkey</w:t>
      </w:r>
      <w:r w:rsidRPr="00AC3112">
        <w:rPr>
          <w:rFonts w:ascii="Calibri" w:hAnsi="Calibri" w:cs="Times New Roman"/>
          <w:lang w:val="en-US"/>
        </w:rPr>
        <w:tab/>
      </w:r>
    </w:p>
    <w:p w:rsidR="00AC3112" w:rsidRDefault="00AC3112"/>
    <w:p w:rsidR="00AC3112" w:rsidRPr="00AC3112" w:rsidRDefault="00AC3112" w:rsidP="00AC3112">
      <w:pPr>
        <w:autoSpaceDE w:val="0"/>
        <w:autoSpaceDN w:val="0"/>
        <w:adjustRightInd w:val="0"/>
        <w:spacing w:after="0" w:line="240" w:lineRule="auto"/>
        <w:ind w:firstLine="567"/>
        <w:jc w:val="both"/>
        <w:rPr>
          <w:rFonts w:ascii="Calibri" w:hAnsi="Calibri" w:cs="Times New Roman"/>
          <w:bCs/>
          <w:i/>
          <w:sz w:val="16"/>
          <w:szCs w:val="16"/>
          <w:shd w:val="clear" w:color="auto" w:fill="FFFFFF"/>
          <w:lang w:val="en-US" w:eastAsia="tr-TR"/>
        </w:rPr>
      </w:pPr>
      <w:r w:rsidRPr="00AC3112">
        <w:rPr>
          <w:rFonts w:ascii="Calibri" w:hAnsi="Calibri" w:cs="Times New Roman"/>
          <w:b/>
          <w:bCs/>
          <w:i/>
          <w:sz w:val="16"/>
          <w:szCs w:val="16"/>
          <w:shd w:val="clear" w:color="auto" w:fill="FFFFFF"/>
          <w:lang w:val="en-US" w:eastAsia="tr-TR"/>
        </w:rPr>
        <w:t>Abstract:</w:t>
      </w:r>
      <w:r w:rsidRPr="00AC3112">
        <w:rPr>
          <w:rFonts w:ascii="Calibri" w:hAnsi="Calibri" w:cs="Times New Roman"/>
          <w:bCs/>
          <w:i/>
          <w:sz w:val="16"/>
          <w:szCs w:val="16"/>
          <w:shd w:val="clear" w:color="auto" w:fill="FFFFFF"/>
          <w:lang w:val="en-US" w:eastAsia="tr-TR"/>
        </w:rPr>
        <w:t xml:space="preserve"> Many efforts have been devoted to import dependency of economies. In this study, import effects of sectors and their determinants have been researched by using input output models. Main determinants of sectoral import dependency were classified as base of three elements such as intensity of imported input, </w:t>
      </w:r>
      <w:r w:rsidRPr="00AC3112">
        <w:rPr>
          <w:rFonts w:ascii="Calibri" w:eastAsia="Times New Roman" w:hAnsi="Calibri" w:cs="Times New Roman"/>
          <w:bCs/>
          <w:i/>
          <w:sz w:val="16"/>
          <w:szCs w:val="16"/>
          <w:shd w:val="clear" w:color="auto" w:fill="FFFFFF"/>
          <w:lang w:val="en-US" w:eastAsia="tr-TR"/>
        </w:rPr>
        <w:t xml:space="preserve">share of sectors in output and inter sectoral linkages. By the use of </w:t>
      </w:r>
      <w:r w:rsidRPr="00AC3112">
        <w:rPr>
          <w:rFonts w:ascii="Calibri" w:hAnsi="Calibri" w:cs="Times New Roman"/>
          <w:bCs/>
          <w:i/>
          <w:sz w:val="16"/>
          <w:szCs w:val="16"/>
          <w:shd w:val="clear" w:color="auto" w:fill="FFFFFF"/>
          <w:lang w:val="en-US" w:eastAsia="tr-TR"/>
        </w:rPr>
        <w:t xml:space="preserve">National Turkish Input-Output Tables from 1995 to 2011 which have been published World Input Output Database, import dependency of Turkish Economy was examined by sectors. With respect to finding of the study; Turkish Economy has been more import dependent during this period and change in the import dependency of sectors exhibited large diversity during 1995-2011. Import multipliers exhibiting total import effects of sectors seem to have changed in narrow band and closer to each other in 1995-1998 while it has been observed an expansion of import multipliers band and an increase in differences among sectors after 1998. </w:t>
      </w:r>
    </w:p>
    <w:p w:rsidR="00AC3112" w:rsidRPr="00AC3112" w:rsidRDefault="00AC3112" w:rsidP="00AC3112">
      <w:pPr>
        <w:autoSpaceDE w:val="0"/>
        <w:autoSpaceDN w:val="0"/>
        <w:adjustRightInd w:val="0"/>
        <w:spacing w:after="0" w:line="240" w:lineRule="auto"/>
        <w:ind w:firstLine="567"/>
        <w:jc w:val="both"/>
        <w:rPr>
          <w:rFonts w:ascii="Calibri" w:hAnsi="Calibri" w:cs="Times New Roman"/>
          <w:bCs/>
          <w:i/>
          <w:sz w:val="16"/>
          <w:szCs w:val="16"/>
          <w:shd w:val="clear" w:color="auto" w:fill="FFFFFF"/>
          <w:lang w:val="en-US" w:eastAsia="tr-TR"/>
        </w:rPr>
      </w:pPr>
    </w:p>
    <w:p w:rsidR="00AC3112" w:rsidRPr="00AC3112" w:rsidRDefault="00AC3112" w:rsidP="00AC3112">
      <w:pPr>
        <w:spacing w:after="0" w:line="240" w:lineRule="auto"/>
        <w:rPr>
          <w:rFonts w:ascii="Calibri" w:hAnsi="Calibri" w:cs="Times New Roman"/>
          <w:sz w:val="16"/>
          <w:szCs w:val="16"/>
          <w:lang w:val="en-US"/>
        </w:rPr>
      </w:pPr>
      <w:r w:rsidRPr="00AC3112">
        <w:rPr>
          <w:rFonts w:ascii="Calibri" w:hAnsi="Calibri" w:cs="Times New Roman"/>
          <w:b/>
          <w:sz w:val="16"/>
          <w:szCs w:val="16"/>
          <w:lang w:val="en-US"/>
        </w:rPr>
        <w:t>Keywords</w:t>
      </w:r>
      <w:r w:rsidRPr="00AC3112">
        <w:rPr>
          <w:rFonts w:ascii="Calibri" w:hAnsi="Calibri" w:cs="Times New Roman"/>
          <w:sz w:val="16"/>
          <w:szCs w:val="16"/>
          <w:lang w:val="en-US"/>
        </w:rPr>
        <w:t xml:space="preserve">: Input Output Analysis, Import Dependency, Turkish Economy, </w:t>
      </w:r>
    </w:p>
    <w:p w:rsidR="00AC3112" w:rsidRPr="00AC3112" w:rsidRDefault="00AC3112" w:rsidP="00AC3112">
      <w:pPr>
        <w:spacing w:after="0" w:line="240" w:lineRule="auto"/>
        <w:rPr>
          <w:rFonts w:ascii="Calibri" w:hAnsi="Calibri" w:cs="Times New Roman"/>
          <w:sz w:val="16"/>
          <w:szCs w:val="16"/>
          <w:lang w:val="en-US"/>
        </w:rPr>
      </w:pPr>
    </w:p>
    <w:p w:rsidR="00AC3112" w:rsidRPr="00AC3112" w:rsidRDefault="00AC3112" w:rsidP="00AC3112">
      <w:pPr>
        <w:spacing w:after="0" w:line="240" w:lineRule="auto"/>
        <w:rPr>
          <w:rFonts w:ascii="Calibri" w:hAnsi="Calibri" w:cs="Times New Roman"/>
          <w:sz w:val="16"/>
          <w:szCs w:val="16"/>
          <w:lang w:val="en-US"/>
        </w:rPr>
      </w:pPr>
      <w:proofErr w:type="spellStart"/>
      <w:r w:rsidRPr="00AC3112">
        <w:rPr>
          <w:rFonts w:ascii="Calibri" w:hAnsi="Calibri" w:cs="Times New Roman"/>
          <w:b/>
          <w:sz w:val="16"/>
          <w:szCs w:val="16"/>
          <w:lang w:val="en-US"/>
        </w:rPr>
        <w:t>Jel</w:t>
      </w:r>
      <w:proofErr w:type="spellEnd"/>
      <w:r w:rsidRPr="00AC3112">
        <w:rPr>
          <w:rFonts w:ascii="Calibri" w:hAnsi="Calibri" w:cs="Times New Roman"/>
          <w:b/>
          <w:sz w:val="16"/>
          <w:szCs w:val="16"/>
          <w:lang w:val="en-US"/>
        </w:rPr>
        <w:t xml:space="preserve"> Classifications</w:t>
      </w:r>
      <w:r w:rsidRPr="00AC3112">
        <w:rPr>
          <w:rFonts w:ascii="Calibri" w:hAnsi="Calibri" w:cs="Times New Roman"/>
          <w:sz w:val="16"/>
          <w:szCs w:val="16"/>
          <w:lang w:val="en-US"/>
        </w:rPr>
        <w:t>: C67, F10, O50</w:t>
      </w:r>
    </w:p>
    <w:p w:rsidR="00AC3112" w:rsidRPr="00AC3112" w:rsidRDefault="00AC3112" w:rsidP="00AC3112">
      <w:pPr>
        <w:spacing w:after="0" w:line="240" w:lineRule="auto"/>
        <w:rPr>
          <w:rFonts w:ascii="Calibri" w:hAnsi="Calibri" w:cs="Times New Roman"/>
          <w:sz w:val="16"/>
          <w:szCs w:val="16"/>
          <w:lang w:val="en-US"/>
        </w:rPr>
      </w:pPr>
    </w:p>
    <w:p w:rsidR="00AC3112" w:rsidRPr="00AC3112" w:rsidRDefault="00AC3112" w:rsidP="00AC3112">
      <w:pPr>
        <w:pStyle w:val="ListeParagraf"/>
        <w:keepNext/>
        <w:keepLines/>
        <w:numPr>
          <w:ilvl w:val="0"/>
          <w:numId w:val="1"/>
        </w:numPr>
        <w:spacing w:before="240" w:after="120" w:line="240" w:lineRule="auto"/>
        <w:outlineLvl w:val="0"/>
        <w:rPr>
          <w:rFonts w:ascii="Calibri" w:eastAsiaTheme="majorEastAsia" w:hAnsi="Calibri" w:cstheme="majorBidi"/>
          <w:b/>
          <w:color w:val="000000" w:themeColor="text1"/>
          <w:lang w:val="en-US"/>
        </w:rPr>
      </w:pPr>
      <w:r w:rsidRPr="00AC3112">
        <w:rPr>
          <w:rFonts w:ascii="Calibri" w:eastAsiaTheme="majorEastAsia" w:hAnsi="Calibri" w:cstheme="majorBidi"/>
          <w:b/>
          <w:color w:val="000000" w:themeColor="text1"/>
          <w:lang w:val="en-US"/>
        </w:rPr>
        <w:t>Introduction</w:t>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t xml:space="preserve">The body of empirical works on import dependency has been ever growing and several studies have been made to test import dependency of the economy by using input output model. Within the literature, although input output analysis is widely used to study import dependency of both sectors and economies, there are a limited number of studies analyzing import dependency of Turkish Economy by using input output model. Most of the studies, searching this subject with input output model are based on the 2002 or/and previous input-output tables which were published by Turkish Statistical Association (TSA). As it known none of these studies used Turkish National Input Output Table published by World Input Output Database (WIOD). In this sense to the best of our knowledge, import dependency findings of input-output model for Turkish Economy are only available to 2002 and there is no study by using more up-to-date input-output tables. The Turkish Input Output Tables published by WIO have been used first time in this study to analyze import dependency of Turkish Economy. </w:t>
      </w:r>
    </w:p>
    <w:p w:rsid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t xml:space="preserve">The main objective of this article is to </w:t>
      </w:r>
      <w:r w:rsidRPr="00AC3112">
        <w:rPr>
          <w:rFonts w:ascii="Calibri" w:eastAsia="NotDefSpecial" w:hAnsi="Calibri" w:cs="Times New Roman"/>
          <w:bCs/>
          <w:szCs w:val="16"/>
          <w:shd w:val="clear" w:color="auto" w:fill="FFFFFF"/>
          <w:lang w:val="en-US" w:eastAsia="tr-TR"/>
        </w:rPr>
        <w:t>analyze the</w:t>
      </w:r>
      <w:r w:rsidRPr="00AC3112">
        <w:rPr>
          <w:rFonts w:ascii="Calibri" w:hAnsi="Calibri" w:cs="Times New Roman"/>
          <w:bCs/>
          <w:szCs w:val="16"/>
          <w:shd w:val="clear" w:color="auto" w:fill="FFFFFF"/>
          <w:lang w:val="en-US" w:eastAsia="tr-TR"/>
        </w:rPr>
        <w:t xml:space="preserve"> dependency of Turkish Economy on import in sectoral level between 1995 and 2011 by using input output models. This study also sheds light on the determinants of total import effect of sectors; such as import intensity, share of sectors in output and inter sectoral input output relations. For this purpose, recently available 17 National Turkish Input-Output Tables published in World Input Output Database (WIOD) from 1995 to 2011 were used in the study. </w:t>
      </w:r>
    </w:p>
    <w:p w:rsidR="0003120B" w:rsidRPr="0003120B" w:rsidRDefault="0003120B" w:rsidP="0003120B">
      <w:pPr>
        <w:pStyle w:val="ListeParagraf"/>
        <w:keepNext/>
        <w:keepLines/>
        <w:numPr>
          <w:ilvl w:val="0"/>
          <w:numId w:val="1"/>
        </w:numPr>
        <w:spacing w:before="240" w:after="120" w:line="240" w:lineRule="auto"/>
        <w:outlineLvl w:val="0"/>
        <w:rPr>
          <w:rFonts w:ascii="Calibri" w:eastAsiaTheme="majorEastAsia" w:hAnsi="Calibri" w:cstheme="majorBidi"/>
          <w:b/>
          <w:color w:val="000000" w:themeColor="text1"/>
          <w:lang w:val="en-US"/>
        </w:rPr>
      </w:pPr>
      <w:r w:rsidRPr="0003120B">
        <w:rPr>
          <w:rFonts w:ascii="Calibri" w:eastAsiaTheme="majorEastAsia" w:hAnsi="Calibri" w:cstheme="majorBidi"/>
          <w:b/>
          <w:color w:val="000000" w:themeColor="text1"/>
          <w:lang w:val="en-US"/>
        </w:rPr>
        <w:t>Input Output Model</w:t>
      </w:r>
    </w:p>
    <w:p w:rsidR="0003120B" w:rsidRPr="0003120B" w:rsidRDefault="0003120B" w:rsidP="0003120B">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03120B">
        <w:rPr>
          <w:rFonts w:ascii="Calibri" w:hAnsi="Calibri" w:cs="Times New Roman"/>
          <w:bCs/>
          <w:szCs w:val="16"/>
          <w:shd w:val="clear" w:color="auto" w:fill="FFFFFF"/>
          <w:lang w:val="en-US" w:eastAsia="tr-TR"/>
        </w:rPr>
        <w:t xml:space="preserve">Gross output which can be estimated by using both demand and supply side methods in input output models is a significant indicator of the economy. According to demand side methods, it is measured roughly as the sum of intermediate inputs and final demand while it is measured by sum of intermediate input and value added with regard to supply side methods. Since import dependency of </w:t>
      </w:r>
      <w:r w:rsidRPr="0003120B">
        <w:rPr>
          <w:rFonts w:ascii="Calibri" w:hAnsi="Calibri" w:cs="Times New Roman"/>
          <w:bCs/>
          <w:szCs w:val="16"/>
          <w:shd w:val="clear" w:color="auto" w:fill="FFFFFF"/>
          <w:lang w:val="en-US" w:eastAsia="tr-TR"/>
        </w:rPr>
        <w:lastRenderedPageBreak/>
        <w:t xml:space="preserve">the economies are mainly effected usage of intermediate imported inputs, the study focused on supply side </w:t>
      </w:r>
      <w:r>
        <w:rPr>
          <w:rFonts w:ascii="Calibri" w:hAnsi="Calibri" w:cs="Times New Roman"/>
          <w:bCs/>
          <w:szCs w:val="16"/>
          <w:shd w:val="clear" w:color="auto" w:fill="FFFFFF"/>
          <w:lang w:val="en-US" w:eastAsia="tr-TR"/>
        </w:rPr>
        <w:t xml:space="preserve">input output </w:t>
      </w:r>
      <w:bookmarkStart w:id="0" w:name="_GoBack"/>
      <w:bookmarkEnd w:id="0"/>
      <w:r w:rsidRPr="0003120B">
        <w:rPr>
          <w:rFonts w:ascii="Calibri" w:hAnsi="Calibri" w:cs="Times New Roman"/>
          <w:bCs/>
          <w:szCs w:val="16"/>
          <w:shd w:val="clear" w:color="auto" w:fill="FFFFFF"/>
          <w:lang w:val="en-US" w:eastAsia="tr-TR"/>
        </w:rPr>
        <w:t>models.</w:t>
      </w:r>
    </w:p>
    <w:p w:rsidR="00AC3112" w:rsidRPr="00AC3112" w:rsidRDefault="00AC3112" w:rsidP="00AC3112">
      <w:pPr>
        <w:pStyle w:val="ListeParagraf"/>
        <w:keepNext/>
        <w:keepLines/>
        <w:numPr>
          <w:ilvl w:val="0"/>
          <w:numId w:val="1"/>
        </w:numPr>
        <w:spacing w:before="240" w:after="120" w:line="240" w:lineRule="auto"/>
        <w:outlineLvl w:val="0"/>
        <w:rPr>
          <w:rFonts w:ascii="Calibri" w:eastAsiaTheme="majorEastAsia" w:hAnsi="Calibri" w:cstheme="majorBidi"/>
          <w:b/>
          <w:color w:val="000000" w:themeColor="text1"/>
          <w:lang w:val="en-US"/>
        </w:rPr>
      </w:pPr>
      <w:r w:rsidRPr="00AC3112">
        <w:rPr>
          <w:rFonts w:ascii="Calibri" w:eastAsiaTheme="majorEastAsia" w:hAnsi="Calibri" w:cstheme="majorBidi"/>
          <w:b/>
          <w:color w:val="000000" w:themeColor="text1"/>
          <w:lang w:val="en-US"/>
        </w:rPr>
        <w:t xml:space="preserve">Analysis and Discussion </w:t>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t xml:space="preserve">Change of intermediate input structure and import dependency of Turkish Economy during 1995-2011 period has been analyzed in accordance with the input output model which explained in section 2. Although calculations include all of sectors, emphasis is put on the top ten sectors having the greatest import impacts in 2011 seeing that the study focused on macro wide import dependency of the economy in recent years. </w:t>
      </w:r>
    </w:p>
    <w:p w:rsidR="00AC3112" w:rsidRPr="00AC3112" w:rsidRDefault="00AC3112" w:rsidP="00AC3112">
      <w:pPr>
        <w:pStyle w:val="ListeParagraf"/>
        <w:keepNext/>
        <w:keepLines/>
        <w:numPr>
          <w:ilvl w:val="0"/>
          <w:numId w:val="1"/>
        </w:numPr>
        <w:spacing w:before="240" w:after="120" w:line="240" w:lineRule="auto"/>
        <w:outlineLvl w:val="0"/>
        <w:rPr>
          <w:rFonts w:ascii="Calibri" w:eastAsiaTheme="majorEastAsia" w:hAnsi="Calibri" w:cstheme="majorBidi"/>
          <w:b/>
          <w:color w:val="000000" w:themeColor="text1"/>
          <w:lang w:val="en-US"/>
        </w:rPr>
      </w:pPr>
      <w:proofErr w:type="spellStart"/>
      <w:r w:rsidRPr="00AC3112">
        <w:rPr>
          <w:rFonts w:ascii="Calibri" w:eastAsiaTheme="majorEastAsia" w:hAnsi="Calibri" w:cstheme="majorBidi"/>
          <w:b/>
          <w:color w:val="000000" w:themeColor="text1"/>
          <w:lang w:val="en-US"/>
        </w:rPr>
        <w:t>Emprical</w:t>
      </w:r>
      <w:proofErr w:type="spellEnd"/>
      <w:r w:rsidRPr="00AC3112">
        <w:rPr>
          <w:rFonts w:ascii="Calibri" w:eastAsiaTheme="majorEastAsia" w:hAnsi="Calibri" w:cstheme="majorBidi"/>
          <w:b/>
          <w:color w:val="000000" w:themeColor="text1"/>
          <w:lang w:val="en-US"/>
        </w:rPr>
        <w:t xml:space="preserve"> Findings</w:t>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t>Output value is composed of value added and intermediate input. Intermediate inputs are sourced from foreign or domestic markets. The decomposition of the output into components helps to understand the characteristics of the production structure. For this reason, total output decomposed into its main components such as value added, domestic intermediate input and imported intermediate input in order to understand how the production structure of Turkish Economy changed between 1995 and 2011. Decomposition results were presented in Figure 1.</w:t>
      </w:r>
    </w:p>
    <w:p w:rsidR="00AC3112" w:rsidRPr="00AC3112" w:rsidRDefault="00AC3112" w:rsidP="00AC3112">
      <w:pPr>
        <w:spacing w:before="120" w:after="120" w:line="240" w:lineRule="auto"/>
        <w:ind w:right="284"/>
        <w:rPr>
          <w:rFonts w:ascii="Calibri" w:eastAsiaTheme="majorEastAsia" w:hAnsi="Calibri" w:cs="Arial"/>
          <w:color w:val="000000"/>
          <w:szCs w:val="18"/>
          <w:lang w:val="en-US" w:eastAsia="tr-TR"/>
        </w:rPr>
      </w:pPr>
      <w:r w:rsidRPr="00AC3112">
        <w:rPr>
          <w:rFonts w:ascii="Calibri" w:eastAsia="Times New Roman" w:hAnsi="Calibri" w:cs="Arial"/>
          <w:color w:val="000000"/>
          <w:szCs w:val="18"/>
          <w:lang w:val="en-US" w:eastAsia="tr-TR"/>
        </w:rPr>
        <w:t xml:space="preserve">Figure </w:t>
      </w:r>
      <w:r w:rsidRPr="00AC3112">
        <w:rPr>
          <w:rFonts w:ascii="Calibri" w:eastAsia="Times New Roman" w:hAnsi="Calibri" w:cs="Arial"/>
          <w:color w:val="000000"/>
          <w:szCs w:val="18"/>
          <w:lang w:val="en-US" w:eastAsia="tr-TR"/>
        </w:rPr>
        <w:fldChar w:fldCharType="begin"/>
      </w:r>
      <w:r w:rsidRPr="00AC3112">
        <w:rPr>
          <w:rFonts w:ascii="Calibri" w:eastAsia="Times New Roman" w:hAnsi="Calibri" w:cs="Arial"/>
          <w:color w:val="000000"/>
          <w:szCs w:val="18"/>
          <w:lang w:val="en-US" w:eastAsia="tr-TR"/>
        </w:rPr>
        <w:instrText xml:space="preserve"> SEQ Figure \* ARABIC </w:instrText>
      </w:r>
      <w:r w:rsidRPr="00AC3112">
        <w:rPr>
          <w:rFonts w:ascii="Calibri" w:eastAsia="Times New Roman" w:hAnsi="Calibri" w:cs="Arial"/>
          <w:color w:val="000000"/>
          <w:szCs w:val="18"/>
          <w:lang w:val="en-US" w:eastAsia="tr-TR"/>
        </w:rPr>
        <w:fldChar w:fldCharType="separate"/>
      </w:r>
      <w:r w:rsidRPr="00AC3112">
        <w:rPr>
          <w:rFonts w:ascii="Calibri" w:eastAsia="Times New Roman" w:hAnsi="Calibri" w:cs="Arial"/>
          <w:noProof/>
          <w:color w:val="000000"/>
          <w:szCs w:val="18"/>
          <w:lang w:val="en-US" w:eastAsia="tr-TR"/>
        </w:rPr>
        <w:t>1</w:t>
      </w:r>
      <w:r w:rsidRPr="00AC3112">
        <w:rPr>
          <w:rFonts w:ascii="Calibri" w:eastAsia="Times New Roman" w:hAnsi="Calibri" w:cs="Arial"/>
          <w:color w:val="000000"/>
          <w:szCs w:val="18"/>
          <w:lang w:val="en-US" w:eastAsia="tr-TR"/>
        </w:rPr>
        <w:fldChar w:fldCharType="end"/>
      </w:r>
      <w:r w:rsidRPr="00AC3112">
        <w:rPr>
          <w:rFonts w:ascii="Calibri" w:eastAsia="Times New Roman" w:hAnsi="Calibri" w:cs="Arial"/>
          <w:color w:val="000000"/>
          <w:szCs w:val="18"/>
          <w:lang w:val="en-US" w:eastAsia="tr-TR"/>
        </w:rPr>
        <w:t xml:space="preserve">. Factor Content of Output in Turkish Economy </w:t>
      </w:r>
      <w:proofErr w:type="gramStart"/>
      <w:r w:rsidRPr="00AC3112">
        <w:rPr>
          <w:rFonts w:ascii="Calibri" w:eastAsia="Times New Roman" w:hAnsi="Calibri" w:cs="Arial"/>
          <w:color w:val="000000"/>
          <w:szCs w:val="18"/>
          <w:lang w:val="en-US" w:eastAsia="tr-TR"/>
        </w:rPr>
        <w:t>Between</w:t>
      </w:r>
      <w:proofErr w:type="gramEnd"/>
      <w:r w:rsidRPr="00AC3112">
        <w:rPr>
          <w:rFonts w:ascii="Calibri" w:eastAsia="Times New Roman" w:hAnsi="Calibri" w:cs="Arial"/>
          <w:color w:val="000000"/>
          <w:szCs w:val="18"/>
          <w:lang w:val="en-US" w:eastAsia="tr-TR"/>
        </w:rPr>
        <w:t xml:space="preserve"> 1995 and 2011.</w:t>
      </w:r>
    </w:p>
    <w:p w:rsidR="00AC3112" w:rsidRPr="00AC3112" w:rsidRDefault="00AC3112" w:rsidP="00AC3112">
      <w:pPr>
        <w:spacing w:before="120" w:after="120" w:line="240" w:lineRule="auto"/>
        <w:ind w:right="284"/>
        <w:rPr>
          <w:rFonts w:ascii="Calibri" w:eastAsia="Times New Roman" w:hAnsi="Calibri" w:cs="Arial"/>
          <w:color w:val="000000"/>
          <w:szCs w:val="18"/>
          <w:lang w:val="en-US" w:eastAsia="tr-TR"/>
        </w:rPr>
      </w:pPr>
      <w:r w:rsidRPr="00AC3112">
        <w:rPr>
          <w:rFonts w:ascii="Calibri" w:eastAsia="Times New Roman" w:hAnsi="Calibri" w:cs="Arial"/>
          <w:noProof/>
          <w:color w:val="000000"/>
          <w:szCs w:val="18"/>
          <w:lang w:eastAsia="tr-TR"/>
        </w:rPr>
        <w:drawing>
          <wp:inline distT="0" distB="0" distL="0" distR="0" wp14:anchorId="1BE3194D" wp14:editId="724E6A46">
            <wp:extent cx="5218486" cy="1537335"/>
            <wp:effectExtent l="0" t="0" r="1270" b="571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t>Value added and domestic input weighted production structure have been observed in Turkish Economy within the research period. By the input factors, there has been some changes in content of the output between 1995 and 2011. Val</w:t>
      </w:r>
      <w:r w:rsidRPr="00AC3112">
        <w:rPr>
          <w:rFonts w:ascii="Calibri" w:hAnsi="Calibri" w:cs="Times New Roman"/>
          <w:szCs w:val="16"/>
          <w:shd w:val="clear" w:color="auto" w:fill="FFFFFF"/>
          <w:lang w:val="en-US" w:eastAsia="tr-TR"/>
        </w:rPr>
        <w:t>u</w:t>
      </w:r>
      <w:r w:rsidRPr="00AC3112">
        <w:rPr>
          <w:rFonts w:ascii="Calibri" w:hAnsi="Calibri" w:cs="Times New Roman"/>
          <w:bCs/>
          <w:szCs w:val="16"/>
          <w:shd w:val="clear" w:color="auto" w:fill="FFFFFF"/>
          <w:lang w:val="en-US" w:eastAsia="tr-TR"/>
        </w:rPr>
        <w:t>e added and domestic input intensities of production were accounted for %56 and %37 while this percentage decreased to %0</w:t>
      </w:r>
      <w:proofErr w:type="gramStart"/>
      <w:r w:rsidRPr="00AC3112">
        <w:rPr>
          <w:rFonts w:ascii="Calibri" w:hAnsi="Calibri" w:cs="Times New Roman"/>
          <w:bCs/>
          <w:szCs w:val="16"/>
          <w:shd w:val="clear" w:color="auto" w:fill="FFFFFF"/>
          <w:lang w:val="en-US" w:eastAsia="tr-TR"/>
        </w:rPr>
        <w:t>,04</w:t>
      </w:r>
      <w:proofErr w:type="gramEnd"/>
      <w:r w:rsidRPr="00AC3112">
        <w:rPr>
          <w:rFonts w:ascii="Calibri" w:hAnsi="Calibri" w:cs="Times New Roman"/>
          <w:bCs/>
          <w:szCs w:val="16"/>
          <w:shd w:val="clear" w:color="auto" w:fill="FFFFFF"/>
          <w:lang w:val="en-US" w:eastAsia="tr-TR"/>
        </w:rPr>
        <w:t xml:space="preserve"> for import intensity in 1995. Domestic intermediate input and imported input intensity of the output increased while value added content diminished in this period. </w:t>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t xml:space="preserve">Import intensity increased from 0.04% to 0.7% between 1995 and 2011. Value of the import intensity is reached the highest peak in 2006 and 2007 with 0.11% in corresponded period. Upward trend in import content of output attended steadily to 2007 and began to decline after 2007. Although import intensity dropped to 0.7% in 2011, it is significantly higher than value of in 1995. If this period is evaluated as a whole; it is possible to say that, imported input intensity of Turkish Economy almost doubled its value within the period of 1995-2011. </w:t>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t xml:space="preserve">To anticipate intermediate input demand capacity of Turkish Economy in the period of 1995-2011, average Direct Backward Linkage Coefficients (DBLC) of sectors exhibiting intermediate input intensity (intermediate input demand) were calculated and results presented in Figure 2. </w:t>
      </w:r>
    </w:p>
    <w:p w:rsidR="00AC3112" w:rsidRPr="00AC3112" w:rsidRDefault="00AC3112" w:rsidP="00AC3112">
      <w:pPr>
        <w:spacing w:before="120" w:after="120" w:line="240" w:lineRule="auto"/>
        <w:ind w:right="284" w:firstLine="142"/>
        <w:rPr>
          <w:rFonts w:ascii="Calibri" w:eastAsia="Times New Roman" w:hAnsi="Calibri" w:cs="Arial"/>
          <w:bCs/>
          <w:color w:val="000000"/>
          <w:szCs w:val="18"/>
          <w:lang w:val="en-US" w:eastAsia="tr-TR"/>
        </w:rPr>
      </w:pPr>
      <w:r w:rsidRPr="00AC3112">
        <w:rPr>
          <w:rFonts w:ascii="Calibri" w:eastAsia="Times New Roman" w:hAnsi="Calibri" w:cs="Arial"/>
          <w:color w:val="000000"/>
          <w:szCs w:val="18"/>
          <w:lang w:val="en-US" w:eastAsia="tr-TR"/>
        </w:rPr>
        <w:t xml:space="preserve">Figure </w:t>
      </w:r>
      <w:r w:rsidRPr="00AC3112">
        <w:rPr>
          <w:rFonts w:ascii="Calibri" w:eastAsia="Times New Roman" w:hAnsi="Calibri" w:cs="Arial"/>
          <w:color w:val="000000"/>
          <w:szCs w:val="18"/>
          <w:lang w:val="en-US" w:eastAsia="tr-TR"/>
        </w:rPr>
        <w:fldChar w:fldCharType="begin"/>
      </w:r>
      <w:r w:rsidRPr="00AC3112">
        <w:rPr>
          <w:rFonts w:ascii="Calibri" w:eastAsia="Times New Roman" w:hAnsi="Calibri" w:cs="Arial"/>
          <w:color w:val="000000"/>
          <w:szCs w:val="18"/>
          <w:lang w:val="en-US" w:eastAsia="tr-TR"/>
        </w:rPr>
        <w:instrText xml:space="preserve"> SEQ Figure \* ARABIC </w:instrText>
      </w:r>
      <w:r w:rsidRPr="00AC3112">
        <w:rPr>
          <w:rFonts w:ascii="Calibri" w:eastAsia="Times New Roman" w:hAnsi="Calibri" w:cs="Arial"/>
          <w:color w:val="000000"/>
          <w:szCs w:val="18"/>
          <w:lang w:val="en-US" w:eastAsia="tr-TR"/>
        </w:rPr>
        <w:fldChar w:fldCharType="separate"/>
      </w:r>
      <w:r w:rsidRPr="00AC3112">
        <w:rPr>
          <w:rFonts w:ascii="Calibri" w:eastAsia="Times New Roman" w:hAnsi="Calibri" w:cs="Arial"/>
          <w:noProof/>
          <w:color w:val="000000"/>
          <w:szCs w:val="18"/>
          <w:lang w:val="en-US" w:eastAsia="tr-TR"/>
        </w:rPr>
        <w:t>2</w:t>
      </w:r>
      <w:r w:rsidRPr="00AC3112">
        <w:rPr>
          <w:rFonts w:ascii="Calibri" w:eastAsia="Times New Roman" w:hAnsi="Calibri" w:cs="Arial"/>
          <w:color w:val="000000"/>
          <w:szCs w:val="18"/>
          <w:lang w:val="en-US" w:eastAsia="tr-TR"/>
        </w:rPr>
        <w:fldChar w:fldCharType="end"/>
      </w:r>
      <w:r w:rsidRPr="00AC3112">
        <w:rPr>
          <w:rFonts w:ascii="Calibri" w:eastAsia="Times New Roman" w:hAnsi="Calibri" w:cs="Arial"/>
          <w:color w:val="000000"/>
          <w:szCs w:val="18"/>
          <w:lang w:val="en-US" w:eastAsia="tr-TR"/>
        </w:rPr>
        <w:t>. Average Direct Backward Linkages Coefficients between 1995 and 2011.</w:t>
      </w:r>
    </w:p>
    <w:p w:rsidR="00AC3112" w:rsidRPr="00AC3112" w:rsidRDefault="00AC3112" w:rsidP="00AC3112">
      <w:pPr>
        <w:spacing w:before="120" w:after="120" w:line="360" w:lineRule="auto"/>
        <w:ind w:left="142" w:right="282"/>
        <w:jc w:val="both"/>
        <w:outlineLvl w:val="0"/>
        <w:rPr>
          <w:rFonts w:ascii="Times New Roman" w:hAnsi="Times New Roman"/>
          <w:sz w:val="18"/>
          <w:shd w:val="clear" w:color="auto" w:fill="FFFFFF"/>
          <w:lang w:val="en-US" w:eastAsia="tr-TR"/>
        </w:rPr>
      </w:pPr>
      <w:r w:rsidRPr="00AC3112">
        <w:rPr>
          <w:rFonts w:ascii="Times New Roman" w:hAnsi="Times New Roman"/>
          <w:noProof/>
          <w:sz w:val="18"/>
          <w:shd w:val="clear" w:color="auto" w:fill="FFFFFF"/>
          <w:lang w:eastAsia="tr-TR"/>
        </w:rPr>
        <w:lastRenderedPageBreak/>
        <w:drawing>
          <wp:inline distT="0" distB="0" distL="0" distR="0" wp14:anchorId="454FEE53" wp14:editId="2676B966">
            <wp:extent cx="5160245" cy="1164590"/>
            <wp:effectExtent l="0" t="0" r="2540" b="1651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t xml:space="preserve">The graphical illustrations and analysis of DBLC show imported input dependency of Turkish Economy and allows insights at sectoral level. DBLC of sectors sign that, output of the many sectors are heavily on intermediate input usage and most of sectors (12 of 21) have high intermediate input intensity. </w:t>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t>By the sectors, the biggest Intermediate input content were found in food, petrol, cork, metal, plastic and textile according to average of 1995- 2011 values. Intermediate input requirement were accounted for %70 and over for mentioned sectors above in this period. Both food and petrol used 0.73 unit intermediate input from other sectors to produce extra one unit product. Intermediate input requirements found 0.72 for metal and cork sectors, 0.70 for plastic and textile sectors. Average intermediate input requirement of an additional one unit output in energy sector was 0.53 in this period. Figure 2 also assigns that most of the intermediate input intensive sector is industrial sectors.</w:t>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highlight w:val="white"/>
          <w:shd w:val="clear" w:color="auto" w:fill="FFFFFF"/>
          <w:lang w:val="en-US" w:eastAsia="tr-TR"/>
        </w:rPr>
        <w:t xml:space="preserve">To analyze intermediate input supply characteristics of sectors, average of Direct Forward Linkage Coefficients (DFLC) reflecting capacity to produce intermediate input were calculated for the period of 1995-2011 and </w:t>
      </w:r>
      <w:r w:rsidRPr="00AC3112">
        <w:rPr>
          <w:rFonts w:ascii="Calibri" w:hAnsi="Calibri" w:cs="Times New Roman"/>
          <w:bCs/>
          <w:szCs w:val="16"/>
          <w:shd w:val="clear" w:color="auto" w:fill="FFFFFF"/>
          <w:lang w:val="en-US" w:eastAsia="tr-TR"/>
        </w:rPr>
        <w:t xml:space="preserve">ranked with respect to their average DFLC </w:t>
      </w:r>
      <w:r w:rsidRPr="00AC3112">
        <w:rPr>
          <w:rFonts w:ascii="Calibri" w:hAnsi="Calibri" w:cs="Times New Roman"/>
          <w:bCs/>
          <w:szCs w:val="16"/>
          <w:highlight w:val="white"/>
          <w:shd w:val="clear" w:color="auto" w:fill="FFFFFF"/>
          <w:lang w:val="en-US" w:eastAsia="tr-TR"/>
        </w:rPr>
        <w:t xml:space="preserve">in Figure 3. </w:t>
      </w:r>
    </w:p>
    <w:p w:rsidR="00AC3112" w:rsidRPr="00AC3112" w:rsidRDefault="00AC3112" w:rsidP="00AC3112">
      <w:pPr>
        <w:spacing w:before="120" w:after="120" w:line="240" w:lineRule="auto"/>
        <w:ind w:right="284"/>
        <w:rPr>
          <w:rFonts w:ascii="Calibri" w:eastAsia="Times New Roman" w:hAnsi="Calibri" w:cs="Arial"/>
          <w:color w:val="000000"/>
          <w:szCs w:val="18"/>
          <w:lang w:val="en-US" w:eastAsia="tr-TR"/>
        </w:rPr>
      </w:pPr>
      <w:r w:rsidRPr="00AC3112">
        <w:rPr>
          <w:rFonts w:ascii="Calibri" w:eastAsia="Times New Roman" w:hAnsi="Calibri" w:cs="Arial"/>
          <w:color w:val="000000"/>
          <w:szCs w:val="18"/>
          <w:lang w:val="en-US" w:eastAsia="tr-TR"/>
        </w:rPr>
        <w:t xml:space="preserve">Figure </w:t>
      </w:r>
      <w:r w:rsidRPr="00AC3112">
        <w:rPr>
          <w:rFonts w:ascii="Calibri" w:eastAsia="Times New Roman" w:hAnsi="Calibri" w:cs="Arial"/>
          <w:color w:val="000000"/>
          <w:szCs w:val="18"/>
          <w:lang w:val="en-US" w:eastAsia="tr-TR"/>
        </w:rPr>
        <w:fldChar w:fldCharType="begin"/>
      </w:r>
      <w:r w:rsidRPr="00AC3112">
        <w:rPr>
          <w:rFonts w:ascii="Calibri" w:eastAsia="Times New Roman" w:hAnsi="Calibri" w:cs="Arial"/>
          <w:color w:val="000000"/>
          <w:szCs w:val="18"/>
          <w:lang w:val="en-US" w:eastAsia="tr-TR"/>
        </w:rPr>
        <w:instrText xml:space="preserve"> SEQ Figure \* ARABIC </w:instrText>
      </w:r>
      <w:r w:rsidRPr="00AC3112">
        <w:rPr>
          <w:rFonts w:ascii="Calibri" w:eastAsia="Times New Roman" w:hAnsi="Calibri" w:cs="Arial"/>
          <w:color w:val="000000"/>
          <w:szCs w:val="18"/>
          <w:lang w:val="en-US" w:eastAsia="tr-TR"/>
        </w:rPr>
        <w:fldChar w:fldCharType="separate"/>
      </w:r>
      <w:r w:rsidRPr="00AC3112">
        <w:rPr>
          <w:rFonts w:ascii="Calibri" w:eastAsia="Times New Roman" w:hAnsi="Calibri" w:cs="Arial"/>
          <w:noProof/>
          <w:color w:val="000000"/>
          <w:szCs w:val="18"/>
          <w:lang w:val="en-US" w:eastAsia="tr-TR"/>
        </w:rPr>
        <w:t>3</w:t>
      </w:r>
      <w:r w:rsidRPr="00AC3112">
        <w:rPr>
          <w:rFonts w:ascii="Calibri" w:eastAsia="Times New Roman" w:hAnsi="Calibri" w:cs="Arial"/>
          <w:color w:val="000000"/>
          <w:szCs w:val="18"/>
          <w:lang w:val="en-US" w:eastAsia="tr-TR"/>
        </w:rPr>
        <w:fldChar w:fldCharType="end"/>
      </w:r>
      <w:r w:rsidRPr="00AC3112">
        <w:rPr>
          <w:rFonts w:ascii="Calibri" w:eastAsia="Times New Roman" w:hAnsi="Calibri" w:cs="Arial"/>
          <w:color w:val="000000"/>
          <w:szCs w:val="18"/>
          <w:lang w:val="en-US" w:eastAsia="tr-TR"/>
        </w:rPr>
        <w:t>. Average Direct Forward Linkage Coefficients between 1995 and 2011.</w:t>
      </w:r>
    </w:p>
    <w:p w:rsidR="00AC3112" w:rsidRPr="00AC3112" w:rsidRDefault="00AC3112" w:rsidP="00AC3112">
      <w:pPr>
        <w:spacing w:before="120" w:after="120" w:line="360" w:lineRule="auto"/>
        <w:ind w:right="282"/>
        <w:jc w:val="both"/>
        <w:outlineLvl w:val="0"/>
        <w:rPr>
          <w:rFonts w:ascii="Times New Roman" w:hAnsi="Times New Roman"/>
          <w:sz w:val="18"/>
          <w:lang w:val="en-US" w:eastAsia="tr-TR"/>
        </w:rPr>
      </w:pPr>
      <w:r w:rsidRPr="00AC3112">
        <w:rPr>
          <w:rFonts w:ascii="Times New Roman" w:hAnsi="Times New Roman"/>
          <w:noProof/>
          <w:sz w:val="18"/>
          <w:lang w:eastAsia="tr-TR"/>
        </w:rPr>
        <w:drawing>
          <wp:inline distT="0" distB="0" distL="0" distR="0" wp14:anchorId="33B35054" wp14:editId="011D6AEE">
            <wp:extent cx="5259256" cy="2172335"/>
            <wp:effectExtent l="0" t="0" r="17780" b="18415"/>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t xml:space="preserve">Figure 3 shows the range of sectors in terms of DFLC. More than 50% of outputs of 6 sectors were demanded as intermediate input in Turkish Economy in this period. Trade and transport sectors are the most significant suppliers of intermediate input and nearly whole of outputs of these sectors were demanded as intermediate input by the others. Also agriculture, finance, real estate and energy sectors found as the most significant input suppliers in this period. According to Figure 3 it is possible to say that most of the intermediate input suppliers was in service industry except agriculture. </w:t>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t xml:space="preserve">These results express that intermediate input demand was greater than intermediate input supply in this period in Turkish Economy. Results also showed that service sectors were important intermediate input supplier while industry sectors were important intermediate input demander. In </w:t>
      </w:r>
      <w:r w:rsidRPr="00AC3112">
        <w:rPr>
          <w:rFonts w:ascii="Calibri" w:hAnsi="Calibri" w:cs="Times New Roman"/>
          <w:bCs/>
          <w:szCs w:val="16"/>
          <w:shd w:val="clear" w:color="auto" w:fill="FFFFFF"/>
          <w:lang w:val="en-US" w:eastAsia="tr-TR"/>
        </w:rPr>
        <w:lastRenderedPageBreak/>
        <w:t>this sense Intermediate input requirement of industrialization needs transition from input demand weighted production structure to input supply weighted production structure in Turkish Economy.</w:t>
      </w:r>
    </w:p>
    <w:p w:rsidR="00AC3112" w:rsidRPr="00AC3112" w:rsidRDefault="00AC3112" w:rsidP="0003120B">
      <w:pPr>
        <w:keepNext/>
        <w:keepLines/>
        <w:numPr>
          <w:ilvl w:val="1"/>
          <w:numId w:val="1"/>
        </w:numPr>
        <w:spacing w:before="240" w:after="120" w:line="240" w:lineRule="auto"/>
        <w:outlineLvl w:val="0"/>
        <w:rPr>
          <w:rFonts w:ascii="Calibri" w:eastAsiaTheme="majorEastAsia" w:hAnsi="Calibri" w:cstheme="majorBidi"/>
          <w:b/>
          <w:color w:val="000000" w:themeColor="text1"/>
          <w:lang w:val="en-US" w:eastAsia="tr-TR"/>
        </w:rPr>
      </w:pPr>
      <w:r w:rsidRPr="00AC3112">
        <w:rPr>
          <w:rFonts w:ascii="Calibri" w:eastAsiaTheme="majorEastAsia" w:hAnsi="Calibri" w:cstheme="majorBidi"/>
          <w:b/>
          <w:color w:val="000000" w:themeColor="text1"/>
          <w:lang w:val="en-US" w:eastAsia="tr-TR"/>
        </w:rPr>
        <w:t>Total Import Effects of Sectors: Import Multipliers</w:t>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t>Import intensity coefficient of sectors indicating import content of sectoral output were defined as direct import effects while import multiplier coefficient exhibits total import effects if one unit final demand of sectors increased. Import Multiplier Coefficients were calculated as explained in section 2 and results for the most 10 import dependent sectors in the period of 1995-2011 presented in Figure 4.</w:t>
      </w:r>
    </w:p>
    <w:p w:rsidR="00AC3112" w:rsidRPr="00AC3112" w:rsidRDefault="00AC3112" w:rsidP="00AC3112">
      <w:pPr>
        <w:spacing w:before="120" w:after="120" w:line="240" w:lineRule="auto"/>
        <w:ind w:right="284"/>
        <w:rPr>
          <w:rFonts w:ascii="Calibri" w:eastAsia="Times New Roman" w:hAnsi="Calibri" w:cs="Arial"/>
          <w:color w:val="000000"/>
          <w:szCs w:val="18"/>
          <w:lang w:val="en-US" w:eastAsia="tr-TR"/>
        </w:rPr>
      </w:pPr>
      <w:r w:rsidRPr="00AC3112">
        <w:rPr>
          <w:rFonts w:ascii="Calibri" w:eastAsia="Times New Roman" w:hAnsi="Calibri" w:cs="Arial"/>
          <w:color w:val="000000"/>
          <w:szCs w:val="18"/>
          <w:lang w:val="en-US" w:eastAsia="tr-TR"/>
        </w:rPr>
        <w:t>Figure 4. Import Multipliers for Some Sectors between 1995 and 2011.</w:t>
      </w:r>
    </w:p>
    <w:p w:rsidR="00AC3112" w:rsidRPr="00AC3112" w:rsidRDefault="00AC3112" w:rsidP="00AC3112">
      <w:pPr>
        <w:spacing w:before="120" w:after="120" w:line="360" w:lineRule="auto"/>
        <w:ind w:right="282"/>
        <w:jc w:val="both"/>
        <w:outlineLvl w:val="0"/>
        <w:rPr>
          <w:rFonts w:ascii="Times New Roman" w:hAnsi="Times New Roman"/>
          <w:sz w:val="18"/>
          <w:lang w:val="en-US" w:eastAsia="tr-TR"/>
        </w:rPr>
      </w:pPr>
      <w:r w:rsidRPr="00AC3112">
        <w:rPr>
          <w:rFonts w:ascii="Times New Roman" w:hAnsi="Times New Roman"/>
          <w:noProof/>
          <w:sz w:val="18"/>
          <w:lang w:eastAsia="tr-TR"/>
        </w:rPr>
        <w:drawing>
          <wp:inline distT="0" distB="0" distL="0" distR="0" wp14:anchorId="609BD9B7" wp14:editId="55FC3698">
            <wp:extent cx="5201014" cy="1706245"/>
            <wp:effectExtent l="0" t="0" r="0" b="8255"/>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t>Import multiplier of sectors between 1995 and 2011 has been seen clearly from the figure 4. The import multipliers of sectors seems to have changed in narrow band and closer to each other in period of 1995-1998 While it has been observed an expansion of import multipliers band and an increase in differences among sectors after 1998. As seen in Figure 4, the sector having the biggest total import effects was petrol in 1995. A rise in final demand of petrol led to 0.0088 unit increase in import in 1995. Reaching maximum values of import effects in 2000 (0.0177) and 2001 (0.0198), import multipliers of petrol decreased dramatically after 2002 (lower than 0.0100). Import multiplier of the petrol dropped to 0.0012 at the end of the period. Total import requirement of one unit final demand of petrol declined from 0.0088 in 1995 to 0.0012 in 2011. Shortly import effects of energy and petrol sectors decreased considerably after 2008 compared to 1995 in this period. The opposite situation has been observed for transportation. Import effects of transportation has increased significant rates after 2007.</w:t>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t xml:space="preserve">Textile also one of the more import dependent sectors in this period. Opposite to petrol and energy, import multiplier of textile sector growth on a constant and steady rates since 1998. Total import requirement of one more unit final demand of textile rose from 0.0079 to 0.0305 unit in 1995-2011 period. To meet an additional one unit final textile demand required 0.0305 unit extra import in 2011. Import impacts of other sectors in 2011 were found as follows: 0.0222-unit for transport, 0.0124-unit for metal and 0.0108-unit for construction. </w:t>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t xml:space="preserve">In order to determine sectors having the biggest import impact in 2011 and to evaluate changes in import dependency of sectors in this period, import multiplier coefficients in 1995 and 2011 years calculated and results were given in Figure 5. </w:t>
      </w:r>
    </w:p>
    <w:p w:rsidR="00AC3112" w:rsidRPr="00AC3112" w:rsidRDefault="00AC3112" w:rsidP="00AC3112">
      <w:pPr>
        <w:spacing w:before="120" w:after="120" w:line="240" w:lineRule="auto"/>
        <w:ind w:right="284"/>
        <w:rPr>
          <w:rFonts w:ascii="Calibri" w:eastAsia="Times New Roman" w:hAnsi="Calibri" w:cs="Arial"/>
          <w:color w:val="000000"/>
          <w:szCs w:val="18"/>
          <w:lang w:val="en-US" w:eastAsia="tr-TR"/>
        </w:rPr>
      </w:pPr>
      <w:r w:rsidRPr="00AC3112">
        <w:rPr>
          <w:rFonts w:ascii="Calibri" w:eastAsia="Times New Roman" w:hAnsi="Calibri" w:cs="Arial"/>
          <w:color w:val="000000"/>
          <w:szCs w:val="18"/>
          <w:lang w:val="en-US" w:eastAsia="tr-TR"/>
        </w:rPr>
        <w:t>Figure 5. Import Multipliers of Sectors.</w:t>
      </w:r>
    </w:p>
    <w:p w:rsidR="00AC3112" w:rsidRPr="00AC3112" w:rsidRDefault="00AC3112" w:rsidP="00AC3112">
      <w:pPr>
        <w:spacing w:before="120" w:after="120" w:line="360" w:lineRule="auto"/>
        <w:ind w:right="282"/>
        <w:jc w:val="both"/>
        <w:outlineLvl w:val="0"/>
        <w:rPr>
          <w:rFonts w:ascii="Times New Roman" w:hAnsi="Times New Roman"/>
          <w:sz w:val="18"/>
          <w:shd w:val="clear" w:color="auto" w:fill="FFFFFF"/>
          <w:lang w:val="en-US" w:eastAsia="tr-TR"/>
        </w:rPr>
      </w:pPr>
      <w:r w:rsidRPr="00AC3112">
        <w:rPr>
          <w:rFonts w:ascii="Times New Roman" w:hAnsi="Times New Roman"/>
          <w:noProof/>
          <w:sz w:val="18"/>
          <w:lang w:eastAsia="tr-TR"/>
        </w:rPr>
        <w:lastRenderedPageBreak/>
        <w:drawing>
          <wp:inline distT="0" distB="0" distL="0" distR="0" wp14:anchorId="47C746DA" wp14:editId="42F5E6AC">
            <wp:extent cx="5218486" cy="1473835"/>
            <wp:effectExtent l="0" t="0" r="1270" b="12065"/>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t xml:space="preserve">Import multipliers of sectors both in 1995 and 2011 are presented in Figure 5. We found that the top 3 sectors having the biggest import effects were ranked as petrol, textile and metal in 1995 while ranked as textile, transport and metal in 2011.  Figure 5 also showed that food, textile, metal, machinery, and construction sectors had higher import multipliers in both 1995 and 2011. </w:t>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t>To understand % changes in import effects of sectors between 1995 and 2011, growth rate of import multipliers in this period calculated and results presented in Figure 6.</w:t>
      </w:r>
    </w:p>
    <w:p w:rsidR="00AC3112" w:rsidRPr="00AC3112" w:rsidRDefault="00AC3112" w:rsidP="00AC3112">
      <w:pPr>
        <w:spacing w:before="120" w:after="120" w:line="240" w:lineRule="auto"/>
        <w:ind w:right="284"/>
        <w:rPr>
          <w:rFonts w:ascii="Calibri" w:eastAsia="Times New Roman" w:hAnsi="Calibri" w:cs="Arial"/>
          <w:color w:val="000000"/>
          <w:szCs w:val="18"/>
          <w:lang w:val="en-US" w:eastAsia="tr-TR"/>
        </w:rPr>
      </w:pPr>
      <w:r w:rsidRPr="00AC3112">
        <w:rPr>
          <w:rFonts w:ascii="Calibri" w:eastAsia="Times New Roman" w:hAnsi="Calibri" w:cs="Arial"/>
          <w:color w:val="000000"/>
          <w:szCs w:val="18"/>
          <w:lang w:val="en-US" w:eastAsia="tr-TR"/>
        </w:rPr>
        <w:t>Figure 6. Change in Import Multipliers between 1995 and 2011 (in %).</w:t>
      </w:r>
    </w:p>
    <w:p w:rsidR="00AC3112" w:rsidRPr="00AC3112" w:rsidRDefault="00AC3112" w:rsidP="00AC3112">
      <w:pPr>
        <w:autoSpaceDE w:val="0"/>
        <w:autoSpaceDN w:val="0"/>
        <w:adjustRightInd w:val="0"/>
        <w:spacing w:before="120" w:after="120" w:line="240" w:lineRule="auto"/>
        <w:ind w:firstLine="284"/>
        <w:jc w:val="both"/>
        <w:rPr>
          <w:rFonts w:ascii="Calibri" w:hAnsi="Calibri" w:cs="Times New Roman"/>
          <w:bCs/>
          <w:szCs w:val="16"/>
          <w:shd w:val="clear" w:color="auto" w:fill="FFFFFF"/>
          <w:lang w:val="en-US" w:eastAsia="tr-TR"/>
        </w:rPr>
      </w:pPr>
      <w:r w:rsidRPr="00AC3112">
        <w:rPr>
          <w:rFonts w:ascii="Calibri" w:hAnsi="Calibri" w:cs="Times New Roman"/>
          <w:bCs/>
          <w:noProof/>
          <w:szCs w:val="16"/>
          <w:shd w:val="clear" w:color="auto" w:fill="FFFFFF"/>
          <w:lang w:eastAsia="tr-TR"/>
        </w:rPr>
        <w:drawing>
          <wp:inline distT="0" distB="0" distL="0" distR="0" wp14:anchorId="6E9F2747" wp14:editId="6AB2C3FB">
            <wp:extent cx="5067057" cy="1554480"/>
            <wp:effectExtent l="0" t="0" r="635" b="762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t>Figure 6 indicates that, import multipliers of only 5 sectors diminished within the period of 1995-2011. The most decline observed in petrol. Import multiplier of sector considerably decreased in 2011 (86%). Other sectors having decrease in total import impacts are energy (37%), wood and cork (25%). Import multipliers of the others increased with different rates. The top 5 sectors having the most increase in import effects are mining, transport, construction, textile and trade. Even though mining had ignorable total import effects both in 1995 and 2011, the biggest increase observed in mining sector (794%) in this period in Turkish Economy. Import multipliers grew 508% for transport, 385% for communication and 285% for textile between 1995 and 2011.</w:t>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t>For a detailed analysis of current import dependency, import multipliers of all of sectors in this year were calculated and sectors were ranked associate with their total import effects in 2011 in Figure 7.</w:t>
      </w:r>
    </w:p>
    <w:p w:rsidR="00AC3112" w:rsidRPr="00AC3112" w:rsidRDefault="00AC3112" w:rsidP="00AC3112">
      <w:pPr>
        <w:spacing w:before="120" w:after="120" w:line="240" w:lineRule="auto"/>
        <w:ind w:right="284"/>
        <w:rPr>
          <w:rFonts w:ascii="Calibri" w:eastAsia="Times New Roman" w:hAnsi="Calibri" w:cs="Arial"/>
          <w:color w:val="000000"/>
          <w:szCs w:val="18"/>
          <w:lang w:val="en-US" w:eastAsia="tr-TR"/>
        </w:rPr>
      </w:pPr>
      <w:r w:rsidRPr="00AC3112">
        <w:rPr>
          <w:rFonts w:ascii="Calibri" w:eastAsia="Times New Roman" w:hAnsi="Calibri" w:cs="Arial"/>
          <w:color w:val="000000"/>
          <w:szCs w:val="18"/>
          <w:lang w:val="en-US" w:eastAsia="tr-TR"/>
        </w:rPr>
        <w:t>Figure 7. Import Multipliers of Sectors in 2011.</w:t>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p>
    <w:p w:rsidR="00AC3112" w:rsidRPr="00AC3112" w:rsidRDefault="00AC3112" w:rsidP="00AC3112">
      <w:pPr>
        <w:spacing w:before="120" w:after="120" w:line="360" w:lineRule="auto"/>
        <w:ind w:right="282"/>
        <w:jc w:val="both"/>
        <w:outlineLvl w:val="0"/>
        <w:rPr>
          <w:rFonts w:ascii="Times New Roman" w:hAnsi="Times New Roman"/>
          <w:sz w:val="18"/>
          <w:lang w:val="en-US" w:eastAsia="tr-TR"/>
        </w:rPr>
      </w:pPr>
      <w:r w:rsidRPr="00AC3112">
        <w:rPr>
          <w:rFonts w:ascii="Times New Roman" w:hAnsi="Times New Roman"/>
          <w:noProof/>
          <w:sz w:val="18"/>
          <w:lang w:eastAsia="tr-TR"/>
        </w:rPr>
        <w:lastRenderedPageBreak/>
        <w:drawing>
          <wp:inline distT="0" distB="0" distL="0" distR="0" wp14:anchorId="67155151" wp14:editId="37DD8829">
            <wp:extent cx="5224311" cy="1684655"/>
            <wp:effectExtent l="0" t="0" r="14605" b="10795"/>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t>Import multipliers are changing between 0.031 and 0.001 in 2011. Textile sector found as the most import dependent sector in 2011 and import effect of the sector calculated as 0.031. To produce additional one unit textile output in Turkish Economy in 2011, evoked to 0.0031 unit increase in import. Total import requirement of additional one unit output calculated 0.022 for transport, 0.012 for metal and 0.011 for construction while import requirement for the rest of sectors lower than 0.010 unit.</w:t>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t xml:space="preserve">Status of import dependency of sectors with regard to average is essential from the point of sectorial incentive policies. In order to understand relative import dependency of sectors, normal import multipliers exhibiting relative positions of each sector </w:t>
      </w:r>
      <w:r w:rsidRPr="00AC3112">
        <w:rPr>
          <w:rFonts w:ascii="Calibri" w:hAnsi="Calibri" w:cs="Times New Roman"/>
          <w:bCs/>
          <w:szCs w:val="16"/>
          <w:highlight w:val="white"/>
          <w:shd w:val="clear" w:color="auto" w:fill="FFFFFF"/>
          <w:lang w:val="en-US" w:eastAsia="tr-TR"/>
        </w:rPr>
        <w:t>for the period of 1995-2011</w:t>
      </w:r>
      <w:r w:rsidRPr="00AC3112">
        <w:rPr>
          <w:rFonts w:ascii="Calibri" w:hAnsi="Calibri" w:cs="Times New Roman"/>
          <w:bCs/>
          <w:szCs w:val="16"/>
          <w:shd w:val="clear" w:color="auto" w:fill="FFFFFF"/>
          <w:lang w:val="en-US" w:eastAsia="tr-TR"/>
        </w:rPr>
        <w:t xml:space="preserve"> were calculated and calculations were given in Table 1.</w:t>
      </w:r>
    </w:p>
    <w:p w:rsidR="00AC3112" w:rsidRPr="00AC3112" w:rsidRDefault="00AC3112" w:rsidP="00AC3112">
      <w:pPr>
        <w:spacing w:before="120" w:after="120" w:line="240" w:lineRule="auto"/>
        <w:ind w:right="284"/>
        <w:rPr>
          <w:rFonts w:ascii="Calibri" w:eastAsia="Times New Roman" w:hAnsi="Calibri" w:cs="Arial"/>
          <w:color w:val="000000"/>
          <w:szCs w:val="18"/>
          <w:lang w:val="en-US" w:eastAsia="tr-TR"/>
        </w:rPr>
      </w:pPr>
      <w:r w:rsidRPr="00AC3112">
        <w:rPr>
          <w:rFonts w:ascii="Calibri" w:eastAsia="Times New Roman" w:hAnsi="Calibri" w:cs="Arial"/>
          <w:color w:val="000000"/>
          <w:szCs w:val="18"/>
          <w:lang w:val="en-US" w:eastAsia="tr-TR"/>
        </w:rPr>
        <w:t>Table 1. Normal Values of Import Multiplier in 2011.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2"/>
        <w:gridCol w:w="441"/>
        <w:gridCol w:w="483"/>
        <w:gridCol w:w="483"/>
        <w:gridCol w:w="483"/>
        <w:gridCol w:w="483"/>
        <w:gridCol w:w="483"/>
        <w:gridCol w:w="483"/>
        <w:gridCol w:w="483"/>
        <w:gridCol w:w="483"/>
        <w:gridCol w:w="483"/>
        <w:gridCol w:w="483"/>
        <w:gridCol w:w="483"/>
        <w:gridCol w:w="483"/>
        <w:gridCol w:w="483"/>
        <w:gridCol w:w="483"/>
        <w:gridCol w:w="484"/>
        <w:gridCol w:w="503"/>
      </w:tblGrid>
      <w:tr w:rsidR="00AC3112" w:rsidRPr="00AC3112" w:rsidTr="00AC3112">
        <w:trPr>
          <w:trHeight w:val="113"/>
          <w:jc w:val="center"/>
        </w:trPr>
        <w:tc>
          <w:tcPr>
            <w:tcW w:w="439" w:type="pct"/>
            <w:shd w:val="clear" w:color="auto" w:fill="auto"/>
            <w:noWrap/>
            <w:vAlign w:val="center"/>
            <w:hideMark/>
          </w:tcPr>
          <w:p w:rsidR="00AC3112" w:rsidRPr="00AC3112" w:rsidRDefault="00AC3112" w:rsidP="00AC3112">
            <w:pPr>
              <w:spacing w:after="0" w:line="240" w:lineRule="auto"/>
              <w:rPr>
                <w:rFonts w:cs="Times New Roman"/>
                <w:sz w:val="14"/>
                <w:szCs w:val="14"/>
                <w:lang w:val="en-US" w:eastAsia="tr-TR"/>
              </w:rPr>
            </w:pPr>
            <w:r w:rsidRPr="00AC3112">
              <w:rPr>
                <w:rFonts w:cs="Times New Roman"/>
                <w:sz w:val="14"/>
                <w:szCs w:val="14"/>
                <w:lang w:val="en-US" w:eastAsia="tr-TR"/>
              </w:rPr>
              <w:t>Sectors</w:t>
            </w:r>
          </w:p>
        </w:tc>
        <w:tc>
          <w:tcPr>
            <w:tcW w:w="246"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1995</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1996</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1997</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1998</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1999</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2000</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2001</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2002</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2003</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2004</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2005</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2006</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2007</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2008</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2009</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2010</w:t>
            </w:r>
          </w:p>
        </w:tc>
        <w:tc>
          <w:tcPr>
            <w:tcW w:w="280"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2011</w:t>
            </w:r>
          </w:p>
        </w:tc>
      </w:tr>
      <w:tr w:rsidR="00AC3112" w:rsidRPr="00AC3112" w:rsidTr="00AC3112">
        <w:trPr>
          <w:trHeight w:val="113"/>
          <w:jc w:val="center"/>
        </w:trPr>
        <w:tc>
          <w:tcPr>
            <w:tcW w:w="439" w:type="pct"/>
            <w:shd w:val="clear" w:color="auto" w:fill="auto"/>
            <w:noWrap/>
            <w:vAlign w:val="center"/>
            <w:hideMark/>
          </w:tcPr>
          <w:p w:rsidR="00AC3112" w:rsidRPr="00AC3112" w:rsidRDefault="00AC3112" w:rsidP="00AC3112">
            <w:pPr>
              <w:spacing w:after="0" w:line="240" w:lineRule="auto"/>
              <w:rPr>
                <w:rFonts w:cs="Times New Roman"/>
                <w:sz w:val="14"/>
                <w:szCs w:val="14"/>
                <w:lang w:val="en-US" w:eastAsia="tr-TR"/>
              </w:rPr>
            </w:pPr>
            <w:r w:rsidRPr="00AC3112">
              <w:rPr>
                <w:rFonts w:cs="Times New Roman"/>
                <w:sz w:val="14"/>
                <w:szCs w:val="14"/>
                <w:lang w:val="en-US" w:eastAsia="tr-TR"/>
              </w:rPr>
              <w:t xml:space="preserve">Agriculture </w:t>
            </w:r>
          </w:p>
        </w:tc>
        <w:tc>
          <w:tcPr>
            <w:tcW w:w="246"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1,08</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1,31</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1,61</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1,72</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1,30</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1,37</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1,19</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1,38</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1,20</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1,33</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1,24</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1,06</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1,14</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1,04</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0,97</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0,93</w:t>
            </w:r>
          </w:p>
        </w:tc>
        <w:tc>
          <w:tcPr>
            <w:tcW w:w="280"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1,12</w:t>
            </w:r>
          </w:p>
        </w:tc>
      </w:tr>
      <w:tr w:rsidR="00AC3112" w:rsidRPr="00AC3112" w:rsidTr="00AC3112">
        <w:trPr>
          <w:trHeight w:val="113"/>
          <w:jc w:val="center"/>
        </w:trPr>
        <w:tc>
          <w:tcPr>
            <w:tcW w:w="439" w:type="pct"/>
            <w:shd w:val="clear" w:color="auto" w:fill="auto"/>
            <w:noWrap/>
            <w:vAlign w:val="center"/>
            <w:hideMark/>
          </w:tcPr>
          <w:p w:rsidR="00AC3112" w:rsidRPr="00AC3112" w:rsidRDefault="00AC3112" w:rsidP="00AC3112">
            <w:pPr>
              <w:spacing w:after="0" w:line="240" w:lineRule="auto"/>
              <w:rPr>
                <w:rFonts w:cs="Times New Roman"/>
                <w:sz w:val="14"/>
                <w:szCs w:val="14"/>
                <w:lang w:val="en-US" w:eastAsia="tr-TR"/>
              </w:rPr>
            </w:pPr>
            <w:r w:rsidRPr="00AC3112">
              <w:rPr>
                <w:rFonts w:cs="Times New Roman"/>
                <w:sz w:val="14"/>
                <w:szCs w:val="14"/>
                <w:lang w:val="en-US" w:eastAsia="tr-TR"/>
              </w:rPr>
              <w:t>Mining</w:t>
            </w:r>
          </w:p>
        </w:tc>
        <w:tc>
          <w:tcPr>
            <w:tcW w:w="246"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0,29</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0,27</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0,29</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0,29</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0,52</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0,88</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0,95</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1,06</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1,06</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1,43</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1,67</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1,59</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2,08</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2,18</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1,89</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1,99</w:t>
            </w:r>
          </w:p>
        </w:tc>
        <w:tc>
          <w:tcPr>
            <w:tcW w:w="280"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2,56</w:t>
            </w:r>
          </w:p>
        </w:tc>
      </w:tr>
      <w:tr w:rsidR="00AC3112" w:rsidRPr="00AC3112" w:rsidTr="00AC3112">
        <w:trPr>
          <w:trHeight w:val="113"/>
          <w:jc w:val="center"/>
        </w:trPr>
        <w:tc>
          <w:tcPr>
            <w:tcW w:w="439" w:type="pct"/>
            <w:shd w:val="clear" w:color="auto" w:fill="auto"/>
            <w:noWrap/>
            <w:vAlign w:val="center"/>
            <w:hideMark/>
          </w:tcPr>
          <w:p w:rsidR="00AC3112" w:rsidRPr="00AC3112" w:rsidRDefault="00AC3112" w:rsidP="00AC3112">
            <w:pPr>
              <w:spacing w:after="0" w:line="240" w:lineRule="auto"/>
              <w:rPr>
                <w:rFonts w:cs="Times New Roman"/>
                <w:sz w:val="14"/>
                <w:szCs w:val="14"/>
                <w:lang w:val="en-US" w:eastAsia="tr-TR"/>
              </w:rPr>
            </w:pPr>
            <w:r w:rsidRPr="00AC3112">
              <w:rPr>
                <w:rFonts w:cs="Times New Roman"/>
                <w:sz w:val="14"/>
                <w:szCs w:val="14"/>
                <w:lang w:val="en-US" w:eastAsia="tr-TR"/>
              </w:rPr>
              <w:t>Food</w:t>
            </w:r>
          </w:p>
        </w:tc>
        <w:tc>
          <w:tcPr>
            <w:tcW w:w="246"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0,97</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0,93</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1,49</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1,12</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1,10</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1,18</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1,37</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1,24</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1,17</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1,20</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1,07</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1,05</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1,34</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1,75</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1,27</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1,12</w:t>
            </w:r>
          </w:p>
        </w:tc>
        <w:tc>
          <w:tcPr>
            <w:tcW w:w="280"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1,61</w:t>
            </w:r>
          </w:p>
        </w:tc>
      </w:tr>
      <w:tr w:rsidR="00AC3112" w:rsidRPr="00AC3112" w:rsidTr="00AC3112">
        <w:trPr>
          <w:trHeight w:val="113"/>
          <w:jc w:val="center"/>
        </w:trPr>
        <w:tc>
          <w:tcPr>
            <w:tcW w:w="439" w:type="pct"/>
            <w:shd w:val="clear" w:color="auto" w:fill="auto"/>
            <w:noWrap/>
            <w:vAlign w:val="center"/>
            <w:hideMark/>
          </w:tcPr>
          <w:p w:rsidR="00AC3112" w:rsidRPr="00AC3112" w:rsidRDefault="00AC3112" w:rsidP="00AC3112">
            <w:pPr>
              <w:spacing w:after="0" w:line="240" w:lineRule="auto"/>
              <w:rPr>
                <w:rFonts w:cs="Times New Roman"/>
                <w:sz w:val="14"/>
                <w:szCs w:val="14"/>
                <w:lang w:val="en-US" w:eastAsia="tr-TR"/>
              </w:rPr>
            </w:pPr>
            <w:r w:rsidRPr="00AC3112">
              <w:rPr>
                <w:rFonts w:cs="Times New Roman"/>
                <w:sz w:val="14"/>
                <w:szCs w:val="14"/>
                <w:lang w:val="en-US" w:eastAsia="tr-TR"/>
              </w:rPr>
              <w:t>Textile</w:t>
            </w:r>
          </w:p>
        </w:tc>
        <w:tc>
          <w:tcPr>
            <w:tcW w:w="246"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0,57</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0,50</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0,63</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0,45</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0,68</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0,87</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1,34</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1,50</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1,21</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1,45</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1,31</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1,29</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1,54</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2,02</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1,60</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1,83</w:t>
            </w:r>
          </w:p>
        </w:tc>
        <w:tc>
          <w:tcPr>
            <w:tcW w:w="280"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2,19</w:t>
            </w:r>
          </w:p>
        </w:tc>
      </w:tr>
      <w:tr w:rsidR="00AC3112" w:rsidRPr="00AC3112" w:rsidTr="00AC3112">
        <w:trPr>
          <w:trHeight w:val="113"/>
          <w:jc w:val="center"/>
        </w:trPr>
        <w:tc>
          <w:tcPr>
            <w:tcW w:w="439" w:type="pct"/>
            <w:shd w:val="clear" w:color="auto" w:fill="auto"/>
            <w:noWrap/>
            <w:vAlign w:val="center"/>
            <w:hideMark/>
          </w:tcPr>
          <w:p w:rsidR="00AC3112" w:rsidRPr="00AC3112" w:rsidRDefault="00AC3112" w:rsidP="00AC3112">
            <w:pPr>
              <w:spacing w:after="0" w:line="240" w:lineRule="auto"/>
              <w:rPr>
                <w:rFonts w:cs="Times New Roman"/>
                <w:sz w:val="14"/>
                <w:szCs w:val="14"/>
                <w:lang w:val="en-US" w:eastAsia="tr-TR"/>
              </w:rPr>
            </w:pPr>
            <w:r w:rsidRPr="00AC3112">
              <w:rPr>
                <w:rFonts w:cs="Times New Roman"/>
                <w:sz w:val="14"/>
                <w:szCs w:val="14"/>
                <w:lang w:val="en-US" w:eastAsia="tr-TR"/>
              </w:rPr>
              <w:t>Cork</w:t>
            </w:r>
          </w:p>
        </w:tc>
        <w:tc>
          <w:tcPr>
            <w:tcW w:w="246"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1,19</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1,05</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1,07</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0,89</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1,33</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1,49</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1,43</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1,37</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1,21</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1,49</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1,71</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1,65</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2,06</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0,82</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0,63</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0,72</w:t>
            </w:r>
          </w:p>
        </w:tc>
        <w:tc>
          <w:tcPr>
            <w:tcW w:w="280"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0,89</w:t>
            </w:r>
          </w:p>
        </w:tc>
      </w:tr>
      <w:tr w:rsidR="00AC3112" w:rsidRPr="00AC3112" w:rsidTr="00AC3112">
        <w:trPr>
          <w:trHeight w:val="113"/>
          <w:jc w:val="center"/>
        </w:trPr>
        <w:tc>
          <w:tcPr>
            <w:tcW w:w="439" w:type="pct"/>
            <w:shd w:val="clear" w:color="auto" w:fill="auto"/>
            <w:noWrap/>
            <w:vAlign w:val="center"/>
            <w:hideMark/>
          </w:tcPr>
          <w:p w:rsidR="00AC3112" w:rsidRPr="00AC3112" w:rsidRDefault="00AC3112" w:rsidP="00AC3112">
            <w:pPr>
              <w:spacing w:after="0" w:line="240" w:lineRule="auto"/>
              <w:rPr>
                <w:rFonts w:cs="Times New Roman"/>
                <w:sz w:val="14"/>
                <w:szCs w:val="14"/>
                <w:lang w:val="en-US" w:eastAsia="tr-TR"/>
              </w:rPr>
            </w:pPr>
            <w:r w:rsidRPr="00AC3112">
              <w:rPr>
                <w:rFonts w:cs="Times New Roman"/>
                <w:sz w:val="14"/>
                <w:szCs w:val="14"/>
                <w:lang w:val="en-US" w:eastAsia="tr-TR"/>
              </w:rPr>
              <w:t>Paper</w:t>
            </w:r>
          </w:p>
        </w:tc>
        <w:tc>
          <w:tcPr>
            <w:tcW w:w="246"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0,94</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0,93</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1,15</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1,17</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1,23</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1,48</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1,47</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1,63</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1,39</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1,67</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1,66</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1,61</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1,75</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0,74</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0,64</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0,71</w:t>
            </w:r>
          </w:p>
        </w:tc>
        <w:tc>
          <w:tcPr>
            <w:tcW w:w="280"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0,82</w:t>
            </w:r>
          </w:p>
        </w:tc>
      </w:tr>
      <w:tr w:rsidR="00AC3112" w:rsidRPr="00AC3112" w:rsidTr="00AC3112">
        <w:trPr>
          <w:trHeight w:val="113"/>
          <w:jc w:val="center"/>
        </w:trPr>
        <w:tc>
          <w:tcPr>
            <w:tcW w:w="439" w:type="pct"/>
            <w:shd w:val="clear" w:color="auto" w:fill="auto"/>
            <w:noWrap/>
            <w:vAlign w:val="center"/>
            <w:hideMark/>
          </w:tcPr>
          <w:p w:rsidR="00AC3112" w:rsidRPr="00AC3112" w:rsidRDefault="00AC3112" w:rsidP="00AC3112">
            <w:pPr>
              <w:spacing w:after="0" w:line="240" w:lineRule="auto"/>
              <w:rPr>
                <w:rFonts w:cs="Times New Roman"/>
                <w:sz w:val="14"/>
                <w:szCs w:val="14"/>
                <w:lang w:val="en-US" w:eastAsia="tr-TR"/>
              </w:rPr>
            </w:pPr>
            <w:r w:rsidRPr="00AC3112">
              <w:rPr>
                <w:rFonts w:cs="Times New Roman"/>
                <w:sz w:val="14"/>
                <w:szCs w:val="14"/>
                <w:lang w:val="en-US" w:eastAsia="tr-TR"/>
              </w:rPr>
              <w:t>Petrol</w:t>
            </w:r>
          </w:p>
        </w:tc>
        <w:tc>
          <w:tcPr>
            <w:tcW w:w="246"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1,24</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1,35</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1,31</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0,86</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1,57</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2,48</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2,65</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1,46</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1,20</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1,42</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1,62</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1,61</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1,66</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0,15</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0,11</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0,13</w:t>
            </w:r>
          </w:p>
        </w:tc>
        <w:tc>
          <w:tcPr>
            <w:tcW w:w="280"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0,18</w:t>
            </w:r>
          </w:p>
        </w:tc>
      </w:tr>
      <w:tr w:rsidR="00AC3112" w:rsidRPr="00AC3112" w:rsidTr="00AC3112">
        <w:trPr>
          <w:trHeight w:val="113"/>
          <w:jc w:val="center"/>
        </w:trPr>
        <w:tc>
          <w:tcPr>
            <w:tcW w:w="439" w:type="pct"/>
            <w:shd w:val="clear" w:color="auto" w:fill="auto"/>
            <w:noWrap/>
            <w:vAlign w:val="center"/>
            <w:hideMark/>
          </w:tcPr>
          <w:p w:rsidR="00AC3112" w:rsidRPr="00AC3112" w:rsidRDefault="00AC3112" w:rsidP="00AC3112">
            <w:pPr>
              <w:spacing w:after="0" w:line="240" w:lineRule="auto"/>
              <w:rPr>
                <w:rFonts w:cs="Times New Roman"/>
                <w:sz w:val="14"/>
                <w:szCs w:val="14"/>
                <w:lang w:val="en-US" w:eastAsia="tr-TR"/>
              </w:rPr>
            </w:pPr>
            <w:r w:rsidRPr="00AC3112">
              <w:rPr>
                <w:rFonts w:cs="Times New Roman"/>
                <w:sz w:val="14"/>
                <w:szCs w:val="14"/>
                <w:lang w:val="en-US" w:eastAsia="tr-TR"/>
              </w:rPr>
              <w:t>Chemistry</w:t>
            </w:r>
          </w:p>
        </w:tc>
        <w:tc>
          <w:tcPr>
            <w:tcW w:w="246"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1,17</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1,09</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1,53</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1,21</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1,14</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1,25</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1,45</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1,41</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1,19</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1,51</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1,50</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1,45</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1,73</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0,92</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0,69</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0,76</w:t>
            </w:r>
          </w:p>
        </w:tc>
        <w:tc>
          <w:tcPr>
            <w:tcW w:w="280"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0,99</w:t>
            </w:r>
          </w:p>
        </w:tc>
      </w:tr>
      <w:tr w:rsidR="00AC3112" w:rsidRPr="00AC3112" w:rsidTr="00AC3112">
        <w:trPr>
          <w:trHeight w:val="113"/>
          <w:jc w:val="center"/>
        </w:trPr>
        <w:tc>
          <w:tcPr>
            <w:tcW w:w="439" w:type="pct"/>
            <w:shd w:val="clear" w:color="auto" w:fill="auto"/>
            <w:noWrap/>
            <w:vAlign w:val="center"/>
            <w:hideMark/>
          </w:tcPr>
          <w:p w:rsidR="00AC3112" w:rsidRPr="00AC3112" w:rsidRDefault="00AC3112" w:rsidP="00AC3112">
            <w:pPr>
              <w:spacing w:after="0" w:line="240" w:lineRule="auto"/>
              <w:rPr>
                <w:rFonts w:cs="Times New Roman"/>
                <w:sz w:val="14"/>
                <w:szCs w:val="14"/>
                <w:lang w:val="en-US" w:eastAsia="tr-TR"/>
              </w:rPr>
            </w:pPr>
            <w:r w:rsidRPr="00AC3112">
              <w:rPr>
                <w:rFonts w:cs="Times New Roman"/>
                <w:sz w:val="14"/>
                <w:szCs w:val="14"/>
                <w:lang w:val="en-US" w:eastAsia="tr-TR"/>
              </w:rPr>
              <w:t>Plastic</w:t>
            </w:r>
          </w:p>
        </w:tc>
        <w:tc>
          <w:tcPr>
            <w:tcW w:w="246"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0,87</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0,80</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1,09</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1,03</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1,10</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1,25</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1,45</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1,43</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1,26</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1,60</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1,58</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1,52</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1,81</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1,13</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0,87</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0,97</w:t>
            </w:r>
          </w:p>
        </w:tc>
        <w:tc>
          <w:tcPr>
            <w:tcW w:w="280"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1,23</w:t>
            </w:r>
          </w:p>
        </w:tc>
      </w:tr>
      <w:tr w:rsidR="00AC3112" w:rsidRPr="00AC3112" w:rsidTr="00AC3112">
        <w:trPr>
          <w:trHeight w:val="113"/>
          <w:jc w:val="center"/>
        </w:trPr>
        <w:tc>
          <w:tcPr>
            <w:tcW w:w="439" w:type="pct"/>
            <w:shd w:val="clear" w:color="auto" w:fill="auto"/>
            <w:noWrap/>
            <w:vAlign w:val="center"/>
            <w:hideMark/>
          </w:tcPr>
          <w:p w:rsidR="00AC3112" w:rsidRPr="00AC3112" w:rsidRDefault="00AC3112" w:rsidP="00AC3112">
            <w:pPr>
              <w:spacing w:after="0" w:line="240" w:lineRule="auto"/>
              <w:rPr>
                <w:rFonts w:cs="Times New Roman"/>
                <w:sz w:val="14"/>
                <w:szCs w:val="14"/>
                <w:lang w:val="en-US" w:eastAsia="tr-TR"/>
              </w:rPr>
            </w:pPr>
            <w:r w:rsidRPr="00AC3112">
              <w:rPr>
                <w:rFonts w:cs="Times New Roman"/>
                <w:sz w:val="14"/>
                <w:szCs w:val="14"/>
                <w:lang w:val="en-US" w:eastAsia="tr-TR"/>
              </w:rPr>
              <w:t>Mineral</w:t>
            </w:r>
          </w:p>
        </w:tc>
        <w:tc>
          <w:tcPr>
            <w:tcW w:w="246"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0,84</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0,92</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1,07</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1,00</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0,82</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1,03</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1,06</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1,26</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1,04</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1,29</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1,42</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1,37</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1,63</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1,68</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1,30</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1,47</w:t>
            </w:r>
          </w:p>
        </w:tc>
        <w:tc>
          <w:tcPr>
            <w:tcW w:w="280"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1,79</w:t>
            </w:r>
          </w:p>
        </w:tc>
      </w:tr>
      <w:tr w:rsidR="00AC3112" w:rsidRPr="00AC3112" w:rsidTr="00AC3112">
        <w:trPr>
          <w:trHeight w:val="113"/>
          <w:jc w:val="center"/>
        </w:trPr>
        <w:tc>
          <w:tcPr>
            <w:tcW w:w="439" w:type="pct"/>
            <w:shd w:val="clear" w:color="auto" w:fill="auto"/>
            <w:noWrap/>
            <w:vAlign w:val="center"/>
            <w:hideMark/>
          </w:tcPr>
          <w:p w:rsidR="00AC3112" w:rsidRPr="00AC3112" w:rsidRDefault="00AC3112" w:rsidP="00AC3112">
            <w:pPr>
              <w:spacing w:after="0" w:line="240" w:lineRule="auto"/>
              <w:rPr>
                <w:rFonts w:cs="Times New Roman"/>
                <w:sz w:val="14"/>
                <w:szCs w:val="14"/>
                <w:lang w:val="en-US" w:eastAsia="tr-TR"/>
              </w:rPr>
            </w:pPr>
            <w:r w:rsidRPr="00AC3112">
              <w:rPr>
                <w:rFonts w:cs="Times New Roman"/>
                <w:sz w:val="14"/>
                <w:szCs w:val="14"/>
                <w:lang w:val="en-US" w:eastAsia="tr-TR"/>
              </w:rPr>
              <w:t>Metal</w:t>
            </w:r>
          </w:p>
        </w:tc>
        <w:tc>
          <w:tcPr>
            <w:tcW w:w="246"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0,83</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0,83</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1,05</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1,00</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0,85</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1,01</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1,22</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1,25</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1,23</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1,53</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1,52</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1,44</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1,73</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1,62</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1,13</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1,24</w:t>
            </w:r>
          </w:p>
        </w:tc>
        <w:tc>
          <w:tcPr>
            <w:tcW w:w="280"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1,53</w:t>
            </w:r>
          </w:p>
        </w:tc>
      </w:tr>
      <w:tr w:rsidR="00AC3112" w:rsidRPr="00AC3112" w:rsidTr="00AC3112">
        <w:trPr>
          <w:trHeight w:val="113"/>
          <w:jc w:val="center"/>
        </w:trPr>
        <w:tc>
          <w:tcPr>
            <w:tcW w:w="439" w:type="pct"/>
            <w:shd w:val="clear" w:color="auto" w:fill="auto"/>
            <w:noWrap/>
            <w:vAlign w:val="center"/>
            <w:hideMark/>
          </w:tcPr>
          <w:p w:rsidR="00AC3112" w:rsidRPr="00AC3112" w:rsidRDefault="00AC3112" w:rsidP="00AC3112">
            <w:pPr>
              <w:spacing w:after="0" w:line="240" w:lineRule="auto"/>
              <w:rPr>
                <w:rFonts w:cs="Times New Roman"/>
                <w:sz w:val="14"/>
                <w:szCs w:val="14"/>
                <w:lang w:val="en-US" w:eastAsia="tr-TR"/>
              </w:rPr>
            </w:pPr>
            <w:r w:rsidRPr="00AC3112">
              <w:rPr>
                <w:rFonts w:cs="Times New Roman"/>
                <w:sz w:val="14"/>
                <w:szCs w:val="14"/>
                <w:lang w:val="en-US" w:eastAsia="tr-TR"/>
              </w:rPr>
              <w:t>Machinery</w:t>
            </w:r>
          </w:p>
        </w:tc>
        <w:tc>
          <w:tcPr>
            <w:tcW w:w="246"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0,84</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0,80</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1,33</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1,02</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1,19</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1,30</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1,49</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1,35</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1,22</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1,52</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1,45</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1,39</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1,69</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1,24</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0,93</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0,99</w:t>
            </w:r>
          </w:p>
        </w:tc>
        <w:tc>
          <w:tcPr>
            <w:tcW w:w="280"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1,24</w:t>
            </w:r>
          </w:p>
        </w:tc>
      </w:tr>
      <w:tr w:rsidR="00AC3112" w:rsidRPr="00AC3112" w:rsidTr="00AC3112">
        <w:trPr>
          <w:trHeight w:val="113"/>
          <w:jc w:val="center"/>
        </w:trPr>
        <w:tc>
          <w:tcPr>
            <w:tcW w:w="439" w:type="pct"/>
            <w:shd w:val="clear" w:color="auto" w:fill="auto"/>
            <w:noWrap/>
            <w:vAlign w:val="center"/>
            <w:hideMark/>
          </w:tcPr>
          <w:p w:rsidR="00AC3112" w:rsidRPr="00AC3112" w:rsidRDefault="00AC3112" w:rsidP="00AC3112">
            <w:pPr>
              <w:spacing w:after="0" w:line="240" w:lineRule="auto"/>
              <w:rPr>
                <w:rFonts w:cs="Times New Roman"/>
                <w:sz w:val="14"/>
                <w:szCs w:val="14"/>
                <w:lang w:val="en-US" w:eastAsia="tr-TR"/>
              </w:rPr>
            </w:pPr>
            <w:r w:rsidRPr="00AC3112">
              <w:rPr>
                <w:rFonts w:cs="Times New Roman"/>
                <w:sz w:val="14"/>
                <w:szCs w:val="14"/>
                <w:lang w:val="en-US" w:eastAsia="tr-TR"/>
              </w:rPr>
              <w:t>Energy</w:t>
            </w:r>
          </w:p>
        </w:tc>
        <w:tc>
          <w:tcPr>
            <w:tcW w:w="246"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0,41</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0,68</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0,86</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0,79</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0,50</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0,89</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1,58</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2,27</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1,81</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2,09</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2,60</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2,46</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3,14</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0,24</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0,21</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0,22</w:t>
            </w:r>
          </w:p>
        </w:tc>
        <w:tc>
          <w:tcPr>
            <w:tcW w:w="280"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0,26</w:t>
            </w:r>
          </w:p>
        </w:tc>
      </w:tr>
      <w:tr w:rsidR="00AC3112" w:rsidRPr="00AC3112" w:rsidTr="00AC3112">
        <w:trPr>
          <w:trHeight w:val="113"/>
          <w:jc w:val="center"/>
        </w:trPr>
        <w:tc>
          <w:tcPr>
            <w:tcW w:w="439" w:type="pct"/>
            <w:shd w:val="clear" w:color="auto" w:fill="auto"/>
            <w:noWrap/>
            <w:vAlign w:val="center"/>
            <w:hideMark/>
          </w:tcPr>
          <w:p w:rsidR="00AC3112" w:rsidRPr="00AC3112" w:rsidRDefault="00AC3112" w:rsidP="00AC3112">
            <w:pPr>
              <w:spacing w:after="0" w:line="240" w:lineRule="auto"/>
              <w:rPr>
                <w:rFonts w:cs="Times New Roman"/>
                <w:sz w:val="14"/>
                <w:szCs w:val="14"/>
                <w:lang w:val="en-US" w:eastAsia="tr-TR"/>
              </w:rPr>
            </w:pPr>
            <w:r w:rsidRPr="00AC3112">
              <w:rPr>
                <w:rFonts w:cs="Times New Roman"/>
                <w:sz w:val="14"/>
                <w:szCs w:val="14"/>
                <w:lang w:val="en-US" w:eastAsia="tr-TR"/>
              </w:rPr>
              <w:t>Construction</w:t>
            </w:r>
          </w:p>
        </w:tc>
        <w:tc>
          <w:tcPr>
            <w:tcW w:w="246"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0,92</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1,11</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1,18</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1,06</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0,95</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0,99</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1,03</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1,02</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0,89</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1,25</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1,28</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1,30</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1,69</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1,88</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1,23</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1,42</w:t>
            </w:r>
          </w:p>
        </w:tc>
        <w:tc>
          <w:tcPr>
            <w:tcW w:w="280"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1,81</w:t>
            </w:r>
          </w:p>
        </w:tc>
      </w:tr>
      <w:tr w:rsidR="00AC3112" w:rsidRPr="00AC3112" w:rsidTr="00AC3112">
        <w:trPr>
          <w:trHeight w:val="113"/>
          <w:jc w:val="center"/>
        </w:trPr>
        <w:tc>
          <w:tcPr>
            <w:tcW w:w="439" w:type="pct"/>
            <w:shd w:val="clear" w:color="auto" w:fill="auto"/>
            <w:noWrap/>
            <w:vAlign w:val="center"/>
            <w:hideMark/>
          </w:tcPr>
          <w:p w:rsidR="00AC3112" w:rsidRPr="00AC3112" w:rsidRDefault="00AC3112" w:rsidP="00AC3112">
            <w:pPr>
              <w:spacing w:after="0" w:line="240" w:lineRule="auto"/>
              <w:rPr>
                <w:rFonts w:cs="Times New Roman"/>
                <w:sz w:val="14"/>
                <w:szCs w:val="14"/>
                <w:lang w:val="en-US" w:eastAsia="tr-TR"/>
              </w:rPr>
            </w:pPr>
            <w:r w:rsidRPr="00AC3112">
              <w:rPr>
                <w:rFonts w:cs="Times New Roman"/>
                <w:sz w:val="14"/>
                <w:szCs w:val="14"/>
                <w:lang w:val="en-US" w:eastAsia="tr-TR"/>
              </w:rPr>
              <w:t>Trade</w:t>
            </w:r>
          </w:p>
        </w:tc>
        <w:tc>
          <w:tcPr>
            <w:tcW w:w="246"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0,79</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0,75</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0,54</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0,26</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0,49</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0,88</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0,90</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1,17</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1,19</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1,68</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1,48</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1,45</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1,68</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2,29</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1,47</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1,67</w:t>
            </w:r>
          </w:p>
        </w:tc>
        <w:tc>
          <w:tcPr>
            <w:tcW w:w="280"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2,29</w:t>
            </w:r>
          </w:p>
        </w:tc>
      </w:tr>
      <w:tr w:rsidR="00AC3112" w:rsidRPr="00AC3112" w:rsidTr="00AC3112">
        <w:trPr>
          <w:trHeight w:val="113"/>
          <w:jc w:val="center"/>
        </w:trPr>
        <w:tc>
          <w:tcPr>
            <w:tcW w:w="439" w:type="pct"/>
            <w:shd w:val="clear" w:color="auto" w:fill="auto"/>
            <w:noWrap/>
            <w:vAlign w:val="center"/>
            <w:hideMark/>
          </w:tcPr>
          <w:p w:rsidR="00AC3112" w:rsidRPr="00AC3112" w:rsidRDefault="00AC3112" w:rsidP="00AC3112">
            <w:pPr>
              <w:spacing w:after="0" w:line="240" w:lineRule="auto"/>
              <w:rPr>
                <w:rFonts w:cs="Times New Roman"/>
                <w:sz w:val="14"/>
                <w:szCs w:val="14"/>
                <w:lang w:val="en-US" w:eastAsia="tr-TR"/>
              </w:rPr>
            </w:pPr>
            <w:r w:rsidRPr="00AC3112">
              <w:rPr>
                <w:rFonts w:cs="Times New Roman"/>
                <w:sz w:val="14"/>
                <w:szCs w:val="14"/>
                <w:lang w:val="en-US" w:eastAsia="tr-TR"/>
              </w:rPr>
              <w:t>Tourism</w:t>
            </w:r>
          </w:p>
        </w:tc>
        <w:tc>
          <w:tcPr>
            <w:tcW w:w="246"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0,96</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1,11</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1,14</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0,89</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0,81</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1,06</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1,20</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1,18</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0,98</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1,17</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1,04</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1,03</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1,20</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2,04</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1,78</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1,36</w:t>
            </w:r>
          </w:p>
        </w:tc>
        <w:tc>
          <w:tcPr>
            <w:tcW w:w="280"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2,07</w:t>
            </w:r>
          </w:p>
        </w:tc>
      </w:tr>
      <w:tr w:rsidR="00AC3112" w:rsidRPr="00AC3112" w:rsidTr="00AC3112">
        <w:trPr>
          <w:trHeight w:val="113"/>
          <w:jc w:val="center"/>
        </w:trPr>
        <w:tc>
          <w:tcPr>
            <w:tcW w:w="439" w:type="pct"/>
            <w:shd w:val="clear" w:color="auto" w:fill="auto"/>
            <w:noWrap/>
            <w:vAlign w:val="center"/>
            <w:hideMark/>
          </w:tcPr>
          <w:p w:rsidR="00AC3112" w:rsidRPr="00AC3112" w:rsidRDefault="00AC3112" w:rsidP="00AC3112">
            <w:pPr>
              <w:spacing w:after="0" w:line="240" w:lineRule="auto"/>
              <w:rPr>
                <w:rFonts w:cs="Times New Roman"/>
                <w:sz w:val="14"/>
                <w:szCs w:val="14"/>
                <w:lang w:val="en-US" w:eastAsia="tr-TR"/>
              </w:rPr>
            </w:pPr>
            <w:r w:rsidRPr="00AC3112">
              <w:rPr>
                <w:rFonts w:cs="Times New Roman"/>
                <w:sz w:val="14"/>
                <w:szCs w:val="14"/>
                <w:lang w:val="en-US" w:eastAsia="tr-TR"/>
              </w:rPr>
              <w:t>Transport</w:t>
            </w:r>
          </w:p>
        </w:tc>
        <w:tc>
          <w:tcPr>
            <w:tcW w:w="246"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0,45</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0,51</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0,59</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0,51</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0,59</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0,83</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0,92</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0,95</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0,91</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1,21</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1,11</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1,07</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1,38</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2,86</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2,13</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2,22</w:t>
            </w:r>
          </w:p>
        </w:tc>
        <w:tc>
          <w:tcPr>
            <w:tcW w:w="280"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2,75</w:t>
            </w:r>
          </w:p>
        </w:tc>
      </w:tr>
      <w:tr w:rsidR="00AC3112" w:rsidRPr="00AC3112" w:rsidTr="00AC3112">
        <w:trPr>
          <w:trHeight w:val="113"/>
          <w:jc w:val="center"/>
        </w:trPr>
        <w:tc>
          <w:tcPr>
            <w:tcW w:w="439" w:type="pct"/>
            <w:shd w:val="clear" w:color="auto" w:fill="auto"/>
            <w:noWrap/>
            <w:vAlign w:val="center"/>
            <w:hideMark/>
          </w:tcPr>
          <w:p w:rsidR="00AC3112" w:rsidRPr="00AC3112" w:rsidRDefault="00AC3112" w:rsidP="00AC3112">
            <w:pPr>
              <w:spacing w:after="0" w:line="240" w:lineRule="auto"/>
              <w:rPr>
                <w:rFonts w:cs="Times New Roman"/>
                <w:sz w:val="14"/>
                <w:szCs w:val="14"/>
                <w:lang w:val="en-US" w:eastAsia="tr-TR"/>
              </w:rPr>
            </w:pPr>
            <w:proofErr w:type="spellStart"/>
            <w:r w:rsidRPr="00AC3112">
              <w:rPr>
                <w:rFonts w:cs="Times New Roman"/>
                <w:sz w:val="14"/>
                <w:szCs w:val="14"/>
                <w:lang w:val="en-US" w:eastAsia="tr-TR"/>
              </w:rPr>
              <w:t>Comunicat</w:t>
            </w:r>
            <w:proofErr w:type="spellEnd"/>
            <w:r w:rsidRPr="00AC3112">
              <w:rPr>
                <w:rFonts w:cs="Times New Roman"/>
                <w:sz w:val="14"/>
                <w:szCs w:val="14"/>
                <w:lang w:val="en-US" w:eastAsia="tr-TR"/>
              </w:rPr>
              <w:t>,</w:t>
            </w:r>
          </w:p>
        </w:tc>
        <w:tc>
          <w:tcPr>
            <w:tcW w:w="246"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0,37</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0,42</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0,37</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0,13</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0,50</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0,93</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1,32</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1,73</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1,49</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1,86</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1,70</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1,65</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2,03</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1,86</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1,42</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1,42</w:t>
            </w:r>
          </w:p>
        </w:tc>
        <w:tc>
          <w:tcPr>
            <w:tcW w:w="280"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1,78</w:t>
            </w:r>
          </w:p>
        </w:tc>
      </w:tr>
      <w:tr w:rsidR="00AC3112" w:rsidRPr="00AC3112" w:rsidTr="00AC3112">
        <w:trPr>
          <w:trHeight w:val="113"/>
          <w:jc w:val="center"/>
        </w:trPr>
        <w:tc>
          <w:tcPr>
            <w:tcW w:w="439" w:type="pct"/>
            <w:shd w:val="clear" w:color="auto" w:fill="auto"/>
            <w:noWrap/>
            <w:vAlign w:val="center"/>
            <w:hideMark/>
          </w:tcPr>
          <w:p w:rsidR="00AC3112" w:rsidRPr="00AC3112" w:rsidRDefault="00AC3112" w:rsidP="00AC3112">
            <w:pPr>
              <w:spacing w:after="0" w:line="240" w:lineRule="auto"/>
              <w:rPr>
                <w:rFonts w:cs="Times New Roman"/>
                <w:sz w:val="14"/>
                <w:szCs w:val="14"/>
                <w:lang w:val="en-US" w:eastAsia="tr-TR"/>
              </w:rPr>
            </w:pPr>
            <w:r w:rsidRPr="00AC3112">
              <w:rPr>
                <w:rFonts w:cs="Times New Roman"/>
                <w:sz w:val="14"/>
                <w:szCs w:val="14"/>
                <w:lang w:val="en-US" w:eastAsia="tr-TR"/>
              </w:rPr>
              <w:t>Finance</w:t>
            </w:r>
          </w:p>
        </w:tc>
        <w:tc>
          <w:tcPr>
            <w:tcW w:w="246"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0,64</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0,88</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1,65</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2,31</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2,46</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1,58</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1,54</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0,87</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0,67</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0,87</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0,70</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0,69</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0,94</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1,32</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1,33</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1,22</w:t>
            </w:r>
          </w:p>
        </w:tc>
        <w:tc>
          <w:tcPr>
            <w:tcW w:w="280"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1,33</w:t>
            </w:r>
          </w:p>
        </w:tc>
      </w:tr>
      <w:tr w:rsidR="00AC3112" w:rsidRPr="00AC3112" w:rsidTr="00AC3112">
        <w:trPr>
          <w:trHeight w:val="113"/>
          <w:jc w:val="center"/>
        </w:trPr>
        <w:tc>
          <w:tcPr>
            <w:tcW w:w="439" w:type="pct"/>
            <w:shd w:val="clear" w:color="auto" w:fill="auto"/>
            <w:noWrap/>
            <w:vAlign w:val="center"/>
            <w:hideMark/>
          </w:tcPr>
          <w:p w:rsidR="00AC3112" w:rsidRPr="00AC3112" w:rsidRDefault="00AC3112" w:rsidP="00AC3112">
            <w:pPr>
              <w:spacing w:after="0" w:line="240" w:lineRule="auto"/>
              <w:rPr>
                <w:rFonts w:cs="Times New Roman"/>
                <w:sz w:val="14"/>
                <w:szCs w:val="14"/>
                <w:lang w:val="en-US" w:eastAsia="tr-TR"/>
              </w:rPr>
            </w:pPr>
            <w:r w:rsidRPr="00AC3112">
              <w:rPr>
                <w:rFonts w:cs="Times New Roman"/>
                <w:sz w:val="14"/>
                <w:szCs w:val="14"/>
                <w:lang w:val="en-US" w:eastAsia="tr-TR"/>
              </w:rPr>
              <w:t>Real Estate</w:t>
            </w:r>
          </w:p>
        </w:tc>
        <w:tc>
          <w:tcPr>
            <w:tcW w:w="246"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0,65</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0,77</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0,46</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0,34</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0,88</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1,16</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1,23</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1,06</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0,92</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1,26</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1,38</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1,41</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2,13</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1,85</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1,88</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1,78</w:t>
            </w:r>
          </w:p>
        </w:tc>
        <w:tc>
          <w:tcPr>
            <w:tcW w:w="280"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1,85</w:t>
            </w:r>
          </w:p>
        </w:tc>
      </w:tr>
      <w:tr w:rsidR="00AC3112" w:rsidRPr="00AC3112" w:rsidTr="00AC3112">
        <w:trPr>
          <w:trHeight w:val="113"/>
          <w:jc w:val="center"/>
        </w:trPr>
        <w:tc>
          <w:tcPr>
            <w:tcW w:w="439" w:type="pct"/>
            <w:shd w:val="clear" w:color="auto" w:fill="auto"/>
            <w:noWrap/>
            <w:vAlign w:val="center"/>
            <w:hideMark/>
          </w:tcPr>
          <w:p w:rsidR="00AC3112" w:rsidRPr="00AC3112" w:rsidRDefault="00AC3112" w:rsidP="00AC3112">
            <w:pPr>
              <w:spacing w:after="0" w:line="240" w:lineRule="auto"/>
              <w:rPr>
                <w:rFonts w:cs="Times New Roman"/>
                <w:sz w:val="14"/>
                <w:szCs w:val="14"/>
                <w:lang w:val="en-US" w:eastAsia="tr-TR"/>
              </w:rPr>
            </w:pPr>
            <w:r w:rsidRPr="00AC3112">
              <w:rPr>
                <w:rFonts w:cs="Times New Roman"/>
                <w:sz w:val="14"/>
                <w:szCs w:val="14"/>
                <w:lang w:val="en-US" w:eastAsia="tr-TR"/>
              </w:rPr>
              <w:t xml:space="preserve">Other </w:t>
            </w:r>
            <w:proofErr w:type="spellStart"/>
            <w:r w:rsidRPr="00AC3112">
              <w:rPr>
                <w:rFonts w:cs="Times New Roman"/>
                <w:sz w:val="14"/>
                <w:szCs w:val="14"/>
                <w:lang w:val="en-US" w:eastAsia="tr-TR"/>
              </w:rPr>
              <w:t>Serv</w:t>
            </w:r>
            <w:proofErr w:type="spellEnd"/>
            <w:r w:rsidRPr="00AC3112">
              <w:rPr>
                <w:rFonts w:cs="Times New Roman"/>
                <w:sz w:val="14"/>
                <w:szCs w:val="14"/>
                <w:lang w:val="en-US" w:eastAsia="tr-TR"/>
              </w:rPr>
              <w:t>,</w:t>
            </w:r>
          </w:p>
        </w:tc>
        <w:tc>
          <w:tcPr>
            <w:tcW w:w="246"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0,51</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0,59</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0,48</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0,36</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0,79</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1,01</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1,45</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1,52</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1,23</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1,63</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1,37</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1,33</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1,79</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1,68</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1,68</w:t>
            </w:r>
          </w:p>
        </w:tc>
        <w:tc>
          <w:tcPr>
            <w:tcW w:w="269"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1,63</w:t>
            </w:r>
          </w:p>
        </w:tc>
        <w:tc>
          <w:tcPr>
            <w:tcW w:w="280" w:type="pct"/>
            <w:shd w:val="clear" w:color="auto" w:fill="auto"/>
            <w:noWrap/>
            <w:vAlign w:val="center"/>
            <w:hideMark/>
          </w:tcPr>
          <w:p w:rsidR="00AC3112" w:rsidRPr="00AC3112" w:rsidRDefault="00AC3112" w:rsidP="00AC3112">
            <w:pPr>
              <w:spacing w:after="0" w:line="240" w:lineRule="auto"/>
              <w:jc w:val="center"/>
              <w:rPr>
                <w:rFonts w:cs="Times New Roman"/>
                <w:sz w:val="14"/>
                <w:szCs w:val="14"/>
                <w:lang w:val="en-US" w:eastAsia="tr-TR"/>
              </w:rPr>
            </w:pPr>
            <w:r w:rsidRPr="00AC3112">
              <w:rPr>
                <w:rFonts w:cs="Times New Roman"/>
                <w:sz w:val="14"/>
                <w:szCs w:val="14"/>
                <w:lang w:val="en-US" w:eastAsia="tr-TR"/>
              </w:rPr>
              <w:t>1,97</w:t>
            </w:r>
          </w:p>
        </w:tc>
      </w:tr>
      <w:tr w:rsidR="00AC3112" w:rsidRPr="00AC3112" w:rsidTr="00AC3112">
        <w:trPr>
          <w:trHeight w:val="113"/>
          <w:jc w:val="center"/>
        </w:trPr>
        <w:tc>
          <w:tcPr>
            <w:tcW w:w="5000" w:type="pct"/>
            <w:gridSpan w:val="18"/>
            <w:shd w:val="clear" w:color="auto" w:fill="auto"/>
            <w:noWrap/>
            <w:vAlign w:val="center"/>
          </w:tcPr>
          <w:p w:rsidR="00AC3112" w:rsidRPr="00AC3112" w:rsidRDefault="00AC3112" w:rsidP="00AC3112">
            <w:pPr>
              <w:spacing w:after="0" w:line="240" w:lineRule="auto"/>
              <w:rPr>
                <w:rFonts w:cs="Times New Roman"/>
                <w:sz w:val="14"/>
                <w:szCs w:val="14"/>
                <w:lang w:val="en-US" w:eastAsia="tr-TR"/>
              </w:rPr>
            </w:pPr>
            <w:r w:rsidRPr="00AC3112">
              <w:rPr>
                <w:rFonts w:cs="Times New Roman"/>
                <w:sz w:val="14"/>
                <w:szCs w:val="14"/>
                <w:lang w:val="en-US" w:eastAsia="tr-TR"/>
              </w:rPr>
              <w:t>Normal values of 1 refers on the average while bigger than 1 over the average and smaller than 1 below the average.</w:t>
            </w:r>
          </w:p>
        </w:tc>
      </w:tr>
    </w:tbl>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t>Table 1 assigns that import dependency is changing both by years and sectors. In comparison with average, only import multiplier of four sectors (petrol; 1.24, cork; 1.19, chemistry; 1.17, and agriculture; 1.08) found above the average while the rest of the others were far below average in 1995. Petrol having the biggest value, were 1.24 times more import dependent than average of the economy in 1995. Cork (1.19), chemistry (1.17) and agriculture (1.08) were also more import dependent sectors than national average in this period.</w:t>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t xml:space="preserve">Vital change has been observed in relative import dependency of sectors in this period. For example output of the mining sector having the smallest normal import multiplier in 1995 found more import dependent in 2011 and value of normal import multiplier of sector rose from 0.029 in 1995 to 2.56 in 2011 while position of petrol changed opposite direction. Normal import multipliers of petrol </w:t>
      </w:r>
      <w:r w:rsidRPr="00AC3112">
        <w:rPr>
          <w:rFonts w:ascii="Calibri" w:hAnsi="Calibri" w:cs="Times New Roman"/>
          <w:bCs/>
          <w:szCs w:val="16"/>
          <w:shd w:val="clear" w:color="auto" w:fill="FFFFFF"/>
          <w:lang w:val="en-US" w:eastAsia="tr-TR"/>
        </w:rPr>
        <w:lastRenderedPageBreak/>
        <w:t xml:space="preserve">diminished from 1.24 to 0.18 in this period. While total import effects of the petrol was 1.24 times more than average in 1995, this value dropped in 0.18 in 2011. </w:t>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1E0"/>
          <w:lang w:val="en-US" w:eastAsia="tr-TR"/>
        </w:rPr>
      </w:pPr>
      <w:r w:rsidRPr="00AC3112">
        <w:rPr>
          <w:rFonts w:ascii="Calibri" w:hAnsi="Calibri" w:cs="Times New Roman"/>
          <w:bCs/>
          <w:szCs w:val="16"/>
          <w:shd w:val="clear" w:color="auto" w:fill="FFFFFF"/>
          <w:lang w:val="en-US" w:eastAsia="tr-TR"/>
        </w:rPr>
        <w:t xml:space="preserve">Normal values of textile assign that total import effects of corresponded sector is 2.19 times more than average in 2011. Approximately same explanation can be made for metal sector. Metal sector has been more import dependent since 2000 and total import effects of the sector is bigger 1.53 times more than average in 2011 year. The most import depended sectors compare to national average in recent years are food, textile, metal, construction, trade and transport sectors. </w:t>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t xml:space="preserve">According to Table 1, if taken both the whole economy and entire period into account, it is concluded that the most import dependency observed between 2001 and 2007 years during research period. Both number of import dependent sector and size of the import multipliers of the particular sectors increased in this period. It is clear that, Import dependency deepened and expanded in this period except a few service sector. Even though both number of import dependent sectors over the average and import deepening of sectors decreased between 2008 and 2011, import dependency of many sectors found greater than their values of between 1995 and 2007.  </w:t>
      </w:r>
    </w:p>
    <w:p w:rsidR="00AC3112" w:rsidRPr="00AC3112" w:rsidRDefault="00AC3112" w:rsidP="0003120B">
      <w:pPr>
        <w:keepNext/>
        <w:keepLines/>
        <w:numPr>
          <w:ilvl w:val="1"/>
          <w:numId w:val="1"/>
        </w:numPr>
        <w:spacing w:before="240" w:after="120" w:line="240" w:lineRule="auto"/>
        <w:outlineLvl w:val="0"/>
        <w:rPr>
          <w:rFonts w:ascii="Calibri" w:eastAsiaTheme="majorEastAsia" w:hAnsi="Calibri" w:cstheme="majorBidi"/>
          <w:b/>
          <w:color w:val="000000" w:themeColor="text1"/>
          <w:lang w:val="en-US" w:eastAsia="tr-TR"/>
        </w:rPr>
      </w:pPr>
      <w:r w:rsidRPr="00AC3112">
        <w:rPr>
          <w:rFonts w:ascii="Calibri" w:eastAsiaTheme="majorEastAsia" w:hAnsi="Calibri" w:cstheme="majorBidi"/>
          <w:b/>
          <w:color w:val="000000" w:themeColor="text1"/>
          <w:lang w:val="en-US" w:eastAsia="tr-TR"/>
        </w:rPr>
        <w:t>Determina</w:t>
      </w:r>
      <w:r w:rsidRPr="00AC3112">
        <w:rPr>
          <w:rFonts w:ascii="Calibri" w:eastAsiaTheme="majorEastAsia" w:hAnsi="Calibri" w:cstheme="majorBidi"/>
          <w:b/>
          <w:color w:val="000000" w:themeColor="text1"/>
          <w:lang w:val="en-US"/>
        </w:rPr>
        <w:t>n</w:t>
      </w:r>
      <w:r w:rsidRPr="00AC3112">
        <w:rPr>
          <w:rFonts w:ascii="Calibri" w:eastAsiaTheme="majorEastAsia" w:hAnsi="Calibri" w:cstheme="majorBidi"/>
          <w:b/>
          <w:color w:val="000000" w:themeColor="text1"/>
          <w:lang w:val="en-US" w:eastAsia="tr-TR"/>
        </w:rPr>
        <w:t>ts of Total Import Effects of the Sectors</w:t>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t>This section provides an overview total import dependency drivers of entire economy. Total import effects of the sectors has been examined associate with three elements widely used in the input output literature. Main elements of macro wide import dependency according to input output approach are imported input intensity, output share of sectors and sectoral input output linkages.</w:t>
      </w:r>
    </w:p>
    <w:p w:rsidR="00AC3112" w:rsidRPr="00AC3112" w:rsidRDefault="00AC3112" w:rsidP="0003120B">
      <w:pPr>
        <w:keepNext/>
        <w:keepLines/>
        <w:numPr>
          <w:ilvl w:val="2"/>
          <w:numId w:val="1"/>
        </w:numPr>
        <w:spacing w:before="240" w:after="120" w:line="240" w:lineRule="auto"/>
        <w:outlineLvl w:val="0"/>
        <w:rPr>
          <w:rFonts w:ascii="Calibri" w:eastAsiaTheme="majorEastAsia" w:hAnsi="Calibri" w:cstheme="majorBidi"/>
          <w:b/>
          <w:color w:val="000000" w:themeColor="text1"/>
          <w:lang w:val="en-US"/>
        </w:rPr>
      </w:pPr>
      <w:r w:rsidRPr="00AC3112">
        <w:rPr>
          <w:rFonts w:ascii="Calibri" w:eastAsiaTheme="majorEastAsia" w:hAnsi="Calibri" w:cstheme="majorBidi"/>
          <w:b/>
          <w:color w:val="000000" w:themeColor="text1"/>
          <w:lang w:val="en-US"/>
        </w:rPr>
        <w:t>Imported Input Intensity of sectors</w:t>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t xml:space="preserve">Import intensity is highly significant for both individual import dependency of sectors and macro wide import effects of them. Methodologically we measured import intensity of sectors by means of the import coefficients. To examine dependency of each sector and to understand the role of them in import dependency of the entire economy, import coefficients of sectors having the biggest total import effects in 2011 were calculated and results presented in Figure 8. </w:t>
      </w:r>
    </w:p>
    <w:p w:rsidR="00AC3112" w:rsidRPr="00AC3112" w:rsidRDefault="00AC3112" w:rsidP="00AC3112">
      <w:pPr>
        <w:spacing w:before="120" w:after="120" w:line="240" w:lineRule="auto"/>
        <w:ind w:right="284"/>
        <w:rPr>
          <w:rFonts w:ascii="Calibri" w:eastAsia="Times New Roman" w:hAnsi="Calibri" w:cs="Arial"/>
          <w:color w:val="000000"/>
          <w:szCs w:val="18"/>
          <w:lang w:val="en-US" w:eastAsia="tr-TR"/>
        </w:rPr>
      </w:pPr>
      <w:r w:rsidRPr="00AC3112">
        <w:rPr>
          <w:rFonts w:ascii="Calibri" w:eastAsia="Times New Roman" w:hAnsi="Calibri" w:cs="Arial"/>
          <w:color w:val="000000"/>
          <w:szCs w:val="18"/>
          <w:lang w:val="en-US" w:eastAsia="tr-TR"/>
        </w:rPr>
        <w:t>Figure 8. Import Intensity of Some Sectors between 1995 and 2011</w:t>
      </w:r>
    </w:p>
    <w:p w:rsidR="00AC3112" w:rsidRPr="00AC3112" w:rsidRDefault="00AC3112" w:rsidP="00AC3112">
      <w:pPr>
        <w:spacing w:before="120" w:after="120" w:line="360" w:lineRule="auto"/>
        <w:ind w:right="282"/>
        <w:jc w:val="both"/>
        <w:outlineLvl w:val="0"/>
        <w:rPr>
          <w:rFonts w:ascii="Times New Roman" w:eastAsia="Times New Roman" w:hAnsi="Times New Roman"/>
          <w:sz w:val="14"/>
          <w:shd w:val="clear" w:color="auto" w:fill="FFFFFF"/>
          <w:lang w:val="en-US" w:eastAsia="tr-TR"/>
        </w:rPr>
      </w:pPr>
      <w:r w:rsidRPr="00AC3112">
        <w:rPr>
          <w:rFonts w:ascii="Times New Roman" w:hAnsi="Times New Roman"/>
          <w:noProof/>
          <w:sz w:val="18"/>
          <w:lang w:eastAsia="tr-TR"/>
        </w:rPr>
        <w:drawing>
          <wp:inline distT="0" distB="0" distL="0" distR="0" wp14:anchorId="48BD70C6" wp14:editId="269C3AA4">
            <wp:extent cx="5224311" cy="1346200"/>
            <wp:effectExtent l="0" t="0" r="14605" b="635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t>Figure 8 exhibits that there was a considerable heterogeneity in intensity of imported inputs among sectors. Analysis of the data in input output tables revealed that, metal production depended mainly on imported inputs and had higher import intensity than the others in the period of 1995-2011.</w:t>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t xml:space="preserve">It is clearly seen that imported input intensity of the metal and textile sectors found both high and tend to rise. Import multiplier of the metal sector having the biggest import intensity increased from 0.09 to 0.24 while import multiplier of the textile which was the second import intensive sector rose from 0.07 in 1995 to 0.19 in 2011. </w:t>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t xml:space="preserve">Sectors having the lowest imported input intensity are agriculture and trade in this period. İmported input intensity of these sectors were calculated less than 0.05 during this period. As a result </w:t>
      </w:r>
      <w:r w:rsidRPr="00AC3112">
        <w:rPr>
          <w:rFonts w:ascii="Calibri" w:hAnsi="Calibri" w:cs="Times New Roman"/>
          <w:bCs/>
          <w:szCs w:val="16"/>
          <w:shd w:val="clear" w:color="auto" w:fill="FFFFFF"/>
          <w:lang w:val="en-US" w:eastAsia="tr-TR"/>
        </w:rPr>
        <w:lastRenderedPageBreak/>
        <w:t>it is possible to conclude that, imports coefficients in most of the sector indicates a growing trend in import intensity in Turkish Economy between 1995 and 2011.</w:t>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t>Besides the level of imported input intensity of sectors, its rate of the change is also an important issue for import dependency. Change in imported input coefficients within the period of 1995-2011 were calculated and results presented in Figure 9.</w:t>
      </w:r>
    </w:p>
    <w:p w:rsidR="00AC3112" w:rsidRPr="00AC3112" w:rsidRDefault="00AC3112" w:rsidP="00AC3112">
      <w:pPr>
        <w:spacing w:before="120" w:after="120" w:line="240" w:lineRule="auto"/>
        <w:ind w:right="284"/>
        <w:rPr>
          <w:rFonts w:ascii="Calibri" w:eastAsia="Times New Roman" w:hAnsi="Calibri" w:cs="Arial"/>
          <w:color w:val="000000"/>
          <w:szCs w:val="18"/>
          <w:lang w:val="en-US" w:eastAsia="tr-TR"/>
        </w:rPr>
      </w:pPr>
      <w:r w:rsidRPr="00AC3112">
        <w:rPr>
          <w:rFonts w:ascii="Calibri" w:eastAsia="Times New Roman" w:hAnsi="Calibri" w:cs="Arial"/>
          <w:color w:val="000000"/>
          <w:szCs w:val="18"/>
          <w:lang w:val="en-US" w:eastAsia="tr-TR"/>
        </w:rPr>
        <w:t>Figure 9. Change in Import Intensity between 1995 and 2011 (in %).</w:t>
      </w:r>
    </w:p>
    <w:p w:rsidR="00AC3112" w:rsidRPr="00AC3112" w:rsidRDefault="00AC3112" w:rsidP="00AC3112">
      <w:pPr>
        <w:spacing w:after="0" w:line="240" w:lineRule="auto"/>
        <w:jc w:val="center"/>
        <w:rPr>
          <w:rFonts w:ascii="Times New Roman" w:eastAsia="Times New Roman" w:hAnsi="Times New Roman" w:cs="Times New Roman"/>
          <w:sz w:val="14"/>
          <w:szCs w:val="16"/>
          <w:lang w:val="en-US" w:eastAsia="tr-TR"/>
        </w:rPr>
      </w:pPr>
      <w:r w:rsidRPr="00AC3112">
        <w:rPr>
          <w:rFonts w:ascii="Times New Roman" w:eastAsia="Times New Roman" w:hAnsi="Times New Roman" w:cs="Times New Roman"/>
          <w:noProof/>
          <w:sz w:val="14"/>
          <w:szCs w:val="16"/>
          <w:lang w:eastAsia="tr-TR"/>
        </w:rPr>
        <w:drawing>
          <wp:inline distT="0" distB="0" distL="0" distR="0" wp14:anchorId="52826FD5" wp14:editId="71091871">
            <wp:extent cx="5055409" cy="1108710"/>
            <wp:effectExtent l="0" t="0" r="12065" b="1524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C3112" w:rsidRPr="00AC3112" w:rsidRDefault="00AC3112" w:rsidP="00AC3112">
      <w:pPr>
        <w:spacing w:after="0" w:line="240" w:lineRule="auto"/>
        <w:rPr>
          <w:rFonts w:ascii="Times New Roman" w:hAnsi="Times New Roman" w:cs="Times New Roman"/>
          <w:sz w:val="20"/>
          <w:lang w:val="en-US"/>
        </w:rPr>
      </w:pP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t>Figure 9 shows the change in imported input intensity of sectors which are having the biggest increase in import intensity between 1995 and 2011. Some sectors such as trade, metal, transport and construction exhibited significantly increase in their import requirements between 1995 and 2011. Trade is the sector which experienced the maximum increase with respect to change in import intensity in this period.  İmported input intensity of the corresponded sector increased in 158% in this period. İncrease in imported input intensity found 146% for metal, 120% for transport and 113% for construction while this value was lower than 100% for the other sectors. Import intensity of textile which has the greatest import effect in 2011, grew only 3% in this period. This is good sign of import dependency of Turkish Economy.</w:t>
      </w:r>
    </w:p>
    <w:p w:rsidR="00AC3112" w:rsidRPr="00AC3112" w:rsidRDefault="00AC3112" w:rsidP="0003120B">
      <w:pPr>
        <w:keepNext/>
        <w:keepLines/>
        <w:numPr>
          <w:ilvl w:val="2"/>
          <w:numId w:val="1"/>
        </w:numPr>
        <w:spacing w:before="240" w:after="120" w:line="240" w:lineRule="auto"/>
        <w:outlineLvl w:val="0"/>
        <w:rPr>
          <w:rFonts w:ascii="Calibri" w:eastAsiaTheme="majorEastAsia" w:hAnsi="Calibri" w:cstheme="majorBidi"/>
          <w:b/>
          <w:color w:val="000000" w:themeColor="text1"/>
          <w:lang w:val="en-US"/>
        </w:rPr>
      </w:pPr>
      <w:r w:rsidRPr="00AC3112">
        <w:rPr>
          <w:rFonts w:ascii="Calibri" w:eastAsiaTheme="majorEastAsia" w:hAnsi="Calibri" w:cstheme="majorBidi"/>
          <w:b/>
          <w:color w:val="000000" w:themeColor="text1"/>
          <w:lang w:val="en-US"/>
        </w:rPr>
        <w:t>Output Share of Sectors</w:t>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t>Import intensity is not strong indicator of the total import effects of sectors. The second element impacting economy wide import dependency is the relative significance of each sector in terms of its weight in total output. To see size of sectors in economy, output share of sectors were calculated and results presented in Figure 10.</w:t>
      </w:r>
    </w:p>
    <w:p w:rsidR="00AC3112" w:rsidRPr="00AC3112" w:rsidRDefault="00AC3112" w:rsidP="00AC3112">
      <w:pPr>
        <w:spacing w:before="120" w:after="120" w:line="240" w:lineRule="auto"/>
        <w:ind w:right="284"/>
        <w:rPr>
          <w:rFonts w:ascii="Calibri" w:eastAsia="Times New Roman" w:hAnsi="Calibri" w:cs="Arial"/>
          <w:color w:val="000000"/>
          <w:szCs w:val="18"/>
          <w:lang w:val="en-US" w:eastAsia="tr-TR"/>
        </w:rPr>
      </w:pPr>
      <w:r w:rsidRPr="00AC3112">
        <w:rPr>
          <w:rFonts w:ascii="Calibri" w:eastAsia="Times New Roman" w:hAnsi="Calibri" w:cs="Arial"/>
          <w:color w:val="000000"/>
          <w:szCs w:val="18"/>
          <w:lang w:val="en-US" w:eastAsia="tr-TR"/>
        </w:rPr>
        <w:t>Figure 10. Share of Sectors in Output between 1995 and 2011</w:t>
      </w:r>
    </w:p>
    <w:p w:rsidR="00AC3112" w:rsidRPr="00AC3112" w:rsidRDefault="00AC3112" w:rsidP="00AC3112">
      <w:pPr>
        <w:spacing w:before="120" w:after="120" w:line="360" w:lineRule="auto"/>
        <w:ind w:left="142" w:right="282"/>
        <w:jc w:val="both"/>
        <w:outlineLvl w:val="0"/>
        <w:rPr>
          <w:rFonts w:ascii="Times New Roman" w:hAnsi="Times New Roman"/>
          <w:sz w:val="18"/>
          <w:lang w:val="en-US" w:eastAsia="tr-TR"/>
        </w:rPr>
      </w:pPr>
      <w:r w:rsidRPr="00AC3112">
        <w:rPr>
          <w:rFonts w:ascii="Times New Roman" w:hAnsi="Times New Roman"/>
          <w:noProof/>
          <w:sz w:val="18"/>
          <w:lang w:eastAsia="tr-TR"/>
        </w:rPr>
        <w:drawing>
          <wp:inline distT="0" distB="0" distL="0" distR="0" wp14:anchorId="04FB8DA2" wp14:editId="41752697">
            <wp:extent cx="5130800" cy="2516056"/>
            <wp:effectExtent l="0" t="0" r="12700" b="1778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lastRenderedPageBreak/>
        <w:t>Figure 10 shows that, trade agriculture and transport sectors were 3 major sectors of Turkish Economy in 1995 according to output share. While trade and transport sectors sustained relatively high share in production, share of agriculture in economy dropped considerably in 2011. The share of the transport increased from 7.4% in 1995 to 10.15% in 2011 while share of trade and agriculture diminished in this period. Although share of trade diminished, trade sector was still the second sector in 2011. Share of textile sector showed considerable development since 1998. Transport, trade and textile sectors were in absolute terms top-3 weighted sectors since 2001 with respect to output share.</w:t>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t>Metal sector having the highest import intensity during this period, had the lowest share in total output and tended to decrease in this period. Share of metal in output dropped from 4.36% in 1995 to 2.82 % in 2011. Construction and machinery sectors also has small share in total output between 1995 and 2011.</w:t>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t>Besides output share of sectors, change of their rates are also important. Percent change of sectoral output share within 1995-2011 period were calculated in order to predict import dependency of the economy in the future and results presented in Figure 11.</w:t>
      </w:r>
    </w:p>
    <w:p w:rsidR="00AC3112" w:rsidRPr="00AC3112" w:rsidRDefault="00AC3112" w:rsidP="00AC3112">
      <w:pPr>
        <w:spacing w:before="120" w:after="120" w:line="240" w:lineRule="auto"/>
        <w:ind w:right="284"/>
        <w:rPr>
          <w:rFonts w:ascii="Calibri" w:eastAsia="Times New Roman" w:hAnsi="Calibri" w:cs="Arial"/>
          <w:color w:val="000000"/>
          <w:szCs w:val="18"/>
          <w:lang w:val="en-US" w:eastAsia="tr-TR"/>
        </w:rPr>
      </w:pPr>
      <w:r w:rsidRPr="00AC3112">
        <w:rPr>
          <w:rFonts w:ascii="Calibri" w:eastAsia="Times New Roman" w:hAnsi="Calibri" w:cs="Arial"/>
          <w:color w:val="000000"/>
          <w:szCs w:val="18"/>
          <w:lang w:val="en-US" w:eastAsia="tr-TR"/>
        </w:rPr>
        <w:t xml:space="preserve">Figure 11. Change in Share of Output for Some Sectors </w:t>
      </w:r>
      <w:proofErr w:type="gramStart"/>
      <w:r w:rsidRPr="00AC3112">
        <w:rPr>
          <w:rFonts w:ascii="Calibri" w:eastAsia="Times New Roman" w:hAnsi="Calibri" w:cs="Arial"/>
          <w:color w:val="000000"/>
          <w:szCs w:val="18"/>
          <w:lang w:val="en-US" w:eastAsia="tr-TR"/>
        </w:rPr>
        <w:t>Between</w:t>
      </w:r>
      <w:proofErr w:type="gramEnd"/>
      <w:r w:rsidRPr="00AC3112">
        <w:rPr>
          <w:rFonts w:ascii="Calibri" w:eastAsia="Times New Roman" w:hAnsi="Calibri" w:cs="Arial"/>
          <w:color w:val="000000"/>
          <w:szCs w:val="18"/>
          <w:lang w:val="en-US" w:eastAsia="tr-TR"/>
        </w:rPr>
        <w:t xml:space="preserve"> 1995 and 2011 (in %).</w:t>
      </w:r>
    </w:p>
    <w:p w:rsidR="00AC3112" w:rsidRPr="00AC3112" w:rsidRDefault="00AC3112" w:rsidP="00AC3112">
      <w:pPr>
        <w:spacing w:before="120" w:after="120" w:line="360" w:lineRule="auto"/>
        <w:ind w:right="282"/>
        <w:jc w:val="both"/>
        <w:outlineLvl w:val="0"/>
        <w:rPr>
          <w:rFonts w:ascii="Times New Roman" w:hAnsi="Times New Roman"/>
          <w:sz w:val="18"/>
          <w:lang w:val="en-US" w:eastAsia="tr-TR"/>
        </w:rPr>
      </w:pPr>
      <w:r w:rsidRPr="00AC3112">
        <w:rPr>
          <w:rFonts w:ascii="Times New Roman" w:hAnsi="Times New Roman"/>
          <w:noProof/>
          <w:sz w:val="18"/>
          <w:lang w:eastAsia="tr-TR"/>
        </w:rPr>
        <w:drawing>
          <wp:inline distT="0" distB="0" distL="0" distR="0" wp14:anchorId="4656452C" wp14:editId="76A88C69">
            <wp:extent cx="5223987" cy="1245870"/>
            <wp:effectExtent l="0" t="0" r="15240" b="1143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t xml:space="preserve">Transport and textile sectors are only 2 of the 8 sectors have increasing trend in terms of output share among sectors which having the biggest total import effects in 2011. Having 37% growth rate textile found most rapidly growing sector in this period while second growing sector was transport with 24% growth rate. </w:t>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t>As seen from figure 11, share of the output of some sectors which having high import multipliers tended to decrease in this period. Fall of the output share varied to some extent between sectors. The greatest fall in output share observed both metal and agriculture sectors (35%). Other sectors losing weight in output were construction (23%), machinery (23%), trade (18%) and food (17%) during this period.</w:t>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t>Also growth rate of sectors having high import impact is essential from the point of future-oriented improvement of import dependency. Rapid growth of sectors having high import effects leads to a further increase in import dependency of the economy in the future. Growth rates of sectors between 1995 and 2011 were calculated and results presented in Figure 12.</w:t>
      </w:r>
    </w:p>
    <w:p w:rsidR="00AC3112" w:rsidRPr="00AC3112" w:rsidRDefault="00AC3112" w:rsidP="00AC3112">
      <w:pPr>
        <w:spacing w:before="120" w:after="120" w:line="240" w:lineRule="auto"/>
        <w:ind w:right="284"/>
        <w:rPr>
          <w:rFonts w:ascii="Calibri" w:eastAsia="Times New Roman" w:hAnsi="Calibri" w:cs="Arial"/>
          <w:color w:val="000000"/>
          <w:szCs w:val="18"/>
          <w:lang w:val="en-US" w:eastAsia="tr-TR"/>
        </w:rPr>
      </w:pPr>
      <w:r w:rsidRPr="00AC3112">
        <w:rPr>
          <w:rFonts w:ascii="Calibri" w:eastAsia="Times New Roman" w:hAnsi="Calibri" w:cs="Arial"/>
          <w:color w:val="000000"/>
          <w:szCs w:val="18"/>
          <w:lang w:val="en-US" w:eastAsia="tr-TR"/>
        </w:rPr>
        <w:t>Figure 12. Output Growth of Some Sectors between 1995 and 2011 (in %).</w:t>
      </w:r>
    </w:p>
    <w:p w:rsidR="00AC3112" w:rsidRPr="00AC3112" w:rsidRDefault="00AC3112" w:rsidP="00AC3112">
      <w:pPr>
        <w:spacing w:after="0" w:line="240" w:lineRule="auto"/>
        <w:jc w:val="center"/>
        <w:rPr>
          <w:rFonts w:ascii="Times New Roman" w:eastAsia="Times New Roman" w:hAnsi="Times New Roman" w:cs="Times New Roman"/>
          <w:sz w:val="20"/>
          <w:szCs w:val="16"/>
          <w:lang w:val="en-US" w:eastAsia="tr-TR"/>
        </w:rPr>
      </w:pPr>
      <w:r w:rsidRPr="00AC3112">
        <w:rPr>
          <w:rFonts w:ascii="Calibri" w:hAnsi="Calibri" w:cs="Times New Roman"/>
          <w:noProof/>
          <w:sz w:val="16"/>
          <w:szCs w:val="16"/>
          <w:lang w:eastAsia="tr-TR"/>
        </w:rPr>
        <w:drawing>
          <wp:inline distT="0" distB="0" distL="0" distR="0" wp14:anchorId="3B1F99C5" wp14:editId="465AFDB2">
            <wp:extent cx="5166068" cy="1368425"/>
            <wp:effectExtent l="0" t="0" r="15875" b="3175"/>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t>Figure 12 indicates that all of the chosen sectors grew positively between 1995 and 2011. Transportation sector is the fastest growing sector with 418% growth rate while as a second growing sector textile has 367% growth rate. Both 418% and 367% are rather high rate of output growth among sectors. If taken significant import effects of textile and transport sectors into account, it can be concluded that Turkish Economy maintenance to grow imported input base next years. Food and trade sectors grew by 214%, and 210%, while metal had the lowest growth rate with 144% in this period.</w:t>
      </w:r>
    </w:p>
    <w:p w:rsidR="00AC3112" w:rsidRPr="00AC3112" w:rsidRDefault="00AC3112" w:rsidP="0003120B">
      <w:pPr>
        <w:keepNext/>
        <w:keepLines/>
        <w:numPr>
          <w:ilvl w:val="2"/>
          <w:numId w:val="1"/>
        </w:numPr>
        <w:spacing w:before="240" w:after="120" w:line="240" w:lineRule="auto"/>
        <w:outlineLvl w:val="0"/>
        <w:rPr>
          <w:rFonts w:ascii="Calibri" w:eastAsiaTheme="majorEastAsia" w:hAnsi="Calibri" w:cstheme="majorBidi"/>
          <w:b/>
          <w:color w:val="000000" w:themeColor="text1"/>
          <w:lang w:val="en-US"/>
        </w:rPr>
      </w:pPr>
      <w:r w:rsidRPr="00AC3112">
        <w:rPr>
          <w:rFonts w:ascii="Calibri" w:eastAsiaTheme="majorEastAsia" w:hAnsi="Calibri" w:cstheme="majorBidi"/>
          <w:b/>
          <w:color w:val="000000" w:themeColor="text1"/>
          <w:lang w:val="en-US"/>
        </w:rPr>
        <w:t xml:space="preserve">Inter-Sectoral Input Output Linkages </w:t>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t>After imported input intensity and share of sectors in output, the third element impacting import dependency of the economy is inter-sectoral input output linkages. Methodologically we measured sectoral linkages by means of the total backward coefficients since these coefficients present requirement of total intermediate input needs if final demand of the sector increased one unit. Total Backward Coefficients of sectors were exhibited in Figure 13.</w:t>
      </w:r>
    </w:p>
    <w:p w:rsidR="00AC3112" w:rsidRPr="00AC3112" w:rsidRDefault="00AC3112" w:rsidP="00AC3112">
      <w:pPr>
        <w:spacing w:before="120" w:after="120" w:line="240" w:lineRule="auto"/>
        <w:ind w:right="284"/>
        <w:rPr>
          <w:rFonts w:ascii="Calibri" w:eastAsia="Times New Roman" w:hAnsi="Calibri" w:cs="Arial"/>
          <w:color w:val="000000"/>
          <w:szCs w:val="18"/>
          <w:lang w:val="en-US" w:eastAsia="tr-TR"/>
        </w:rPr>
      </w:pPr>
      <w:r w:rsidRPr="00AC3112">
        <w:rPr>
          <w:rFonts w:ascii="Calibri" w:eastAsia="Times New Roman" w:hAnsi="Calibri" w:cs="Arial"/>
          <w:color w:val="000000"/>
          <w:szCs w:val="18"/>
          <w:lang w:val="en-US" w:eastAsia="tr-TR"/>
        </w:rPr>
        <w:t>Figure 13. Total Backward Linkage Coefficient of Sectors between 1995 and 2011</w:t>
      </w:r>
    </w:p>
    <w:p w:rsidR="00AC3112" w:rsidRPr="00AC3112" w:rsidRDefault="00AC3112" w:rsidP="00AC3112">
      <w:pPr>
        <w:spacing w:before="120" w:after="120" w:line="360" w:lineRule="auto"/>
        <w:ind w:left="142" w:right="282"/>
        <w:jc w:val="both"/>
        <w:outlineLvl w:val="0"/>
        <w:rPr>
          <w:rFonts w:ascii="Times New Roman" w:hAnsi="Times New Roman"/>
          <w:sz w:val="18"/>
          <w:lang w:val="en-US" w:eastAsia="tr-TR"/>
        </w:rPr>
      </w:pPr>
      <w:r w:rsidRPr="00AC3112">
        <w:rPr>
          <w:rFonts w:ascii="Times New Roman" w:hAnsi="Times New Roman"/>
          <w:noProof/>
          <w:sz w:val="18"/>
          <w:lang w:eastAsia="tr-TR"/>
        </w:rPr>
        <w:drawing>
          <wp:inline distT="0" distB="0" distL="0" distR="0" wp14:anchorId="2BC37B6B" wp14:editId="056284FA">
            <wp:extent cx="5171440" cy="1927811"/>
            <wp:effectExtent l="0" t="0" r="10160" b="15875"/>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t>Figure 13 shows that total backward linkage coefficients of sectors changed between 1.33 and 1.91 in 1995. Food sector has the highest total backward linkage coefficient in 1995. When the final demand increases one-unit in this sector, an additional 1.91-unit intermediate input demand emerged throughout the economy. It is seen that, total backward linkage coefficients rose up to 1.47-2.17 band in 2011. Textile, food and metal sectors has high backward linkage coefficients while trade, transportation and agriculture sectors has low total backward linkage coefficients in this period.</w:t>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t>Besides total backward linkages of sectors, rate of the change in coefficients is also important. Change of the total backward linkages between 1995 and 2011 were calculated in order to predict change in capacity of impact to import dependency of sectors and results presented in Figure 14.</w:t>
      </w:r>
    </w:p>
    <w:p w:rsidR="00AC3112" w:rsidRPr="00AC3112" w:rsidRDefault="00AC3112" w:rsidP="00AC3112">
      <w:pPr>
        <w:spacing w:before="120" w:after="120" w:line="240" w:lineRule="auto"/>
        <w:ind w:right="284"/>
        <w:rPr>
          <w:rFonts w:ascii="Calibri" w:eastAsia="Times New Roman" w:hAnsi="Calibri" w:cs="Arial"/>
          <w:color w:val="000000"/>
          <w:szCs w:val="18"/>
          <w:lang w:val="en-US" w:eastAsia="tr-TR"/>
        </w:rPr>
      </w:pPr>
      <w:r w:rsidRPr="00AC3112">
        <w:rPr>
          <w:rFonts w:ascii="Calibri" w:eastAsia="Times New Roman" w:hAnsi="Calibri" w:cs="Arial"/>
          <w:color w:val="000000"/>
          <w:szCs w:val="18"/>
          <w:lang w:val="en-US" w:eastAsia="tr-TR"/>
        </w:rPr>
        <w:t>Figure 14. Change In the Total Backward Linkage Coefficients of Sectors between 1995 and 2011 (in %).</w:t>
      </w:r>
    </w:p>
    <w:p w:rsidR="00AC3112" w:rsidRPr="00AC3112" w:rsidRDefault="00AC3112" w:rsidP="00AC3112">
      <w:pPr>
        <w:spacing w:before="120" w:after="120" w:line="360" w:lineRule="auto"/>
        <w:ind w:left="142" w:right="282"/>
        <w:jc w:val="both"/>
        <w:outlineLvl w:val="0"/>
        <w:rPr>
          <w:rFonts w:ascii="Times New Roman" w:hAnsi="Times New Roman"/>
          <w:sz w:val="18"/>
          <w:shd w:val="clear" w:color="auto" w:fill="FFFFFF"/>
          <w:lang w:val="en-US" w:eastAsia="tr-TR"/>
        </w:rPr>
      </w:pPr>
      <w:r w:rsidRPr="00AC3112">
        <w:rPr>
          <w:rFonts w:ascii="Times New Roman" w:hAnsi="Times New Roman"/>
          <w:noProof/>
          <w:sz w:val="18"/>
          <w:shd w:val="clear" w:color="auto" w:fill="FFFFFF"/>
          <w:lang w:eastAsia="tr-TR"/>
        </w:rPr>
        <w:drawing>
          <wp:inline distT="0" distB="0" distL="0" distR="0" wp14:anchorId="2F941AC7" wp14:editId="5FD4015C">
            <wp:extent cx="5131124" cy="1151890"/>
            <wp:effectExtent l="0" t="0" r="12700" b="1016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lastRenderedPageBreak/>
        <w:t xml:space="preserve">Figure 14 presents that total backward linkages of the most import dependent sectors changed positively. This change exhibits that, capacity of the chosen sectors to impact entire economy expanded in this period. The maximum change in backward linkages observed in textile (16%). The rates of increase in backward linkages were 15% for transport, 12% for food, 11% for trade and lower than 10% for the other sectors between 1995 and 2011.  </w:t>
      </w:r>
    </w:p>
    <w:p w:rsidR="00AC3112" w:rsidRPr="00AC3112" w:rsidRDefault="00AC3112" w:rsidP="00AC3112">
      <w:pPr>
        <w:keepNext/>
        <w:keepLines/>
        <w:spacing w:before="240" w:after="120" w:line="240" w:lineRule="auto"/>
        <w:ind w:left="927" w:hanging="360"/>
        <w:outlineLvl w:val="0"/>
        <w:rPr>
          <w:rFonts w:ascii="Calibri" w:eastAsiaTheme="majorEastAsia" w:hAnsi="Calibri" w:cstheme="majorBidi"/>
          <w:b/>
          <w:color w:val="000000" w:themeColor="text1"/>
          <w:lang w:val="en-US"/>
        </w:rPr>
      </w:pPr>
      <w:r w:rsidRPr="00AC3112">
        <w:rPr>
          <w:rFonts w:ascii="Calibri" w:eastAsiaTheme="majorEastAsia" w:hAnsi="Calibri" w:cstheme="majorBidi"/>
          <w:b/>
          <w:color w:val="000000" w:themeColor="text1"/>
          <w:lang w:val="en-US"/>
        </w:rPr>
        <w:t>Conclusion</w:t>
      </w:r>
    </w:p>
    <w:p w:rsidR="00AC3112" w:rsidRPr="00AC3112" w:rsidRDefault="00AC3112" w:rsidP="00AC3112">
      <w:pPr>
        <w:autoSpaceDE w:val="0"/>
        <w:autoSpaceDN w:val="0"/>
        <w:adjustRightInd w:val="0"/>
        <w:spacing w:before="120" w:after="120" w:line="240" w:lineRule="auto"/>
        <w:ind w:firstLine="567"/>
        <w:jc w:val="both"/>
        <w:rPr>
          <w:rFonts w:ascii="Calibri" w:hAnsi="Calibri" w:cs="Times New Roman"/>
          <w:bCs/>
          <w:szCs w:val="16"/>
          <w:shd w:val="clear" w:color="auto" w:fill="FFFFFF"/>
          <w:lang w:val="en-US" w:eastAsia="tr-TR"/>
        </w:rPr>
      </w:pPr>
      <w:r w:rsidRPr="00AC3112">
        <w:rPr>
          <w:rFonts w:ascii="Calibri" w:hAnsi="Calibri" w:cs="Times New Roman"/>
          <w:bCs/>
          <w:szCs w:val="16"/>
          <w:shd w:val="clear" w:color="auto" w:fill="FFFFFF"/>
          <w:lang w:val="en-US" w:eastAsia="tr-TR"/>
        </w:rPr>
        <w:t xml:space="preserve">Since production and trade structure has been changing in globalization economic area, even if production and exports increases, economic impacts of their change cannot be always positive. This is also valid for Turkish economy. Despite growing output and exports volumes, maintaining problems such as unemployment, foreign trade and current account deficits shows that Turkish economy hasn’t been taken advantage of foreign trade benefits. One of the basic reason of this situation is to substitute imported inputs for domestic inputs caused multiplier mechanism to diminish. </w:t>
      </w:r>
    </w:p>
    <w:p w:rsidR="00AC3112" w:rsidRPr="00AC3112" w:rsidRDefault="00AC3112" w:rsidP="00AC3112">
      <w:pPr>
        <w:keepNext/>
        <w:keepLines/>
        <w:spacing w:before="240" w:after="240" w:line="240" w:lineRule="auto"/>
        <w:outlineLvl w:val="0"/>
        <w:rPr>
          <w:rFonts w:ascii="Calibri" w:eastAsiaTheme="majorEastAsia" w:hAnsi="Calibri" w:cs="Times New Roman"/>
          <w:b/>
          <w:lang w:val="en-US"/>
        </w:rPr>
      </w:pPr>
      <w:r w:rsidRPr="00AC3112">
        <w:rPr>
          <w:rFonts w:ascii="Calibri" w:eastAsiaTheme="majorEastAsia" w:hAnsi="Calibri" w:cs="Times New Roman"/>
          <w:b/>
          <w:lang w:val="en-US"/>
        </w:rPr>
        <w:t>Refe</w:t>
      </w:r>
      <w:r w:rsidRPr="00AC3112">
        <w:rPr>
          <w:rFonts w:ascii="Calibri" w:eastAsiaTheme="majorEastAsia" w:hAnsi="Calibri" w:cs="Times New Roman"/>
          <w:b/>
          <w:bCs/>
          <w:szCs w:val="16"/>
          <w:lang w:val="en-US" w:eastAsia="tr-TR"/>
        </w:rPr>
        <w:t>r</w:t>
      </w:r>
      <w:r w:rsidRPr="00AC3112">
        <w:rPr>
          <w:rFonts w:ascii="Calibri" w:eastAsiaTheme="majorEastAsia" w:hAnsi="Calibri" w:cs="Times New Roman"/>
          <w:b/>
          <w:lang w:val="en-US"/>
        </w:rPr>
        <w:t>ences</w:t>
      </w:r>
    </w:p>
    <w:p w:rsidR="00AC3112" w:rsidRPr="00AC3112" w:rsidRDefault="00AC3112" w:rsidP="00AC3112">
      <w:pPr>
        <w:widowControl w:val="0"/>
        <w:suppressAutoHyphens/>
        <w:spacing w:before="120" w:after="120" w:line="240" w:lineRule="auto"/>
        <w:ind w:left="567" w:hanging="567"/>
        <w:jc w:val="both"/>
        <w:rPr>
          <w:rFonts w:ascii="Calibri" w:eastAsia="Times New Roman" w:hAnsi="Calibri" w:cs="Times New Roman"/>
          <w:bCs/>
          <w:lang w:val="en-US" w:eastAsia="ar-SA"/>
        </w:rPr>
      </w:pPr>
      <w:proofErr w:type="spellStart"/>
      <w:r w:rsidRPr="00AC3112">
        <w:rPr>
          <w:rFonts w:ascii="Calibri" w:eastAsia="Times New Roman" w:hAnsi="Calibri" w:cs="Times New Roman"/>
          <w:bCs/>
          <w:lang w:val="en-US" w:eastAsia="ar-SA"/>
        </w:rPr>
        <w:t>Atan</w:t>
      </w:r>
      <w:proofErr w:type="spellEnd"/>
      <w:r w:rsidRPr="00AC3112">
        <w:rPr>
          <w:rFonts w:ascii="Calibri" w:eastAsia="Times New Roman" w:hAnsi="Calibri" w:cs="Times New Roman"/>
          <w:bCs/>
          <w:lang w:val="en-US" w:eastAsia="ar-SA"/>
        </w:rPr>
        <w:t xml:space="preserve">, S. (2011). </w:t>
      </w:r>
      <w:r w:rsidRPr="00AC3112">
        <w:rPr>
          <w:rFonts w:ascii="Calibri" w:hAnsi="Calibri" w:cs="Times New Roman"/>
          <w:shd w:val="clear" w:color="auto" w:fill="FFFFFF"/>
          <w:lang w:val="en-US"/>
        </w:rPr>
        <w:t xml:space="preserve">A Study into the </w:t>
      </w:r>
      <w:proofErr w:type="spellStart"/>
      <w:r w:rsidRPr="00AC3112">
        <w:rPr>
          <w:rFonts w:ascii="Calibri" w:hAnsi="Calibri" w:cs="Times New Roman"/>
          <w:shd w:val="clear" w:color="auto" w:fill="FFFFFF"/>
          <w:lang w:val="en-US"/>
        </w:rPr>
        <w:t>Intersectoral</w:t>
      </w:r>
      <w:proofErr w:type="spellEnd"/>
      <w:r w:rsidRPr="00AC3112">
        <w:rPr>
          <w:rFonts w:ascii="Calibri" w:hAnsi="Calibri" w:cs="Times New Roman"/>
          <w:shd w:val="clear" w:color="auto" w:fill="FFFFFF"/>
          <w:lang w:val="en-US"/>
        </w:rPr>
        <w:t xml:space="preserve"> Linkage Structure with Reference to Input-Output Approach: Domestic Product and Imported Intermediate Goods Decomposition. </w:t>
      </w:r>
      <w:r w:rsidRPr="00AC3112">
        <w:rPr>
          <w:rFonts w:ascii="Calibri" w:hAnsi="Calibri" w:cs="Times New Roman"/>
          <w:iCs/>
          <w:shd w:val="clear" w:color="auto" w:fill="FFFFFF"/>
          <w:lang w:val="en-US"/>
        </w:rPr>
        <w:t>Economic Approach</w:t>
      </w:r>
      <w:r w:rsidRPr="00AC3112">
        <w:rPr>
          <w:rFonts w:ascii="Calibri" w:hAnsi="Calibri" w:cs="Times New Roman"/>
          <w:shd w:val="clear" w:color="auto" w:fill="FFFFFF"/>
          <w:lang w:val="en-US"/>
        </w:rPr>
        <w:t>, </w:t>
      </w:r>
      <w:r w:rsidRPr="00AC3112">
        <w:rPr>
          <w:rFonts w:ascii="Calibri" w:hAnsi="Calibri" w:cs="Times New Roman"/>
          <w:iCs/>
          <w:shd w:val="clear" w:color="auto" w:fill="FFFFFF"/>
          <w:lang w:val="en-US"/>
        </w:rPr>
        <w:t xml:space="preserve">22 </w:t>
      </w:r>
      <w:r w:rsidRPr="00AC3112">
        <w:rPr>
          <w:rFonts w:ascii="Calibri" w:hAnsi="Calibri" w:cs="Times New Roman"/>
          <w:shd w:val="clear" w:color="auto" w:fill="FFFFFF"/>
          <w:lang w:val="en-US"/>
        </w:rPr>
        <w:t xml:space="preserve">(80), 59-78. </w:t>
      </w:r>
    </w:p>
    <w:p w:rsidR="00AC3112" w:rsidRPr="00AC3112" w:rsidRDefault="00AC3112" w:rsidP="00AC3112">
      <w:pPr>
        <w:widowControl w:val="0"/>
        <w:suppressAutoHyphens/>
        <w:spacing w:before="120" w:after="120" w:line="240" w:lineRule="auto"/>
        <w:ind w:left="567" w:hanging="567"/>
        <w:jc w:val="both"/>
        <w:rPr>
          <w:rFonts w:ascii="Calibri" w:eastAsia="Times New Roman" w:hAnsi="Calibri" w:cs="Times New Roman"/>
          <w:bCs/>
          <w:lang w:val="en-US" w:eastAsia="ar-SA"/>
        </w:rPr>
      </w:pPr>
      <w:proofErr w:type="spellStart"/>
      <w:r w:rsidRPr="00AC3112">
        <w:rPr>
          <w:rFonts w:ascii="Calibri" w:eastAsia="Times New Roman" w:hAnsi="Calibri" w:cs="Times New Roman"/>
          <w:bCs/>
          <w:lang w:val="en-US" w:eastAsia="ar-SA"/>
        </w:rPr>
        <w:t>Ayaş</w:t>
      </w:r>
      <w:proofErr w:type="spellEnd"/>
      <w:r w:rsidRPr="00AC3112">
        <w:rPr>
          <w:rFonts w:ascii="Calibri" w:eastAsia="Times New Roman" w:hAnsi="Calibri" w:cs="Times New Roman"/>
          <w:bCs/>
          <w:lang w:val="en-US" w:eastAsia="ar-SA"/>
        </w:rPr>
        <w:t xml:space="preserve">, N. (2011) </w:t>
      </w:r>
      <w:proofErr w:type="spellStart"/>
      <w:r w:rsidRPr="00AC3112">
        <w:rPr>
          <w:rFonts w:ascii="Calibri" w:eastAsia="Times New Roman" w:hAnsi="Calibri" w:cs="Times New Roman"/>
          <w:bCs/>
          <w:lang w:val="en-US" w:eastAsia="ar-SA"/>
        </w:rPr>
        <w:t>Türk</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İmalat</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Sanayi</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Sektörlerinin</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Stratejik</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Önem</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Analizi</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i/>
          <w:lang w:val="en-US" w:eastAsia="ar-SA"/>
        </w:rPr>
        <w:t>Ege</w:t>
      </w:r>
      <w:proofErr w:type="spellEnd"/>
      <w:r w:rsidRPr="00AC3112">
        <w:rPr>
          <w:rFonts w:ascii="Calibri" w:eastAsia="Times New Roman" w:hAnsi="Calibri" w:cs="Times New Roman"/>
          <w:bCs/>
          <w:i/>
          <w:lang w:val="en-US" w:eastAsia="ar-SA"/>
        </w:rPr>
        <w:t xml:space="preserve"> </w:t>
      </w:r>
      <w:proofErr w:type="spellStart"/>
      <w:r w:rsidRPr="00AC3112">
        <w:rPr>
          <w:rFonts w:ascii="Calibri" w:eastAsia="Times New Roman" w:hAnsi="Calibri" w:cs="Times New Roman"/>
          <w:bCs/>
          <w:i/>
          <w:lang w:val="en-US" w:eastAsia="ar-SA"/>
        </w:rPr>
        <w:t>Akademik</w:t>
      </w:r>
      <w:proofErr w:type="spellEnd"/>
      <w:r w:rsidRPr="00AC3112">
        <w:rPr>
          <w:rFonts w:ascii="Calibri" w:eastAsia="Times New Roman" w:hAnsi="Calibri" w:cs="Times New Roman"/>
          <w:bCs/>
          <w:i/>
          <w:lang w:val="en-US" w:eastAsia="ar-SA"/>
        </w:rPr>
        <w:t xml:space="preserve"> </w:t>
      </w:r>
      <w:proofErr w:type="spellStart"/>
      <w:r w:rsidRPr="00AC3112">
        <w:rPr>
          <w:rFonts w:ascii="Calibri" w:eastAsia="Times New Roman" w:hAnsi="Calibri" w:cs="Times New Roman"/>
          <w:bCs/>
          <w:i/>
          <w:lang w:val="en-US" w:eastAsia="ar-SA"/>
        </w:rPr>
        <w:t>Bakış</w:t>
      </w:r>
      <w:proofErr w:type="spellEnd"/>
      <w:r w:rsidRPr="00AC3112">
        <w:rPr>
          <w:rFonts w:ascii="Calibri" w:eastAsia="Times New Roman" w:hAnsi="Calibri" w:cs="Times New Roman"/>
          <w:bCs/>
          <w:lang w:val="en-US" w:eastAsia="ar-SA"/>
        </w:rPr>
        <w:t>, 11 (4): 525-535.</w:t>
      </w:r>
      <w:r w:rsidRPr="00AC3112">
        <w:rPr>
          <w:rFonts w:ascii="Calibri" w:hAnsi="Calibri"/>
          <w:lang w:val="en-US"/>
        </w:rPr>
        <w:t xml:space="preserve"> </w:t>
      </w:r>
    </w:p>
    <w:p w:rsidR="00AC3112" w:rsidRPr="00AC3112" w:rsidRDefault="00AC3112" w:rsidP="00AC3112">
      <w:pPr>
        <w:widowControl w:val="0"/>
        <w:suppressAutoHyphens/>
        <w:spacing w:before="120" w:after="120" w:line="240" w:lineRule="auto"/>
        <w:ind w:left="284" w:hanging="284"/>
        <w:jc w:val="both"/>
        <w:rPr>
          <w:rFonts w:ascii="Calibri" w:eastAsia="Times New Roman" w:hAnsi="Calibri" w:cs="Times New Roman"/>
          <w:bCs/>
          <w:lang w:val="en-US" w:eastAsia="ar-SA"/>
        </w:rPr>
      </w:pPr>
      <w:proofErr w:type="spellStart"/>
      <w:r w:rsidRPr="00AC3112">
        <w:rPr>
          <w:rFonts w:ascii="Calibri" w:eastAsia="Times New Roman" w:hAnsi="Calibri" w:cs="Times New Roman"/>
          <w:bCs/>
          <w:lang w:val="en-US" w:eastAsia="ar-SA"/>
        </w:rPr>
        <w:t>Aydoğuş</w:t>
      </w:r>
      <w:proofErr w:type="spellEnd"/>
      <w:r w:rsidRPr="00AC3112">
        <w:rPr>
          <w:rFonts w:ascii="Calibri" w:eastAsia="Times New Roman" w:hAnsi="Calibri" w:cs="Times New Roman"/>
          <w:bCs/>
          <w:lang w:val="en-US" w:eastAsia="ar-SA"/>
        </w:rPr>
        <w:t xml:space="preserve">, O. 2010. </w:t>
      </w:r>
      <w:proofErr w:type="spellStart"/>
      <w:r w:rsidRPr="00AC3112">
        <w:rPr>
          <w:rFonts w:ascii="Calibri" w:eastAsia="Times New Roman" w:hAnsi="Calibri" w:cs="Times New Roman"/>
          <w:bCs/>
          <w:lang w:val="en-US" w:eastAsia="ar-SA"/>
        </w:rPr>
        <w:t>Girdi</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Çıktı</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Modellerine</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Giriş</w:t>
      </w:r>
      <w:proofErr w:type="spellEnd"/>
      <w:r w:rsidRPr="00AC3112">
        <w:rPr>
          <w:rFonts w:ascii="Calibri" w:eastAsia="Times New Roman" w:hAnsi="Calibri" w:cs="Times New Roman"/>
          <w:bCs/>
          <w:lang w:val="en-US" w:eastAsia="ar-SA"/>
        </w:rPr>
        <w:t xml:space="preserve">. Ankara, </w:t>
      </w:r>
      <w:proofErr w:type="spellStart"/>
      <w:r w:rsidRPr="00AC3112">
        <w:rPr>
          <w:rFonts w:ascii="Calibri" w:eastAsia="Times New Roman" w:hAnsi="Calibri" w:cs="Times New Roman"/>
          <w:bCs/>
          <w:lang w:val="en-US" w:eastAsia="ar-SA"/>
        </w:rPr>
        <w:t>Elif</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Yayınevi</w:t>
      </w:r>
      <w:proofErr w:type="spellEnd"/>
      <w:r w:rsidRPr="00AC3112">
        <w:rPr>
          <w:rFonts w:ascii="Calibri" w:eastAsia="Times New Roman" w:hAnsi="Calibri" w:cs="Times New Roman"/>
          <w:bCs/>
          <w:lang w:val="en-US" w:eastAsia="ar-SA"/>
        </w:rPr>
        <w:t>.</w:t>
      </w:r>
      <w:r w:rsidRPr="00AC3112">
        <w:rPr>
          <w:rFonts w:ascii="Calibri" w:eastAsia="Times New Roman" w:hAnsi="Calibri" w:cs="Times New Roman"/>
          <w:lang w:val="en-US" w:eastAsia="tr-TR"/>
        </w:rPr>
        <w:t xml:space="preserve"> </w:t>
      </w:r>
    </w:p>
    <w:p w:rsidR="00AC3112" w:rsidRPr="00AC3112" w:rsidRDefault="00AC3112" w:rsidP="00AC3112">
      <w:pPr>
        <w:widowControl w:val="0"/>
        <w:suppressAutoHyphens/>
        <w:spacing w:before="120" w:after="120" w:line="240" w:lineRule="auto"/>
        <w:ind w:left="567" w:hanging="567"/>
        <w:jc w:val="both"/>
        <w:rPr>
          <w:rFonts w:ascii="Calibri" w:eastAsia="Times New Roman" w:hAnsi="Calibri" w:cs="Times New Roman"/>
          <w:bCs/>
          <w:lang w:val="en-US" w:eastAsia="ar-SA"/>
        </w:rPr>
      </w:pPr>
      <w:proofErr w:type="spellStart"/>
      <w:r w:rsidRPr="00AC3112">
        <w:rPr>
          <w:rFonts w:ascii="Calibri" w:eastAsia="Times New Roman" w:hAnsi="Calibri" w:cs="Times New Roman"/>
          <w:bCs/>
          <w:lang w:val="en-US" w:eastAsia="ar-SA"/>
        </w:rPr>
        <w:t>Aydoğuş</w:t>
      </w:r>
      <w:proofErr w:type="spellEnd"/>
      <w:r w:rsidRPr="00AC3112">
        <w:rPr>
          <w:rFonts w:ascii="Calibri" w:eastAsia="Times New Roman" w:hAnsi="Calibri" w:cs="Times New Roman"/>
          <w:bCs/>
          <w:lang w:val="en-US" w:eastAsia="ar-SA"/>
        </w:rPr>
        <w:t xml:space="preserve">, O., </w:t>
      </w:r>
      <w:proofErr w:type="spellStart"/>
      <w:r w:rsidRPr="00AC3112">
        <w:rPr>
          <w:rFonts w:ascii="Calibri" w:eastAsia="Times New Roman" w:hAnsi="Calibri" w:cs="Times New Roman"/>
          <w:bCs/>
          <w:lang w:val="en-US" w:eastAsia="ar-SA"/>
        </w:rPr>
        <w:t>Değer</w:t>
      </w:r>
      <w:proofErr w:type="spellEnd"/>
      <w:r w:rsidRPr="00AC3112">
        <w:rPr>
          <w:rFonts w:ascii="Calibri" w:eastAsia="Times New Roman" w:hAnsi="Calibri" w:cs="Times New Roman"/>
          <w:bCs/>
          <w:lang w:val="en-US" w:eastAsia="ar-SA"/>
        </w:rPr>
        <w:t xml:space="preserve">, </w:t>
      </w:r>
      <w:proofErr w:type="gramStart"/>
      <w:r w:rsidRPr="00AC3112">
        <w:rPr>
          <w:rFonts w:ascii="Calibri" w:eastAsia="Times New Roman" w:hAnsi="Calibri" w:cs="Times New Roman"/>
          <w:bCs/>
          <w:lang w:val="en-US" w:eastAsia="ar-SA"/>
        </w:rPr>
        <w:t>Ç.,</w:t>
      </w:r>
      <w:proofErr w:type="gram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Çalışkan</w:t>
      </w:r>
      <w:proofErr w:type="spellEnd"/>
      <w:r w:rsidRPr="00AC3112">
        <w:rPr>
          <w:rFonts w:ascii="Calibri" w:eastAsia="Times New Roman" w:hAnsi="Calibri" w:cs="Times New Roman"/>
          <w:bCs/>
          <w:lang w:val="en-US" w:eastAsia="ar-SA"/>
        </w:rPr>
        <w:t xml:space="preserve">, E.T. and </w:t>
      </w:r>
      <w:proofErr w:type="spellStart"/>
      <w:r w:rsidRPr="00AC3112">
        <w:rPr>
          <w:rFonts w:ascii="Calibri" w:eastAsia="Times New Roman" w:hAnsi="Calibri" w:cs="Times New Roman"/>
          <w:bCs/>
          <w:lang w:val="en-US" w:eastAsia="ar-SA"/>
        </w:rPr>
        <w:t>Günal</w:t>
      </w:r>
      <w:proofErr w:type="spellEnd"/>
      <w:r w:rsidRPr="00AC3112">
        <w:rPr>
          <w:rFonts w:ascii="Calibri" w:eastAsia="Times New Roman" w:hAnsi="Calibri" w:cs="Times New Roman"/>
          <w:bCs/>
          <w:lang w:val="en-US" w:eastAsia="ar-SA"/>
        </w:rPr>
        <w:t xml:space="preserve">, G.G. (2015) Import Dependency in Turkey: An Input-Output Analysis. </w:t>
      </w:r>
      <w:r w:rsidRPr="00AC3112">
        <w:rPr>
          <w:rFonts w:ascii="Calibri" w:eastAsia="Times New Roman" w:hAnsi="Calibri" w:cs="Times New Roman"/>
          <w:bCs/>
          <w:i/>
          <w:lang w:val="en-US" w:eastAsia="ar-SA"/>
        </w:rPr>
        <w:t>Working Papers,</w:t>
      </w:r>
      <w:r w:rsidRPr="00AC3112">
        <w:rPr>
          <w:rFonts w:ascii="Calibri" w:eastAsia="Times New Roman" w:hAnsi="Calibri" w:cs="Times New Roman"/>
          <w:bCs/>
          <w:lang w:val="en-US" w:eastAsia="ar-SA"/>
        </w:rPr>
        <w:t xml:space="preserve"> 2015/5, </w:t>
      </w:r>
      <w:proofErr w:type="spellStart"/>
      <w:r w:rsidRPr="00AC3112">
        <w:rPr>
          <w:rFonts w:ascii="Calibri" w:eastAsia="Times New Roman" w:hAnsi="Calibri" w:cs="Times New Roman"/>
          <w:bCs/>
          <w:lang w:val="en-US" w:eastAsia="ar-SA"/>
        </w:rPr>
        <w:t>Ege</w:t>
      </w:r>
      <w:proofErr w:type="spellEnd"/>
      <w:r w:rsidRPr="00AC3112">
        <w:rPr>
          <w:rFonts w:ascii="Calibri" w:eastAsia="Times New Roman" w:hAnsi="Calibri" w:cs="Times New Roman"/>
          <w:bCs/>
          <w:lang w:val="en-US" w:eastAsia="ar-SA"/>
        </w:rPr>
        <w:t xml:space="preserve"> University.</w:t>
      </w:r>
      <w:r w:rsidRPr="00AC3112">
        <w:rPr>
          <w:rFonts w:ascii="Calibri" w:eastAsia="Times New Roman" w:hAnsi="Calibri" w:cs="Times New Roman"/>
          <w:lang w:val="en-US" w:eastAsia="tr-TR"/>
        </w:rPr>
        <w:t xml:space="preserve"> </w:t>
      </w:r>
    </w:p>
    <w:p w:rsidR="00AC3112" w:rsidRPr="00AC3112" w:rsidRDefault="00AC3112" w:rsidP="00AC3112">
      <w:pPr>
        <w:widowControl w:val="0"/>
        <w:suppressAutoHyphens/>
        <w:spacing w:before="120" w:after="120" w:line="240" w:lineRule="auto"/>
        <w:ind w:left="567" w:hanging="567"/>
        <w:jc w:val="both"/>
        <w:rPr>
          <w:rFonts w:ascii="Calibri" w:eastAsia="Times New Roman" w:hAnsi="Calibri" w:cs="Times New Roman"/>
          <w:bCs/>
          <w:lang w:val="en-US" w:eastAsia="ar-SA"/>
        </w:rPr>
      </w:pPr>
      <w:proofErr w:type="spellStart"/>
      <w:r w:rsidRPr="00AC3112">
        <w:rPr>
          <w:rFonts w:ascii="Calibri" w:eastAsia="Times New Roman" w:hAnsi="Calibri" w:cs="Times New Roman"/>
          <w:bCs/>
          <w:lang w:val="en-US" w:eastAsia="ar-SA"/>
        </w:rPr>
        <w:t>Bocutoğlu</w:t>
      </w:r>
      <w:proofErr w:type="spellEnd"/>
      <w:r w:rsidRPr="00AC3112">
        <w:rPr>
          <w:rFonts w:ascii="Calibri" w:eastAsia="Times New Roman" w:hAnsi="Calibri" w:cs="Times New Roman"/>
          <w:bCs/>
          <w:lang w:val="en-US" w:eastAsia="ar-SA"/>
        </w:rPr>
        <w:t xml:space="preserve">, E. (1990) </w:t>
      </w:r>
      <w:proofErr w:type="spellStart"/>
      <w:r w:rsidRPr="00AC3112">
        <w:rPr>
          <w:rFonts w:ascii="Calibri" w:eastAsia="Times New Roman" w:hAnsi="Calibri" w:cs="Times New Roman"/>
          <w:bCs/>
          <w:i/>
          <w:lang w:val="en-US" w:eastAsia="ar-SA"/>
        </w:rPr>
        <w:t>Girdi</w:t>
      </w:r>
      <w:proofErr w:type="spellEnd"/>
      <w:r w:rsidRPr="00AC3112">
        <w:rPr>
          <w:rFonts w:ascii="Calibri" w:eastAsia="Times New Roman" w:hAnsi="Calibri" w:cs="Times New Roman"/>
          <w:bCs/>
          <w:i/>
          <w:lang w:val="en-US" w:eastAsia="ar-SA"/>
        </w:rPr>
        <w:t xml:space="preserve"> </w:t>
      </w:r>
      <w:proofErr w:type="spellStart"/>
      <w:r w:rsidRPr="00AC3112">
        <w:rPr>
          <w:rFonts w:ascii="Calibri" w:eastAsia="Times New Roman" w:hAnsi="Calibri" w:cs="Times New Roman"/>
          <w:bCs/>
          <w:i/>
          <w:lang w:val="en-US" w:eastAsia="ar-SA"/>
        </w:rPr>
        <w:t>Çıktı</w:t>
      </w:r>
      <w:proofErr w:type="spellEnd"/>
      <w:r w:rsidRPr="00AC3112">
        <w:rPr>
          <w:rFonts w:ascii="Calibri" w:eastAsia="Times New Roman" w:hAnsi="Calibri" w:cs="Times New Roman"/>
          <w:bCs/>
          <w:i/>
          <w:lang w:val="en-US" w:eastAsia="ar-SA"/>
        </w:rPr>
        <w:t xml:space="preserve"> </w:t>
      </w:r>
      <w:proofErr w:type="spellStart"/>
      <w:r w:rsidRPr="00AC3112">
        <w:rPr>
          <w:rFonts w:ascii="Calibri" w:eastAsia="Times New Roman" w:hAnsi="Calibri" w:cs="Times New Roman"/>
          <w:bCs/>
          <w:i/>
          <w:lang w:val="en-US" w:eastAsia="ar-SA"/>
        </w:rPr>
        <w:t>Analizine</w:t>
      </w:r>
      <w:proofErr w:type="spellEnd"/>
      <w:r w:rsidRPr="00AC3112">
        <w:rPr>
          <w:rFonts w:ascii="Calibri" w:eastAsia="Times New Roman" w:hAnsi="Calibri" w:cs="Times New Roman"/>
          <w:bCs/>
          <w:i/>
          <w:lang w:val="en-US" w:eastAsia="ar-SA"/>
        </w:rPr>
        <w:t xml:space="preserve"> </w:t>
      </w:r>
      <w:proofErr w:type="spellStart"/>
      <w:r w:rsidRPr="00AC3112">
        <w:rPr>
          <w:rFonts w:ascii="Calibri" w:eastAsia="Times New Roman" w:hAnsi="Calibri" w:cs="Times New Roman"/>
          <w:bCs/>
          <w:i/>
          <w:lang w:val="en-US" w:eastAsia="ar-SA"/>
        </w:rPr>
        <w:t>Giriş</w:t>
      </w:r>
      <w:proofErr w:type="spellEnd"/>
      <w:r w:rsidRPr="00AC3112">
        <w:rPr>
          <w:rFonts w:ascii="Calibri" w:eastAsia="Times New Roman" w:hAnsi="Calibri" w:cs="Times New Roman"/>
          <w:bCs/>
          <w:i/>
          <w:lang w:val="en-US" w:eastAsia="ar-SA"/>
        </w:rPr>
        <w:t>,</w:t>
      </w:r>
      <w:r w:rsidRPr="00AC3112">
        <w:rPr>
          <w:rFonts w:ascii="Calibri" w:eastAsia="Times New Roman" w:hAnsi="Calibri" w:cs="Times New Roman"/>
          <w:b/>
          <w:bCs/>
          <w:lang w:val="en-US" w:eastAsia="ar-SA"/>
        </w:rPr>
        <w:t xml:space="preserve"> </w:t>
      </w:r>
      <w:r w:rsidRPr="00AC3112">
        <w:rPr>
          <w:rFonts w:ascii="Calibri" w:eastAsia="Times New Roman" w:hAnsi="Calibri" w:cs="Times New Roman"/>
          <w:bCs/>
          <w:lang w:val="en-US" w:eastAsia="ar-SA"/>
        </w:rPr>
        <w:t xml:space="preserve">Trabzon, </w:t>
      </w:r>
      <w:proofErr w:type="spellStart"/>
      <w:r w:rsidRPr="00AC3112">
        <w:rPr>
          <w:rFonts w:ascii="Calibri" w:eastAsia="Times New Roman" w:hAnsi="Calibri" w:cs="Times New Roman"/>
          <w:bCs/>
          <w:lang w:val="en-US" w:eastAsia="ar-SA"/>
        </w:rPr>
        <w:t>Karadeniz</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Üniversitesi</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İktisadi</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ve</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İdari</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Bilimler</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Fakültesi</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Ders</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Notları</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Yayın</w:t>
      </w:r>
      <w:proofErr w:type="spellEnd"/>
      <w:r w:rsidRPr="00AC3112">
        <w:rPr>
          <w:rFonts w:ascii="Calibri" w:eastAsia="Times New Roman" w:hAnsi="Calibri" w:cs="Times New Roman"/>
          <w:bCs/>
          <w:lang w:val="en-US" w:eastAsia="ar-SA"/>
        </w:rPr>
        <w:t xml:space="preserve"> No: 23.</w:t>
      </w:r>
      <w:r w:rsidRPr="00AC3112">
        <w:rPr>
          <w:rFonts w:ascii="Calibri" w:eastAsia="Times New Roman" w:hAnsi="Calibri" w:cs="Times New Roman"/>
          <w:lang w:val="en-US" w:eastAsia="tr-TR"/>
        </w:rPr>
        <w:t xml:space="preserve"> </w:t>
      </w:r>
    </w:p>
    <w:p w:rsidR="00AC3112" w:rsidRPr="00AC3112" w:rsidRDefault="00AC3112" w:rsidP="00AC3112">
      <w:pPr>
        <w:widowControl w:val="0"/>
        <w:suppressAutoHyphens/>
        <w:spacing w:before="120" w:after="120" w:line="240" w:lineRule="auto"/>
        <w:ind w:left="567" w:hanging="567"/>
        <w:jc w:val="both"/>
        <w:rPr>
          <w:rFonts w:ascii="Calibri" w:eastAsia="Times New Roman" w:hAnsi="Calibri" w:cs="Times New Roman"/>
          <w:bCs/>
          <w:lang w:val="en-US" w:eastAsia="ar-SA"/>
        </w:rPr>
      </w:pPr>
      <w:r w:rsidRPr="00AC3112">
        <w:rPr>
          <w:rFonts w:ascii="Calibri" w:eastAsia="Times New Roman" w:hAnsi="Calibri" w:cs="Times New Roman"/>
          <w:bCs/>
          <w:lang w:val="en-US" w:eastAsia="ar-SA"/>
        </w:rPr>
        <w:t xml:space="preserve">Bravo, A. C. and </w:t>
      </w:r>
      <w:proofErr w:type="spellStart"/>
      <w:r w:rsidRPr="00AC3112">
        <w:rPr>
          <w:rFonts w:ascii="Calibri" w:eastAsia="Times New Roman" w:hAnsi="Calibri" w:cs="Times New Roman"/>
          <w:bCs/>
          <w:lang w:val="en-US" w:eastAsia="ar-SA"/>
        </w:rPr>
        <w:t>Álvarez</w:t>
      </w:r>
      <w:proofErr w:type="spellEnd"/>
      <w:r w:rsidRPr="00AC3112">
        <w:rPr>
          <w:rFonts w:ascii="Calibri" w:eastAsia="Times New Roman" w:hAnsi="Calibri" w:cs="Times New Roman"/>
          <w:bCs/>
          <w:lang w:val="en-US" w:eastAsia="ar-SA"/>
        </w:rPr>
        <w:t xml:space="preserve">, M.T. (2012) The Import Content of the Industrial Sectors in Spain. </w:t>
      </w:r>
      <w:r w:rsidRPr="00AC3112">
        <w:rPr>
          <w:rFonts w:ascii="Calibri" w:eastAsia="Times New Roman" w:hAnsi="Calibri" w:cs="Times New Roman"/>
          <w:bCs/>
          <w:i/>
          <w:lang w:val="en-US" w:eastAsia="ar-SA"/>
        </w:rPr>
        <w:t>Economıc Bulletin</w:t>
      </w:r>
      <w:r w:rsidRPr="00AC3112">
        <w:rPr>
          <w:rFonts w:ascii="Calibri" w:eastAsia="Times New Roman" w:hAnsi="Calibri" w:cs="Times New Roman"/>
          <w:bCs/>
          <w:lang w:val="en-US" w:eastAsia="ar-SA"/>
        </w:rPr>
        <w:t>.</w:t>
      </w:r>
    </w:p>
    <w:p w:rsidR="00AC3112" w:rsidRPr="00AC3112" w:rsidRDefault="00AC3112" w:rsidP="00AC3112">
      <w:pPr>
        <w:widowControl w:val="0"/>
        <w:suppressAutoHyphens/>
        <w:spacing w:before="120" w:after="120" w:line="240" w:lineRule="auto"/>
        <w:ind w:left="567" w:hanging="567"/>
        <w:jc w:val="both"/>
        <w:rPr>
          <w:rFonts w:ascii="Calibri" w:eastAsia="Times New Roman" w:hAnsi="Calibri" w:cs="Times New Roman"/>
          <w:bCs/>
          <w:lang w:val="en-US" w:eastAsia="ar-SA"/>
        </w:rPr>
      </w:pPr>
      <w:proofErr w:type="spellStart"/>
      <w:r w:rsidRPr="00AC3112">
        <w:rPr>
          <w:rFonts w:ascii="Calibri" w:eastAsia="Times New Roman" w:hAnsi="Calibri" w:cs="Times New Roman"/>
          <w:bCs/>
          <w:lang w:eastAsia="ar-SA"/>
        </w:rPr>
        <w:t>Chenery</w:t>
      </w:r>
      <w:proofErr w:type="spellEnd"/>
      <w:r w:rsidRPr="00AC3112">
        <w:rPr>
          <w:rFonts w:ascii="Calibri" w:eastAsia="Times New Roman" w:hAnsi="Calibri" w:cs="Times New Roman"/>
          <w:bCs/>
          <w:lang w:eastAsia="ar-SA"/>
        </w:rPr>
        <w:t xml:space="preserve">, H. B. </w:t>
      </w:r>
      <w:proofErr w:type="spellStart"/>
      <w:r w:rsidRPr="00AC3112">
        <w:rPr>
          <w:rFonts w:ascii="Calibri" w:eastAsia="Times New Roman" w:hAnsi="Calibri" w:cs="Times New Roman"/>
          <w:bCs/>
          <w:lang w:eastAsia="ar-SA"/>
        </w:rPr>
        <w:t>and</w:t>
      </w:r>
      <w:proofErr w:type="spellEnd"/>
      <w:r w:rsidRPr="00AC3112">
        <w:rPr>
          <w:rFonts w:ascii="Calibri" w:eastAsia="Times New Roman" w:hAnsi="Calibri" w:cs="Times New Roman"/>
          <w:bCs/>
          <w:lang w:eastAsia="ar-SA"/>
        </w:rPr>
        <w:t xml:space="preserve"> </w:t>
      </w:r>
      <w:proofErr w:type="spellStart"/>
      <w:r w:rsidRPr="00AC3112">
        <w:rPr>
          <w:rFonts w:ascii="Calibri" w:eastAsia="Times New Roman" w:hAnsi="Calibri" w:cs="Times New Roman"/>
          <w:bCs/>
          <w:lang w:eastAsia="ar-SA"/>
        </w:rPr>
        <w:t>Clark</w:t>
      </w:r>
      <w:proofErr w:type="spellEnd"/>
      <w:r w:rsidRPr="00AC3112">
        <w:rPr>
          <w:rFonts w:ascii="Calibri" w:eastAsia="Times New Roman" w:hAnsi="Calibri" w:cs="Times New Roman"/>
          <w:bCs/>
          <w:lang w:eastAsia="ar-SA"/>
        </w:rPr>
        <w:t>, P. (1965) Endüstriler arası iktisat (Inter-</w:t>
      </w:r>
      <w:proofErr w:type="spellStart"/>
      <w:r w:rsidRPr="00AC3112">
        <w:rPr>
          <w:rFonts w:ascii="Calibri" w:eastAsia="Times New Roman" w:hAnsi="Calibri" w:cs="Times New Roman"/>
          <w:bCs/>
          <w:lang w:eastAsia="ar-SA"/>
        </w:rPr>
        <w:t>industry</w:t>
      </w:r>
      <w:proofErr w:type="spellEnd"/>
      <w:r w:rsidRPr="00AC3112">
        <w:rPr>
          <w:rFonts w:ascii="Calibri" w:eastAsia="Times New Roman" w:hAnsi="Calibri" w:cs="Times New Roman"/>
          <w:bCs/>
          <w:lang w:eastAsia="ar-SA"/>
        </w:rPr>
        <w:t xml:space="preserve"> </w:t>
      </w:r>
      <w:proofErr w:type="spellStart"/>
      <w:r w:rsidRPr="00AC3112">
        <w:rPr>
          <w:rFonts w:ascii="Calibri" w:eastAsia="Times New Roman" w:hAnsi="Calibri" w:cs="Times New Roman"/>
          <w:bCs/>
          <w:lang w:eastAsia="ar-SA"/>
        </w:rPr>
        <w:t>economics</w:t>
      </w:r>
      <w:proofErr w:type="spellEnd"/>
      <w:r w:rsidRPr="00AC3112">
        <w:rPr>
          <w:rFonts w:ascii="Calibri" w:eastAsia="Times New Roman" w:hAnsi="Calibri" w:cs="Times New Roman"/>
          <w:bCs/>
          <w:lang w:eastAsia="ar-SA"/>
        </w:rPr>
        <w:t xml:space="preserve">). Ankara, ODTU Yayınları. </w:t>
      </w:r>
    </w:p>
    <w:p w:rsidR="00AC3112" w:rsidRPr="00AC3112" w:rsidRDefault="00AC3112" w:rsidP="00AC3112">
      <w:pPr>
        <w:widowControl w:val="0"/>
        <w:suppressAutoHyphens/>
        <w:spacing w:before="120" w:after="120" w:line="240" w:lineRule="auto"/>
        <w:ind w:left="567" w:hanging="567"/>
        <w:jc w:val="both"/>
        <w:rPr>
          <w:rFonts w:ascii="Calibri" w:eastAsia="Times New Roman" w:hAnsi="Calibri" w:cs="Times New Roman"/>
          <w:bCs/>
          <w:lang w:val="en-US" w:eastAsia="ar-SA"/>
        </w:rPr>
      </w:pPr>
      <w:proofErr w:type="spellStart"/>
      <w:r w:rsidRPr="00AC3112">
        <w:rPr>
          <w:rFonts w:ascii="Calibri" w:eastAsia="Times New Roman" w:hAnsi="Calibri" w:cs="Times New Roman"/>
          <w:bCs/>
          <w:lang w:val="en-US" w:eastAsia="ar-SA"/>
        </w:rPr>
        <w:t>Chenery</w:t>
      </w:r>
      <w:proofErr w:type="spellEnd"/>
      <w:r w:rsidRPr="00AC3112">
        <w:rPr>
          <w:rFonts w:ascii="Calibri" w:eastAsia="Times New Roman" w:hAnsi="Calibri" w:cs="Times New Roman"/>
          <w:bCs/>
          <w:lang w:val="en-US" w:eastAsia="ar-SA"/>
        </w:rPr>
        <w:t>, H. B. and Watanabe, T. (1958) International Comparisons of the Structure of Production.  </w:t>
      </w:r>
      <w:proofErr w:type="spellStart"/>
      <w:r w:rsidRPr="00AC3112">
        <w:rPr>
          <w:rFonts w:ascii="Calibri" w:eastAsia="Times New Roman" w:hAnsi="Calibri" w:cs="Times New Roman"/>
          <w:bCs/>
          <w:i/>
          <w:iCs/>
          <w:lang w:val="en-US" w:eastAsia="ar-SA"/>
        </w:rPr>
        <w:t>Econometrica</w:t>
      </w:r>
      <w:proofErr w:type="spellEnd"/>
      <w:r w:rsidRPr="00AC3112">
        <w:rPr>
          <w:rFonts w:ascii="Calibri" w:eastAsia="Times New Roman" w:hAnsi="Calibri" w:cs="Times New Roman"/>
          <w:bCs/>
          <w:i/>
          <w:iCs/>
          <w:lang w:val="en-US" w:eastAsia="ar-SA"/>
        </w:rPr>
        <w:t>: Journal of the Econometric Society</w:t>
      </w:r>
      <w:r w:rsidRPr="00AC3112">
        <w:rPr>
          <w:rFonts w:ascii="Calibri" w:eastAsia="Times New Roman" w:hAnsi="Calibri" w:cs="Times New Roman"/>
          <w:bCs/>
          <w:lang w:val="en-US" w:eastAsia="ar-SA"/>
        </w:rPr>
        <w:t>, 487-521.</w:t>
      </w:r>
    </w:p>
    <w:p w:rsidR="00AC3112" w:rsidRPr="00AC3112" w:rsidRDefault="00AC3112" w:rsidP="00AC3112">
      <w:pPr>
        <w:widowControl w:val="0"/>
        <w:suppressAutoHyphens/>
        <w:spacing w:before="120" w:after="120" w:line="240" w:lineRule="auto"/>
        <w:ind w:left="567" w:hanging="567"/>
        <w:jc w:val="both"/>
        <w:rPr>
          <w:rFonts w:ascii="Calibri" w:eastAsia="Times New Roman" w:hAnsi="Calibri" w:cs="Times New Roman"/>
          <w:bCs/>
          <w:lang w:val="en-US" w:eastAsia="ar-SA"/>
        </w:rPr>
      </w:pPr>
      <w:proofErr w:type="spellStart"/>
      <w:r w:rsidRPr="00AC3112">
        <w:rPr>
          <w:rFonts w:ascii="Calibri" w:hAnsi="Calibri" w:cs="Times New Roman"/>
        </w:rPr>
        <w:t>Cuihong</w:t>
      </w:r>
      <w:proofErr w:type="spellEnd"/>
      <w:r w:rsidRPr="00AC3112">
        <w:rPr>
          <w:rFonts w:ascii="Calibri" w:hAnsi="Calibri" w:cs="Times New Roman"/>
        </w:rPr>
        <w:t xml:space="preserve">, Y. </w:t>
      </w:r>
      <w:proofErr w:type="spellStart"/>
      <w:r w:rsidRPr="00AC3112">
        <w:rPr>
          <w:rFonts w:ascii="Calibri" w:hAnsi="Calibri" w:cs="Times New Roman"/>
        </w:rPr>
        <w:t>and</w:t>
      </w:r>
      <w:proofErr w:type="spellEnd"/>
      <w:r w:rsidRPr="00AC3112">
        <w:rPr>
          <w:rFonts w:ascii="Calibri" w:hAnsi="Calibri" w:cs="Times New Roman"/>
        </w:rPr>
        <w:t xml:space="preserve"> </w:t>
      </w:r>
      <w:proofErr w:type="spellStart"/>
      <w:r w:rsidRPr="00AC3112">
        <w:rPr>
          <w:rFonts w:ascii="Calibri" w:hAnsi="Calibri" w:cs="Times New Roman"/>
        </w:rPr>
        <w:t>Jiansuo</w:t>
      </w:r>
      <w:proofErr w:type="spellEnd"/>
      <w:r w:rsidRPr="00AC3112">
        <w:rPr>
          <w:rFonts w:ascii="Calibri" w:hAnsi="Calibri" w:cs="Times New Roman"/>
        </w:rPr>
        <w:t xml:space="preserve">, P. (2007) </w:t>
      </w:r>
      <w:proofErr w:type="spellStart"/>
      <w:r w:rsidRPr="00AC3112">
        <w:rPr>
          <w:rFonts w:ascii="Calibri" w:hAnsi="Calibri" w:cs="Times New Roman"/>
        </w:rPr>
        <w:t>Import</w:t>
      </w:r>
      <w:proofErr w:type="spellEnd"/>
      <w:r w:rsidRPr="00AC3112">
        <w:rPr>
          <w:rFonts w:ascii="Calibri" w:hAnsi="Calibri" w:cs="Times New Roman"/>
        </w:rPr>
        <w:t xml:space="preserve"> </w:t>
      </w:r>
      <w:proofErr w:type="spellStart"/>
      <w:r w:rsidRPr="00AC3112">
        <w:rPr>
          <w:rFonts w:ascii="Calibri" w:hAnsi="Calibri" w:cs="Times New Roman"/>
        </w:rPr>
        <w:t>Dependency</w:t>
      </w:r>
      <w:proofErr w:type="spellEnd"/>
      <w:r w:rsidRPr="00AC3112">
        <w:rPr>
          <w:rFonts w:ascii="Calibri" w:hAnsi="Calibri" w:cs="Times New Roman"/>
        </w:rPr>
        <w:t xml:space="preserve"> of </w:t>
      </w:r>
      <w:proofErr w:type="spellStart"/>
      <w:r w:rsidRPr="00AC3112">
        <w:rPr>
          <w:rFonts w:ascii="Calibri" w:hAnsi="Calibri" w:cs="Times New Roman"/>
        </w:rPr>
        <w:t>Foreign</w:t>
      </w:r>
      <w:proofErr w:type="spellEnd"/>
      <w:r w:rsidRPr="00AC3112">
        <w:rPr>
          <w:rFonts w:ascii="Calibri" w:hAnsi="Calibri" w:cs="Times New Roman"/>
        </w:rPr>
        <w:t xml:space="preserve"> </w:t>
      </w:r>
      <w:proofErr w:type="spellStart"/>
      <w:r w:rsidRPr="00AC3112">
        <w:rPr>
          <w:rFonts w:ascii="Calibri" w:hAnsi="Calibri" w:cs="Times New Roman"/>
        </w:rPr>
        <w:t>Trade</w:t>
      </w:r>
      <w:proofErr w:type="spellEnd"/>
      <w:r w:rsidRPr="00AC3112">
        <w:rPr>
          <w:rFonts w:ascii="Calibri" w:hAnsi="Calibri" w:cs="Times New Roman"/>
        </w:rPr>
        <w:t xml:space="preserve">: A </w:t>
      </w:r>
      <w:proofErr w:type="spellStart"/>
      <w:r w:rsidRPr="00AC3112">
        <w:rPr>
          <w:rFonts w:ascii="Calibri" w:hAnsi="Calibri" w:cs="Times New Roman"/>
        </w:rPr>
        <w:t>case</w:t>
      </w:r>
      <w:proofErr w:type="spellEnd"/>
      <w:r w:rsidRPr="00AC3112">
        <w:rPr>
          <w:rFonts w:ascii="Calibri" w:hAnsi="Calibri" w:cs="Times New Roman"/>
        </w:rPr>
        <w:t xml:space="preserve"> of </w:t>
      </w:r>
      <w:proofErr w:type="spellStart"/>
      <w:r w:rsidRPr="00AC3112">
        <w:rPr>
          <w:rFonts w:ascii="Calibri" w:hAnsi="Calibri" w:cs="Times New Roman"/>
        </w:rPr>
        <w:t>China</w:t>
      </w:r>
      <w:proofErr w:type="spellEnd"/>
      <w:r w:rsidRPr="00AC3112">
        <w:rPr>
          <w:rFonts w:ascii="Calibri" w:hAnsi="Calibri" w:cs="Times New Roman"/>
        </w:rPr>
        <w:t xml:space="preserve">.  </w:t>
      </w:r>
      <w:proofErr w:type="spellStart"/>
      <w:r w:rsidRPr="00AC3112">
        <w:rPr>
          <w:rFonts w:ascii="Calibri" w:hAnsi="Calibri" w:cs="Times New Roman"/>
          <w:i/>
        </w:rPr>
        <w:t>The</w:t>
      </w:r>
      <w:proofErr w:type="spellEnd"/>
      <w:r w:rsidRPr="00AC3112">
        <w:rPr>
          <w:rFonts w:ascii="Calibri" w:hAnsi="Calibri" w:cs="Times New Roman"/>
          <w:i/>
        </w:rPr>
        <w:t xml:space="preserve"> 16th International Conference on </w:t>
      </w:r>
      <w:proofErr w:type="spellStart"/>
      <w:r w:rsidRPr="00AC3112">
        <w:rPr>
          <w:rFonts w:ascii="Calibri" w:hAnsi="Calibri" w:cs="Times New Roman"/>
          <w:i/>
        </w:rPr>
        <w:t>Input-Output</w:t>
      </w:r>
      <w:proofErr w:type="spellEnd"/>
      <w:r w:rsidRPr="00AC3112">
        <w:rPr>
          <w:rFonts w:ascii="Calibri" w:hAnsi="Calibri" w:cs="Times New Roman"/>
          <w:i/>
        </w:rPr>
        <w:t xml:space="preserve"> </w:t>
      </w:r>
      <w:proofErr w:type="spellStart"/>
      <w:r w:rsidRPr="00AC3112">
        <w:rPr>
          <w:rFonts w:ascii="Calibri" w:hAnsi="Calibri" w:cs="Times New Roman"/>
          <w:i/>
        </w:rPr>
        <w:t>Techniques</w:t>
      </w:r>
      <w:proofErr w:type="spellEnd"/>
      <w:r w:rsidRPr="00AC3112">
        <w:rPr>
          <w:rFonts w:ascii="Calibri" w:hAnsi="Calibri" w:cs="Times New Roman"/>
        </w:rPr>
        <w:t xml:space="preserve">, </w:t>
      </w:r>
      <w:proofErr w:type="spellStart"/>
      <w:r w:rsidRPr="00AC3112">
        <w:rPr>
          <w:rFonts w:ascii="Calibri" w:hAnsi="Calibri" w:cs="Times New Roman"/>
        </w:rPr>
        <w:t>Istanbul</w:t>
      </w:r>
      <w:proofErr w:type="spellEnd"/>
      <w:r w:rsidRPr="00AC3112">
        <w:rPr>
          <w:rFonts w:ascii="Calibri" w:hAnsi="Calibri" w:cs="Times New Roman"/>
        </w:rPr>
        <w:t xml:space="preserve">, </w:t>
      </w:r>
      <w:proofErr w:type="spellStart"/>
      <w:r w:rsidRPr="00AC3112">
        <w:rPr>
          <w:rFonts w:ascii="Calibri" w:hAnsi="Calibri" w:cs="Times New Roman"/>
        </w:rPr>
        <w:t>Turkey</w:t>
      </w:r>
      <w:proofErr w:type="spellEnd"/>
      <w:r w:rsidRPr="00AC3112">
        <w:rPr>
          <w:rFonts w:ascii="Calibri" w:hAnsi="Calibri" w:cs="Times New Roman"/>
        </w:rPr>
        <w:t>.</w:t>
      </w:r>
    </w:p>
    <w:p w:rsidR="00AC3112" w:rsidRPr="00AC3112" w:rsidRDefault="00AC3112" w:rsidP="00AC3112">
      <w:pPr>
        <w:widowControl w:val="0"/>
        <w:suppressAutoHyphens/>
        <w:spacing w:before="120" w:after="120" w:line="240" w:lineRule="auto"/>
        <w:ind w:left="567" w:hanging="567"/>
        <w:jc w:val="both"/>
        <w:rPr>
          <w:rFonts w:ascii="Calibri" w:eastAsia="Times New Roman" w:hAnsi="Calibri" w:cs="Times New Roman"/>
          <w:bCs/>
          <w:lang w:val="en-US" w:eastAsia="ar-SA"/>
        </w:rPr>
      </w:pPr>
      <w:proofErr w:type="spellStart"/>
      <w:r w:rsidRPr="00AC3112">
        <w:rPr>
          <w:rFonts w:ascii="Calibri" w:eastAsia="Times New Roman" w:hAnsi="Calibri" w:cs="Times New Roman"/>
          <w:bCs/>
          <w:lang w:val="en-US" w:eastAsia="ar-SA"/>
        </w:rPr>
        <w:t>Demir</w:t>
      </w:r>
      <w:proofErr w:type="spellEnd"/>
      <w:r w:rsidRPr="00AC3112">
        <w:rPr>
          <w:rFonts w:ascii="Calibri" w:eastAsia="Times New Roman" w:hAnsi="Calibri" w:cs="Times New Roman"/>
          <w:bCs/>
          <w:lang w:val="en-US" w:eastAsia="ar-SA"/>
        </w:rPr>
        <w:t xml:space="preserve">, N. and Kula, M. (2008) </w:t>
      </w:r>
      <w:proofErr w:type="spellStart"/>
      <w:r w:rsidRPr="00AC3112">
        <w:rPr>
          <w:rFonts w:ascii="Calibri" w:eastAsia="Times New Roman" w:hAnsi="Calibri" w:cs="Times New Roman"/>
          <w:bCs/>
          <w:lang w:val="en-US" w:eastAsia="ar-SA"/>
        </w:rPr>
        <w:t>Türkiye</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Ekonomisinin</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Sektörler</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Arası</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Bağlantılarında</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İhracat-İthalat</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İlişkileri</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i/>
          <w:lang w:val="en-US" w:eastAsia="ar-SA"/>
        </w:rPr>
        <w:t>Uluslararası</w:t>
      </w:r>
      <w:proofErr w:type="spellEnd"/>
      <w:r w:rsidRPr="00AC3112">
        <w:rPr>
          <w:rFonts w:ascii="Calibri" w:eastAsia="Times New Roman" w:hAnsi="Calibri" w:cs="Times New Roman"/>
          <w:bCs/>
          <w:i/>
          <w:lang w:val="en-US" w:eastAsia="ar-SA"/>
        </w:rPr>
        <w:t xml:space="preserve"> </w:t>
      </w:r>
      <w:proofErr w:type="spellStart"/>
      <w:r w:rsidRPr="00AC3112">
        <w:rPr>
          <w:rFonts w:ascii="Calibri" w:eastAsia="Times New Roman" w:hAnsi="Calibri" w:cs="Times New Roman"/>
          <w:bCs/>
          <w:i/>
          <w:lang w:val="en-US" w:eastAsia="ar-SA"/>
        </w:rPr>
        <w:t>Ekonomi</w:t>
      </w:r>
      <w:proofErr w:type="spellEnd"/>
      <w:r w:rsidRPr="00AC3112">
        <w:rPr>
          <w:rFonts w:ascii="Calibri" w:eastAsia="Times New Roman" w:hAnsi="Calibri" w:cs="Times New Roman"/>
          <w:bCs/>
          <w:i/>
          <w:lang w:val="en-US" w:eastAsia="ar-SA"/>
        </w:rPr>
        <w:t xml:space="preserve"> </w:t>
      </w:r>
      <w:proofErr w:type="spellStart"/>
      <w:r w:rsidRPr="00AC3112">
        <w:rPr>
          <w:rFonts w:ascii="Calibri" w:eastAsia="Times New Roman" w:hAnsi="Calibri" w:cs="Times New Roman"/>
          <w:bCs/>
          <w:i/>
          <w:lang w:val="en-US" w:eastAsia="ar-SA"/>
        </w:rPr>
        <w:t>ve</w:t>
      </w:r>
      <w:proofErr w:type="spellEnd"/>
      <w:r w:rsidRPr="00AC3112">
        <w:rPr>
          <w:rFonts w:ascii="Calibri" w:eastAsia="Times New Roman" w:hAnsi="Calibri" w:cs="Times New Roman"/>
          <w:bCs/>
          <w:i/>
          <w:lang w:val="en-US" w:eastAsia="ar-SA"/>
        </w:rPr>
        <w:t xml:space="preserve"> </w:t>
      </w:r>
      <w:proofErr w:type="spellStart"/>
      <w:r w:rsidRPr="00AC3112">
        <w:rPr>
          <w:rFonts w:ascii="Calibri" w:eastAsia="Times New Roman" w:hAnsi="Calibri" w:cs="Times New Roman"/>
          <w:bCs/>
          <w:i/>
          <w:lang w:val="en-US" w:eastAsia="ar-SA"/>
        </w:rPr>
        <w:t>DışTicaret</w:t>
      </w:r>
      <w:proofErr w:type="spellEnd"/>
      <w:r w:rsidRPr="00AC3112">
        <w:rPr>
          <w:rFonts w:ascii="Calibri" w:eastAsia="Times New Roman" w:hAnsi="Calibri" w:cs="Times New Roman"/>
          <w:bCs/>
          <w:i/>
          <w:lang w:val="en-US" w:eastAsia="ar-SA"/>
        </w:rPr>
        <w:t xml:space="preserve"> </w:t>
      </w:r>
      <w:proofErr w:type="spellStart"/>
      <w:r w:rsidRPr="00AC3112">
        <w:rPr>
          <w:rFonts w:ascii="Calibri" w:eastAsia="Times New Roman" w:hAnsi="Calibri" w:cs="Times New Roman"/>
          <w:bCs/>
          <w:i/>
          <w:lang w:val="en-US" w:eastAsia="ar-SA"/>
        </w:rPr>
        <w:t>Politikaları</w:t>
      </w:r>
      <w:proofErr w:type="spellEnd"/>
      <w:r w:rsidRPr="00AC3112">
        <w:rPr>
          <w:rFonts w:ascii="Calibri" w:eastAsia="Times New Roman" w:hAnsi="Calibri" w:cs="Times New Roman"/>
          <w:bCs/>
          <w:i/>
          <w:lang w:val="en-US" w:eastAsia="ar-SA"/>
        </w:rPr>
        <w:t>,</w:t>
      </w:r>
      <w:r w:rsidRPr="00AC3112">
        <w:rPr>
          <w:rFonts w:ascii="Calibri" w:eastAsia="Times New Roman" w:hAnsi="Calibri" w:cs="Times New Roman"/>
          <w:bCs/>
          <w:lang w:val="en-US" w:eastAsia="ar-SA"/>
        </w:rPr>
        <w:t xml:space="preserve"> 3(1-2): 85-116.</w:t>
      </w:r>
      <w:r w:rsidRPr="00AC3112">
        <w:rPr>
          <w:rFonts w:ascii="Calibri" w:eastAsia="Times New Roman" w:hAnsi="Calibri" w:cs="Times New Roman"/>
          <w:lang w:val="en-US" w:eastAsia="tr-TR"/>
        </w:rPr>
        <w:t xml:space="preserve"> </w:t>
      </w:r>
    </w:p>
    <w:p w:rsidR="00AC3112" w:rsidRPr="00AC3112" w:rsidRDefault="00AC3112" w:rsidP="00AC3112">
      <w:pPr>
        <w:widowControl w:val="0"/>
        <w:suppressAutoHyphens/>
        <w:spacing w:before="120" w:after="120" w:line="240" w:lineRule="auto"/>
        <w:ind w:left="567" w:hanging="567"/>
        <w:jc w:val="both"/>
        <w:rPr>
          <w:rFonts w:ascii="Calibri" w:eastAsia="Times New Roman" w:hAnsi="Calibri" w:cs="Times New Roman"/>
          <w:bCs/>
          <w:lang w:val="en-US" w:eastAsia="ar-SA"/>
        </w:rPr>
      </w:pPr>
      <w:r w:rsidRPr="00AC3112">
        <w:rPr>
          <w:rFonts w:ascii="Calibri" w:hAnsi="Calibri" w:cs="Times New Roman"/>
        </w:rPr>
        <w:t xml:space="preserve">Duman, A. Ö. </w:t>
      </w:r>
      <w:proofErr w:type="spellStart"/>
      <w:r w:rsidRPr="00AC3112">
        <w:rPr>
          <w:rFonts w:ascii="Calibri" w:hAnsi="Calibri" w:cs="Times New Roman"/>
        </w:rPr>
        <w:t>And</w:t>
      </w:r>
      <w:proofErr w:type="spellEnd"/>
      <w:r w:rsidRPr="00AC3112">
        <w:rPr>
          <w:rFonts w:ascii="Calibri" w:hAnsi="Calibri" w:cs="Times New Roman"/>
        </w:rPr>
        <w:t xml:space="preserve"> Ertan, G. (2012) An </w:t>
      </w:r>
      <w:proofErr w:type="spellStart"/>
      <w:r w:rsidRPr="00AC3112">
        <w:rPr>
          <w:rFonts w:ascii="Calibri" w:hAnsi="Calibri" w:cs="Times New Roman"/>
        </w:rPr>
        <w:t>İnput-Output</w:t>
      </w:r>
      <w:proofErr w:type="spellEnd"/>
      <w:r w:rsidRPr="00AC3112">
        <w:rPr>
          <w:rFonts w:ascii="Calibri" w:hAnsi="Calibri" w:cs="Times New Roman"/>
        </w:rPr>
        <w:t xml:space="preserve"> Analysis of </w:t>
      </w:r>
      <w:proofErr w:type="spellStart"/>
      <w:r w:rsidRPr="00AC3112">
        <w:rPr>
          <w:rFonts w:ascii="Calibri" w:hAnsi="Calibri" w:cs="Times New Roman"/>
        </w:rPr>
        <w:t>Rising</w:t>
      </w:r>
      <w:proofErr w:type="spellEnd"/>
      <w:r w:rsidRPr="00AC3112">
        <w:rPr>
          <w:rFonts w:ascii="Calibri" w:hAnsi="Calibri" w:cs="Times New Roman"/>
        </w:rPr>
        <w:t xml:space="preserve"> </w:t>
      </w:r>
      <w:proofErr w:type="spellStart"/>
      <w:r w:rsidRPr="00AC3112">
        <w:rPr>
          <w:rFonts w:ascii="Calibri" w:hAnsi="Calibri" w:cs="Times New Roman"/>
        </w:rPr>
        <w:t>Imports</w:t>
      </w:r>
      <w:proofErr w:type="spellEnd"/>
      <w:r w:rsidRPr="00AC3112">
        <w:rPr>
          <w:rFonts w:ascii="Calibri" w:hAnsi="Calibri" w:cs="Times New Roman"/>
        </w:rPr>
        <w:t xml:space="preserve"> in </w:t>
      </w:r>
      <w:proofErr w:type="spellStart"/>
      <w:r w:rsidRPr="00AC3112">
        <w:rPr>
          <w:rFonts w:ascii="Calibri" w:hAnsi="Calibri" w:cs="Times New Roman"/>
        </w:rPr>
        <w:t>Turkey</w:t>
      </w:r>
      <w:proofErr w:type="spellEnd"/>
      <w:r w:rsidRPr="00AC3112">
        <w:rPr>
          <w:rFonts w:ascii="Calibri" w:hAnsi="Calibri" w:cs="Times New Roman"/>
        </w:rPr>
        <w:t xml:space="preserve">. </w:t>
      </w:r>
      <w:r w:rsidRPr="00AC3112">
        <w:rPr>
          <w:rFonts w:ascii="Calibri" w:hAnsi="Calibri" w:cs="Times New Roman"/>
          <w:i/>
          <w:iCs/>
        </w:rPr>
        <w:t>Ekonomik Yaklaşım</w:t>
      </w:r>
      <w:r w:rsidRPr="00AC3112">
        <w:rPr>
          <w:rFonts w:ascii="Calibri" w:hAnsi="Calibri" w:cs="Times New Roman"/>
        </w:rPr>
        <w:t>. 23(84): 39-54.</w:t>
      </w:r>
    </w:p>
    <w:p w:rsidR="00AC3112" w:rsidRPr="00AC3112" w:rsidRDefault="00AC3112" w:rsidP="00AC3112">
      <w:pPr>
        <w:widowControl w:val="0"/>
        <w:suppressAutoHyphens/>
        <w:spacing w:before="120" w:after="120" w:line="240" w:lineRule="auto"/>
        <w:ind w:left="567" w:hanging="567"/>
        <w:jc w:val="both"/>
        <w:rPr>
          <w:rFonts w:ascii="Calibri" w:eastAsia="Times New Roman" w:hAnsi="Calibri" w:cs="Times New Roman"/>
          <w:bCs/>
          <w:lang w:val="en-US" w:eastAsia="ar-SA"/>
        </w:rPr>
      </w:pPr>
      <w:proofErr w:type="spellStart"/>
      <w:r w:rsidRPr="00AC3112">
        <w:rPr>
          <w:rFonts w:ascii="Calibri" w:eastAsia="Times New Roman" w:hAnsi="Calibri" w:cs="Times New Roman"/>
          <w:bCs/>
          <w:lang w:val="en-US" w:eastAsia="ar-SA"/>
        </w:rPr>
        <w:t>Ersungur</w:t>
      </w:r>
      <w:proofErr w:type="spellEnd"/>
      <w:r w:rsidRPr="00AC3112">
        <w:rPr>
          <w:rFonts w:ascii="Calibri" w:eastAsia="Times New Roman" w:hAnsi="Calibri" w:cs="Times New Roman"/>
          <w:bCs/>
          <w:lang w:val="en-US" w:eastAsia="ar-SA"/>
        </w:rPr>
        <w:t xml:space="preserve">, Ş. and </w:t>
      </w:r>
      <w:proofErr w:type="spellStart"/>
      <w:r w:rsidRPr="00AC3112">
        <w:rPr>
          <w:rFonts w:ascii="Calibri" w:eastAsia="Times New Roman" w:hAnsi="Calibri" w:cs="Times New Roman"/>
          <w:bCs/>
          <w:lang w:val="en-US" w:eastAsia="ar-SA"/>
        </w:rPr>
        <w:t>Kızıltan</w:t>
      </w:r>
      <w:proofErr w:type="spellEnd"/>
      <w:r w:rsidRPr="00AC3112">
        <w:rPr>
          <w:rFonts w:ascii="Calibri" w:eastAsia="Times New Roman" w:hAnsi="Calibri" w:cs="Times New Roman"/>
          <w:bCs/>
          <w:lang w:val="en-US" w:eastAsia="ar-SA"/>
        </w:rPr>
        <w:t xml:space="preserve">, A.M. (2007) </w:t>
      </w:r>
      <w:proofErr w:type="spellStart"/>
      <w:r w:rsidRPr="00AC3112">
        <w:rPr>
          <w:rFonts w:ascii="Calibri" w:eastAsia="Times New Roman" w:hAnsi="Calibri" w:cs="Times New Roman"/>
          <w:bCs/>
          <w:lang w:val="en-US" w:eastAsia="ar-SA"/>
        </w:rPr>
        <w:t>Türkiye</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Ekonomisinde</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İthalata</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Bağımlılığın</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Girdi-Çıktı</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Yöntemiyle</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Analizi</w:t>
      </w:r>
      <w:proofErr w:type="spellEnd"/>
      <w:r w:rsidRPr="00AC3112">
        <w:rPr>
          <w:rFonts w:ascii="Calibri" w:eastAsia="Times New Roman" w:hAnsi="Calibri" w:cs="Times New Roman"/>
          <w:bCs/>
          <w:lang w:val="en-US" w:eastAsia="ar-SA"/>
        </w:rPr>
        <w:t xml:space="preserve">.” </w:t>
      </w:r>
      <w:r w:rsidRPr="00AC3112">
        <w:rPr>
          <w:rFonts w:ascii="Calibri" w:eastAsia="Times New Roman" w:hAnsi="Calibri" w:cs="Times New Roman"/>
          <w:bCs/>
          <w:i/>
          <w:lang w:val="en-US" w:eastAsia="ar-SA"/>
        </w:rPr>
        <w:t xml:space="preserve">Atatürk </w:t>
      </w:r>
      <w:proofErr w:type="spellStart"/>
      <w:r w:rsidRPr="00AC3112">
        <w:rPr>
          <w:rFonts w:ascii="Calibri" w:eastAsia="Times New Roman" w:hAnsi="Calibri" w:cs="Times New Roman"/>
          <w:bCs/>
          <w:i/>
          <w:lang w:val="en-US" w:eastAsia="ar-SA"/>
        </w:rPr>
        <w:t>Üniversitesi</w:t>
      </w:r>
      <w:proofErr w:type="spellEnd"/>
      <w:r w:rsidRPr="00AC3112">
        <w:rPr>
          <w:rFonts w:ascii="Calibri" w:eastAsia="Times New Roman" w:hAnsi="Calibri" w:cs="Times New Roman"/>
          <w:bCs/>
          <w:i/>
          <w:lang w:val="en-US" w:eastAsia="ar-SA"/>
        </w:rPr>
        <w:t xml:space="preserve"> </w:t>
      </w:r>
      <w:proofErr w:type="spellStart"/>
      <w:r w:rsidRPr="00AC3112">
        <w:rPr>
          <w:rFonts w:ascii="Calibri" w:eastAsia="Times New Roman" w:hAnsi="Calibri" w:cs="Times New Roman"/>
          <w:bCs/>
          <w:i/>
          <w:lang w:val="en-US" w:eastAsia="ar-SA"/>
        </w:rPr>
        <w:t>Sosyal</w:t>
      </w:r>
      <w:proofErr w:type="spellEnd"/>
      <w:r w:rsidRPr="00AC3112">
        <w:rPr>
          <w:rFonts w:ascii="Calibri" w:eastAsia="Times New Roman" w:hAnsi="Calibri" w:cs="Times New Roman"/>
          <w:bCs/>
          <w:i/>
          <w:lang w:val="en-US" w:eastAsia="ar-SA"/>
        </w:rPr>
        <w:t xml:space="preserve"> </w:t>
      </w:r>
      <w:proofErr w:type="spellStart"/>
      <w:r w:rsidRPr="00AC3112">
        <w:rPr>
          <w:rFonts w:ascii="Calibri" w:eastAsia="Times New Roman" w:hAnsi="Calibri" w:cs="Times New Roman"/>
          <w:bCs/>
          <w:i/>
          <w:lang w:val="en-US" w:eastAsia="ar-SA"/>
        </w:rPr>
        <w:t>Bilimler</w:t>
      </w:r>
      <w:proofErr w:type="spellEnd"/>
      <w:r w:rsidRPr="00AC3112">
        <w:rPr>
          <w:rFonts w:ascii="Calibri" w:eastAsia="Times New Roman" w:hAnsi="Calibri" w:cs="Times New Roman"/>
          <w:bCs/>
          <w:i/>
          <w:lang w:val="en-US" w:eastAsia="ar-SA"/>
        </w:rPr>
        <w:t xml:space="preserve"> </w:t>
      </w:r>
      <w:proofErr w:type="spellStart"/>
      <w:r w:rsidRPr="00AC3112">
        <w:rPr>
          <w:rFonts w:ascii="Calibri" w:eastAsia="Times New Roman" w:hAnsi="Calibri" w:cs="Times New Roman"/>
          <w:bCs/>
          <w:i/>
          <w:lang w:val="en-US" w:eastAsia="ar-SA"/>
        </w:rPr>
        <w:t>Enstitüsü</w:t>
      </w:r>
      <w:proofErr w:type="spellEnd"/>
      <w:r w:rsidRPr="00AC3112">
        <w:rPr>
          <w:rFonts w:ascii="Calibri" w:eastAsia="Times New Roman" w:hAnsi="Calibri" w:cs="Times New Roman"/>
          <w:bCs/>
          <w:i/>
          <w:lang w:val="en-US" w:eastAsia="ar-SA"/>
        </w:rPr>
        <w:t xml:space="preserve"> </w:t>
      </w:r>
      <w:proofErr w:type="spellStart"/>
      <w:r w:rsidRPr="00AC3112">
        <w:rPr>
          <w:rFonts w:ascii="Calibri" w:eastAsia="Times New Roman" w:hAnsi="Calibri" w:cs="Times New Roman"/>
          <w:bCs/>
          <w:i/>
          <w:lang w:val="en-US" w:eastAsia="ar-SA"/>
        </w:rPr>
        <w:t>Dergisi</w:t>
      </w:r>
      <w:proofErr w:type="spellEnd"/>
      <w:r w:rsidRPr="00AC3112">
        <w:rPr>
          <w:rFonts w:ascii="Calibri" w:eastAsia="Times New Roman" w:hAnsi="Calibri" w:cs="Times New Roman"/>
          <w:bCs/>
          <w:i/>
          <w:lang w:val="en-US" w:eastAsia="ar-SA"/>
        </w:rPr>
        <w:t>,</w:t>
      </w:r>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Cilt</w:t>
      </w:r>
      <w:proofErr w:type="spellEnd"/>
      <w:r w:rsidRPr="00AC3112">
        <w:rPr>
          <w:rFonts w:ascii="Calibri" w:eastAsia="Times New Roman" w:hAnsi="Calibri" w:cs="Times New Roman"/>
          <w:bCs/>
          <w:lang w:val="en-US" w:eastAsia="ar-SA"/>
        </w:rPr>
        <w:t xml:space="preserve">: 9, </w:t>
      </w:r>
      <w:proofErr w:type="spellStart"/>
      <w:r w:rsidRPr="00AC3112">
        <w:rPr>
          <w:rFonts w:ascii="Calibri" w:eastAsia="Times New Roman" w:hAnsi="Calibri" w:cs="Times New Roman"/>
          <w:bCs/>
          <w:lang w:val="en-US" w:eastAsia="ar-SA"/>
        </w:rPr>
        <w:t>Sayı</w:t>
      </w:r>
      <w:proofErr w:type="spellEnd"/>
      <w:r w:rsidRPr="00AC3112">
        <w:rPr>
          <w:rFonts w:ascii="Calibri" w:eastAsia="Times New Roman" w:hAnsi="Calibri" w:cs="Times New Roman"/>
          <w:bCs/>
          <w:lang w:val="en-US" w:eastAsia="ar-SA"/>
        </w:rPr>
        <w:t>: 1, 267-278.</w:t>
      </w:r>
      <w:r w:rsidRPr="00AC3112">
        <w:rPr>
          <w:rFonts w:ascii="Calibri" w:eastAsia="Times New Roman" w:hAnsi="Calibri" w:cs="Times New Roman"/>
          <w:lang w:val="en-US" w:eastAsia="tr-TR"/>
        </w:rPr>
        <w:t xml:space="preserve"> </w:t>
      </w:r>
    </w:p>
    <w:p w:rsidR="00AC3112" w:rsidRPr="00AC3112" w:rsidRDefault="00AC3112" w:rsidP="00AC3112">
      <w:pPr>
        <w:autoSpaceDE w:val="0"/>
        <w:autoSpaceDN w:val="0"/>
        <w:adjustRightInd w:val="0"/>
        <w:spacing w:before="120" w:after="120" w:line="240" w:lineRule="auto"/>
        <w:ind w:left="567" w:hanging="567"/>
        <w:jc w:val="both"/>
        <w:rPr>
          <w:rFonts w:ascii="Calibri" w:hAnsi="Calibri" w:cs="Times New Roman"/>
        </w:rPr>
      </w:pPr>
      <w:proofErr w:type="spellStart"/>
      <w:r w:rsidRPr="00AC3112">
        <w:rPr>
          <w:rFonts w:ascii="Calibri" w:hAnsi="Calibri" w:cs="Times New Roman"/>
        </w:rPr>
        <w:t>Ersungur</w:t>
      </w:r>
      <w:proofErr w:type="spellEnd"/>
      <w:r w:rsidRPr="00AC3112">
        <w:rPr>
          <w:rFonts w:ascii="Calibri" w:hAnsi="Calibri" w:cs="Times New Roman"/>
        </w:rPr>
        <w:t>, Ş.M</w:t>
      </w:r>
      <w:proofErr w:type="gramStart"/>
      <w:r w:rsidRPr="00AC3112">
        <w:rPr>
          <w:rFonts w:ascii="Calibri" w:hAnsi="Calibri" w:cs="Times New Roman"/>
        </w:rPr>
        <w:t>.,</w:t>
      </w:r>
      <w:proofErr w:type="gramEnd"/>
      <w:r w:rsidRPr="00AC3112">
        <w:rPr>
          <w:rFonts w:ascii="Calibri" w:hAnsi="Calibri" w:cs="Times New Roman"/>
        </w:rPr>
        <w:t xml:space="preserve"> Ekinci, E.D. </w:t>
      </w:r>
      <w:proofErr w:type="spellStart"/>
      <w:r w:rsidRPr="00AC3112">
        <w:rPr>
          <w:rFonts w:ascii="Calibri" w:hAnsi="Calibri" w:cs="Times New Roman"/>
        </w:rPr>
        <w:t>and</w:t>
      </w:r>
      <w:proofErr w:type="spellEnd"/>
      <w:r w:rsidRPr="00AC3112">
        <w:rPr>
          <w:rFonts w:ascii="Calibri" w:hAnsi="Calibri" w:cs="Times New Roman"/>
        </w:rPr>
        <w:t xml:space="preserve"> Takım, A. (2011) Türkiye Ekonomisinde İthalata Bağımlılıktaki Değişme: Girdi-Çıktı Yaklaşımıyla Bir Uygulama. </w:t>
      </w:r>
      <w:r w:rsidRPr="00AC3112">
        <w:rPr>
          <w:rFonts w:ascii="Calibri" w:hAnsi="Calibri" w:cs="Times New Roman"/>
          <w:i/>
          <w:iCs/>
        </w:rPr>
        <w:t>Atatürk Ü. İİBF Dergisi</w:t>
      </w:r>
      <w:r w:rsidRPr="00AC3112">
        <w:rPr>
          <w:rFonts w:ascii="Calibri" w:hAnsi="Calibri" w:cs="Times New Roman"/>
        </w:rPr>
        <w:t>, 10. Ekonometri ve İstatistik Sempozyumu Özel Sayısı.</w:t>
      </w:r>
      <w:r w:rsidRPr="00AC3112">
        <w:rPr>
          <w:rFonts w:ascii="Calibri" w:eastAsia="Times New Roman" w:hAnsi="Calibri" w:cs="Times New Roman"/>
          <w:lang w:val="en-US" w:eastAsia="tr-TR"/>
        </w:rPr>
        <w:t xml:space="preserve"> </w:t>
      </w:r>
    </w:p>
    <w:p w:rsidR="00AC3112" w:rsidRPr="00AC3112" w:rsidRDefault="00AC3112" w:rsidP="00AC3112">
      <w:pPr>
        <w:widowControl w:val="0"/>
        <w:suppressAutoHyphens/>
        <w:spacing w:before="120" w:after="120" w:line="240" w:lineRule="auto"/>
        <w:ind w:left="567" w:hanging="567"/>
        <w:jc w:val="both"/>
        <w:rPr>
          <w:rFonts w:ascii="Calibri" w:eastAsia="Times New Roman" w:hAnsi="Calibri" w:cs="Times New Roman"/>
          <w:bCs/>
          <w:lang w:val="en-US" w:eastAsia="ar-SA"/>
        </w:rPr>
      </w:pPr>
      <w:proofErr w:type="spellStart"/>
      <w:r w:rsidRPr="00AC3112">
        <w:rPr>
          <w:rFonts w:ascii="Calibri" w:eastAsia="Times New Roman" w:hAnsi="Calibri" w:cs="Times New Roman"/>
          <w:bCs/>
          <w:lang w:val="en-US" w:eastAsia="ar-SA"/>
        </w:rPr>
        <w:t>E</w:t>
      </w:r>
      <w:r w:rsidRPr="00AC3112">
        <w:rPr>
          <w:rFonts w:ascii="Calibri" w:eastAsia="TimesNewRoman" w:hAnsi="Calibri" w:cs="Times New Roman"/>
          <w:bCs/>
          <w:lang w:val="en-US" w:eastAsia="ar-SA"/>
        </w:rPr>
        <w:t>ş</w:t>
      </w:r>
      <w:r w:rsidRPr="00AC3112">
        <w:rPr>
          <w:rFonts w:ascii="Calibri" w:eastAsia="Times New Roman" w:hAnsi="Calibri" w:cs="Times New Roman"/>
          <w:bCs/>
          <w:lang w:val="en-US" w:eastAsia="ar-SA"/>
        </w:rPr>
        <w:t>iyok</w:t>
      </w:r>
      <w:proofErr w:type="spellEnd"/>
      <w:r w:rsidRPr="00AC3112">
        <w:rPr>
          <w:rFonts w:ascii="Calibri" w:eastAsia="Times New Roman" w:hAnsi="Calibri" w:cs="Times New Roman"/>
          <w:bCs/>
          <w:lang w:val="en-US" w:eastAsia="ar-SA"/>
        </w:rPr>
        <w:t xml:space="preserve">, A. (2008) </w:t>
      </w:r>
      <w:proofErr w:type="spellStart"/>
      <w:r w:rsidRPr="00AC3112">
        <w:rPr>
          <w:rFonts w:ascii="Calibri" w:eastAsia="Times New Roman" w:hAnsi="Calibri" w:cs="Times New Roman"/>
          <w:bCs/>
          <w:lang w:val="en-US" w:eastAsia="ar-SA"/>
        </w:rPr>
        <w:t>Türkiye</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Ekonomisinde</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Üretimin</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ve</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NewRoman" w:hAnsi="Calibri" w:cs="Times New Roman"/>
          <w:bCs/>
          <w:lang w:val="en-US" w:eastAsia="ar-SA"/>
        </w:rPr>
        <w:t>İ</w:t>
      </w:r>
      <w:r w:rsidRPr="00AC3112">
        <w:rPr>
          <w:rFonts w:ascii="Calibri" w:eastAsia="Times New Roman" w:hAnsi="Calibri" w:cs="Times New Roman"/>
          <w:bCs/>
          <w:lang w:val="en-US" w:eastAsia="ar-SA"/>
        </w:rPr>
        <w:t>hracatın</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İthalata</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Ba</w:t>
      </w:r>
      <w:r w:rsidRPr="00AC3112">
        <w:rPr>
          <w:rFonts w:ascii="Calibri" w:eastAsia="TimesNewRoman" w:hAnsi="Calibri" w:cs="Times New Roman"/>
          <w:bCs/>
          <w:lang w:val="en-US" w:eastAsia="ar-SA"/>
        </w:rPr>
        <w:t>ğ</w:t>
      </w:r>
      <w:r w:rsidRPr="00AC3112">
        <w:rPr>
          <w:rFonts w:ascii="Calibri" w:eastAsia="Times New Roman" w:hAnsi="Calibri" w:cs="Times New Roman"/>
          <w:bCs/>
          <w:lang w:val="en-US" w:eastAsia="ar-SA"/>
        </w:rPr>
        <w:t>ımlılı</w:t>
      </w:r>
      <w:r w:rsidRPr="00AC3112">
        <w:rPr>
          <w:rFonts w:ascii="Calibri" w:eastAsia="TimesNewRoman" w:hAnsi="Calibri" w:cs="Times New Roman"/>
          <w:bCs/>
          <w:lang w:val="en-US" w:eastAsia="ar-SA"/>
        </w:rPr>
        <w:t>ğ</w:t>
      </w:r>
      <w:r w:rsidRPr="00AC3112">
        <w:rPr>
          <w:rFonts w:ascii="Calibri" w:eastAsia="Times New Roman" w:hAnsi="Calibri" w:cs="Times New Roman"/>
          <w:bCs/>
          <w:lang w:val="en-US" w:eastAsia="ar-SA"/>
        </w:rPr>
        <w:t>ı</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Dış</w:t>
      </w:r>
      <w:proofErr w:type="spellEnd"/>
      <w:r w:rsidRPr="00AC3112">
        <w:rPr>
          <w:rFonts w:ascii="Calibri" w:eastAsia="TimesNewRoman" w:hAnsi="Calibri" w:cs="Times New Roman"/>
          <w:bCs/>
          <w:lang w:val="en-US" w:eastAsia="ar-SA"/>
        </w:rPr>
        <w:t xml:space="preserve"> </w:t>
      </w:r>
      <w:proofErr w:type="spellStart"/>
      <w:r w:rsidRPr="00AC3112">
        <w:rPr>
          <w:rFonts w:ascii="Calibri" w:eastAsia="Times New Roman" w:hAnsi="Calibri" w:cs="Times New Roman"/>
          <w:bCs/>
          <w:lang w:val="en-US" w:eastAsia="ar-SA"/>
        </w:rPr>
        <w:t>Ticaretin</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Yapısı</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Girdi-Çıktı</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Modeline</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Dayalı</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Bir</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Analiz</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i/>
          <w:lang w:val="en-US" w:eastAsia="ar-SA"/>
        </w:rPr>
        <w:t>Uluslararası</w:t>
      </w:r>
      <w:proofErr w:type="spellEnd"/>
      <w:r w:rsidRPr="00AC3112">
        <w:rPr>
          <w:rFonts w:ascii="Calibri" w:eastAsia="Times New Roman" w:hAnsi="Calibri" w:cs="Times New Roman"/>
          <w:bCs/>
          <w:i/>
          <w:lang w:val="en-US" w:eastAsia="ar-SA"/>
        </w:rPr>
        <w:t xml:space="preserve"> </w:t>
      </w:r>
      <w:proofErr w:type="spellStart"/>
      <w:r w:rsidRPr="00AC3112">
        <w:rPr>
          <w:rFonts w:ascii="Calibri" w:eastAsia="Times New Roman" w:hAnsi="Calibri" w:cs="Times New Roman"/>
          <w:bCs/>
          <w:i/>
          <w:lang w:val="en-US" w:eastAsia="ar-SA"/>
        </w:rPr>
        <w:t>Ekonomi</w:t>
      </w:r>
      <w:proofErr w:type="spellEnd"/>
      <w:r w:rsidRPr="00AC3112">
        <w:rPr>
          <w:rFonts w:ascii="Calibri" w:eastAsia="Times New Roman" w:hAnsi="Calibri" w:cs="Times New Roman"/>
          <w:bCs/>
          <w:i/>
          <w:lang w:val="en-US" w:eastAsia="ar-SA"/>
        </w:rPr>
        <w:t xml:space="preserve"> </w:t>
      </w:r>
      <w:proofErr w:type="spellStart"/>
      <w:r w:rsidRPr="00AC3112">
        <w:rPr>
          <w:rFonts w:ascii="Calibri" w:eastAsia="Times New Roman" w:hAnsi="Calibri" w:cs="Times New Roman"/>
          <w:bCs/>
          <w:i/>
          <w:lang w:val="en-US" w:eastAsia="ar-SA"/>
        </w:rPr>
        <w:t>ve</w:t>
      </w:r>
      <w:proofErr w:type="spellEnd"/>
      <w:r w:rsidRPr="00AC3112">
        <w:rPr>
          <w:rFonts w:ascii="Calibri" w:eastAsia="Times New Roman" w:hAnsi="Calibri" w:cs="Times New Roman"/>
          <w:bCs/>
          <w:i/>
          <w:lang w:val="en-US" w:eastAsia="ar-SA"/>
        </w:rPr>
        <w:t xml:space="preserve"> </w:t>
      </w:r>
      <w:proofErr w:type="spellStart"/>
      <w:r w:rsidRPr="00AC3112">
        <w:rPr>
          <w:rFonts w:ascii="Calibri" w:eastAsia="Times New Roman" w:hAnsi="Calibri" w:cs="Times New Roman"/>
          <w:bCs/>
          <w:i/>
          <w:lang w:val="en-US" w:eastAsia="ar-SA"/>
        </w:rPr>
        <w:t>Dış</w:t>
      </w:r>
      <w:proofErr w:type="spellEnd"/>
      <w:r w:rsidRPr="00AC3112">
        <w:rPr>
          <w:rFonts w:ascii="Calibri" w:eastAsia="TimesNewRoman" w:hAnsi="Calibri" w:cs="Times New Roman"/>
          <w:bCs/>
          <w:i/>
          <w:lang w:val="en-US" w:eastAsia="ar-SA"/>
        </w:rPr>
        <w:t xml:space="preserve"> </w:t>
      </w:r>
      <w:proofErr w:type="spellStart"/>
      <w:r w:rsidRPr="00AC3112">
        <w:rPr>
          <w:rFonts w:ascii="Calibri" w:eastAsia="Times New Roman" w:hAnsi="Calibri" w:cs="Times New Roman"/>
          <w:bCs/>
          <w:i/>
          <w:lang w:val="en-US" w:eastAsia="ar-SA"/>
        </w:rPr>
        <w:t>Ticaret</w:t>
      </w:r>
      <w:proofErr w:type="spellEnd"/>
      <w:r w:rsidRPr="00AC3112">
        <w:rPr>
          <w:rFonts w:ascii="Calibri" w:eastAsia="Times New Roman" w:hAnsi="Calibri" w:cs="Times New Roman"/>
          <w:bCs/>
          <w:i/>
          <w:lang w:val="en-US" w:eastAsia="ar-SA"/>
        </w:rPr>
        <w:t xml:space="preserve"> </w:t>
      </w:r>
      <w:proofErr w:type="spellStart"/>
      <w:r w:rsidRPr="00AC3112">
        <w:rPr>
          <w:rFonts w:ascii="Calibri" w:eastAsia="Times New Roman" w:hAnsi="Calibri" w:cs="Times New Roman"/>
          <w:bCs/>
          <w:i/>
          <w:lang w:val="en-US" w:eastAsia="ar-SA"/>
        </w:rPr>
        <w:t>Politikaları</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Cilt</w:t>
      </w:r>
      <w:proofErr w:type="spellEnd"/>
      <w:r w:rsidRPr="00AC3112">
        <w:rPr>
          <w:rFonts w:ascii="Calibri" w:eastAsia="Times New Roman" w:hAnsi="Calibri" w:cs="Times New Roman"/>
          <w:bCs/>
          <w:lang w:val="en-US" w:eastAsia="ar-SA"/>
        </w:rPr>
        <w:t xml:space="preserve"> 3(1-2): 117-160.</w:t>
      </w:r>
      <w:r w:rsidRPr="00AC3112">
        <w:rPr>
          <w:rFonts w:ascii="Calibri" w:eastAsia="Times New Roman" w:hAnsi="Calibri" w:cs="Times New Roman"/>
          <w:lang w:val="en-US" w:eastAsia="tr-TR"/>
        </w:rPr>
        <w:t xml:space="preserve"> </w:t>
      </w:r>
    </w:p>
    <w:p w:rsidR="00AC3112" w:rsidRPr="00AC3112" w:rsidRDefault="00AC3112" w:rsidP="00AC3112">
      <w:pPr>
        <w:widowControl w:val="0"/>
        <w:suppressAutoHyphens/>
        <w:spacing w:before="120" w:after="120" w:line="240" w:lineRule="auto"/>
        <w:ind w:left="567" w:hanging="567"/>
        <w:jc w:val="both"/>
        <w:rPr>
          <w:rFonts w:ascii="Calibri" w:eastAsia="Times New Roman" w:hAnsi="Calibri" w:cs="Times New Roman"/>
          <w:bCs/>
          <w:lang w:val="en-US" w:eastAsia="ar-SA"/>
        </w:rPr>
      </w:pPr>
      <w:proofErr w:type="spellStart"/>
      <w:r w:rsidRPr="00AC3112">
        <w:rPr>
          <w:rFonts w:ascii="Calibri" w:eastAsia="Times New Roman" w:hAnsi="Calibri" w:cs="Times New Roman"/>
          <w:bCs/>
          <w:lang w:val="en-US" w:eastAsia="ar-SA"/>
        </w:rPr>
        <w:lastRenderedPageBreak/>
        <w:t>Ezzahid</w:t>
      </w:r>
      <w:proofErr w:type="spellEnd"/>
      <w:r w:rsidRPr="00AC3112">
        <w:rPr>
          <w:rFonts w:ascii="Calibri" w:eastAsia="Times New Roman" w:hAnsi="Calibri" w:cs="Times New Roman"/>
          <w:bCs/>
          <w:lang w:val="en-US" w:eastAsia="ar-SA"/>
        </w:rPr>
        <w:t xml:space="preserve">, E. and </w:t>
      </w:r>
      <w:proofErr w:type="spellStart"/>
      <w:r w:rsidRPr="00AC3112">
        <w:rPr>
          <w:rFonts w:ascii="Calibri" w:eastAsia="Times New Roman" w:hAnsi="Calibri" w:cs="Times New Roman"/>
          <w:bCs/>
          <w:lang w:val="en-US" w:eastAsia="ar-SA"/>
        </w:rPr>
        <w:t>Chatri</w:t>
      </w:r>
      <w:proofErr w:type="spellEnd"/>
      <w:r w:rsidRPr="00AC3112">
        <w:rPr>
          <w:rFonts w:ascii="Calibri" w:eastAsia="Times New Roman" w:hAnsi="Calibri" w:cs="Times New Roman"/>
          <w:bCs/>
          <w:lang w:val="en-US" w:eastAsia="ar-SA"/>
        </w:rPr>
        <w:t>, A. (2015) Imports Contents Value Added Generation and Structural Change in Morocco: Input Output Analysis. mpra.ub.uni-muenchen.de/63512.</w:t>
      </w:r>
    </w:p>
    <w:p w:rsidR="00AC3112" w:rsidRPr="00AC3112" w:rsidRDefault="00AC3112" w:rsidP="00AC3112">
      <w:pPr>
        <w:autoSpaceDE w:val="0"/>
        <w:autoSpaceDN w:val="0"/>
        <w:adjustRightInd w:val="0"/>
        <w:spacing w:before="120" w:after="120" w:line="240" w:lineRule="auto"/>
        <w:ind w:left="567" w:hanging="567"/>
        <w:jc w:val="both"/>
        <w:rPr>
          <w:rFonts w:ascii="Calibri" w:hAnsi="Calibri" w:cs="Times New Roman"/>
          <w:lang w:val="en-US"/>
        </w:rPr>
      </w:pPr>
      <w:proofErr w:type="spellStart"/>
      <w:r w:rsidRPr="00AC3112">
        <w:rPr>
          <w:rFonts w:ascii="Calibri" w:hAnsi="Calibri" w:cs="Times New Roman"/>
          <w:lang w:val="en-US"/>
        </w:rPr>
        <w:t>Knuuttila</w:t>
      </w:r>
      <w:proofErr w:type="spellEnd"/>
      <w:r w:rsidRPr="00AC3112">
        <w:rPr>
          <w:rFonts w:ascii="Calibri" w:hAnsi="Calibri" w:cs="Times New Roman"/>
          <w:lang w:val="en-US"/>
        </w:rPr>
        <w:t xml:space="preserve">, M., </w:t>
      </w:r>
      <w:proofErr w:type="spellStart"/>
      <w:r w:rsidRPr="00AC3112">
        <w:rPr>
          <w:rFonts w:ascii="Calibri" w:hAnsi="Calibri" w:cs="Times New Roman"/>
          <w:lang w:val="en-US"/>
        </w:rPr>
        <w:t>Vatanen</w:t>
      </w:r>
      <w:proofErr w:type="spellEnd"/>
      <w:r w:rsidRPr="00AC3112">
        <w:rPr>
          <w:rFonts w:ascii="Calibri" w:hAnsi="Calibri" w:cs="Times New Roman"/>
          <w:lang w:val="en-US"/>
        </w:rPr>
        <w:t xml:space="preserve">, E., Niemi1, J. and </w:t>
      </w:r>
      <w:proofErr w:type="spellStart"/>
      <w:r w:rsidRPr="00AC3112">
        <w:rPr>
          <w:rFonts w:ascii="Calibri" w:hAnsi="Calibri" w:cs="Times New Roman"/>
          <w:lang w:val="en-US"/>
        </w:rPr>
        <w:t>Csaba</w:t>
      </w:r>
      <w:proofErr w:type="spellEnd"/>
      <w:r w:rsidRPr="00AC3112">
        <w:rPr>
          <w:rFonts w:ascii="Calibri" w:hAnsi="Calibri" w:cs="Times New Roman"/>
          <w:lang w:val="en-US"/>
        </w:rPr>
        <w:t xml:space="preserve"> J. (2014) </w:t>
      </w:r>
      <w:r w:rsidRPr="00AC3112">
        <w:rPr>
          <w:rFonts w:ascii="Calibri" w:hAnsi="Calibri" w:cs="Times New Roman"/>
          <w:bCs/>
          <w:lang w:val="en-US"/>
        </w:rPr>
        <w:t>Import Dependency of Food Production.”</w:t>
      </w:r>
      <w:r w:rsidRPr="00AC3112">
        <w:rPr>
          <w:rFonts w:ascii="Calibri" w:hAnsi="Calibri" w:cs="Times New Roman"/>
          <w:lang w:val="en-US"/>
        </w:rPr>
        <w:t xml:space="preserve"> </w:t>
      </w:r>
      <w:r w:rsidRPr="00AC3112">
        <w:rPr>
          <w:rFonts w:ascii="Calibri" w:hAnsi="Calibri" w:cs="Times New Roman"/>
          <w:bCs/>
          <w:lang w:val="en-US"/>
        </w:rPr>
        <w:t>Poster paper prepared for presentation at the EAAE 2014 Congress ‘</w:t>
      </w:r>
      <w:proofErr w:type="spellStart"/>
      <w:r w:rsidRPr="00AC3112">
        <w:rPr>
          <w:rFonts w:ascii="Calibri" w:hAnsi="Calibri" w:cs="Times New Roman"/>
          <w:bCs/>
          <w:i/>
          <w:lang w:val="en-US"/>
        </w:rPr>
        <w:t>Agri</w:t>
      </w:r>
      <w:proofErr w:type="spellEnd"/>
      <w:r w:rsidRPr="00AC3112">
        <w:rPr>
          <w:rFonts w:ascii="Calibri" w:hAnsi="Calibri" w:cs="Times New Roman"/>
          <w:bCs/>
          <w:i/>
          <w:lang w:val="en-US"/>
        </w:rPr>
        <w:t>-Food and Rural Innovations for Healthier Societies’</w:t>
      </w:r>
      <w:r w:rsidRPr="00AC3112">
        <w:rPr>
          <w:rFonts w:ascii="Calibri" w:hAnsi="Calibri" w:cs="Times New Roman"/>
          <w:bCs/>
          <w:lang w:val="en-US"/>
        </w:rPr>
        <w:t xml:space="preserve"> </w:t>
      </w:r>
      <w:r w:rsidRPr="00AC3112">
        <w:rPr>
          <w:rFonts w:ascii="Calibri" w:hAnsi="Calibri" w:cs="Times New Roman"/>
          <w:lang w:val="en-US"/>
        </w:rPr>
        <w:t>August 26 to 29, 2014 Ljubljana, Slovenia.</w:t>
      </w:r>
    </w:p>
    <w:p w:rsidR="00AC3112" w:rsidRPr="00AC3112" w:rsidRDefault="00AC3112" w:rsidP="00AC3112">
      <w:pPr>
        <w:widowControl w:val="0"/>
        <w:suppressAutoHyphens/>
        <w:spacing w:before="120" w:after="120" w:line="240" w:lineRule="auto"/>
        <w:ind w:left="284" w:hanging="284"/>
        <w:jc w:val="both"/>
        <w:rPr>
          <w:rFonts w:ascii="Calibri" w:eastAsia="Times New Roman" w:hAnsi="Calibri" w:cs="Times New Roman"/>
          <w:bCs/>
          <w:lang w:val="en-US" w:eastAsia="ar-SA"/>
        </w:rPr>
      </w:pPr>
      <w:r w:rsidRPr="00AC3112">
        <w:rPr>
          <w:rFonts w:ascii="Calibri" w:eastAsia="Times New Roman" w:hAnsi="Calibri" w:cs="Times New Roman"/>
          <w:bCs/>
          <w:lang w:val="en-US" w:eastAsia="ar-SA"/>
        </w:rPr>
        <w:t xml:space="preserve">Leontief, W. (1966) </w:t>
      </w:r>
      <w:r w:rsidRPr="00AC3112">
        <w:rPr>
          <w:rFonts w:ascii="Calibri" w:eastAsia="Times New Roman" w:hAnsi="Calibri" w:cs="Times New Roman"/>
          <w:bCs/>
          <w:i/>
          <w:lang w:val="en-US" w:eastAsia="ar-SA"/>
        </w:rPr>
        <w:t>Input Output Economics</w:t>
      </w:r>
      <w:r w:rsidRPr="00AC3112">
        <w:rPr>
          <w:rFonts w:ascii="Calibri" w:eastAsia="Times New Roman" w:hAnsi="Calibri" w:cs="Times New Roman"/>
          <w:bCs/>
          <w:lang w:val="en-US" w:eastAsia="ar-SA"/>
        </w:rPr>
        <w:t>, 2nd. Ed., New York, Oxford University Pres.</w:t>
      </w:r>
    </w:p>
    <w:p w:rsidR="00AC3112" w:rsidRPr="00AC3112" w:rsidRDefault="00AC3112" w:rsidP="00AC3112">
      <w:pPr>
        <w:autoSpaceDE w:val="0"/>
        <w:autoSpaceDN w:val="0"/>
        <w:adjustRightInd w:val="0"/>
        <w:spacing w:before="120" w:after="120" w:line="240" w:lineRule="auto"/>
        <w:ind w:left="567" w:hanging="567"/>
        <w:jc w:val="both"/>
        <w:rPr>
          <w:rFonts w:ascii="Calibri" w:hAnsi="Calibri" w:cs="Times New Roman"/>
        </w:rPr>
      </w:pPr>
      <w:proofErr w:type="spellStart"/>
      <w:r w:rsidRPr="00AC3112">
        <w:rPr>
          <w:rFonts w:ascii="Calibri" w:hAnsi="Calibri" w:cs="Times New Roman"/>
        </w:rPr>
        <w:t>Loschky</w:t>
      </w:r>
      <w:proofErr w:type="spellEnd"/>
      <w:r w:rsidRPr="00AC3112">
        <w:rPr>
          <w:rFonts w:ascii="Calibri" w:hAnsi="Calibri" w:cs="Times New Roman"/>
        </w:rPr>
        <w:t xml:space="preserve">, A. </w:t>
      </w:r>
      <w:proofErr w:type="spellStart"/>
      <w:r w:rsidRPr="00AC3112">
        <w:rPr>
          <w:rFonts w:ascii="Calibri" w:hAnsi="Calibri" w:cs="Times New Roman"/>
        </w:rPr>
        <w:t>and</w:t>
      </w:r>
      <w:proofErr w:type="spellEnd"/>
      <w:r w:rsidRPr="00AC3112">
        <w:rPr>
          <w:rFonts w:ascii="Calibri" w:hAnsi="Calibri" w:cs="Times New Roman"/>
        </w:rPr>
        <w:t xml:space="preserve"> </w:t>
      </w:r>
      <w:proofErr w:type="spellStart"/>
      <w:r w:rsidRPr="00AC3112">
        <w:rPr>
          <w:rFonts w:ascii="Calibri" w:hAnsi="Calibri" w:cs="Times New Roman"/>
        </w:rPr>
        <w:t>Ritter</w:t>
      </w:r>
      <w:proofErr w:type="spellEnd"/>
      <w:r w:rsidRPr="00AC3112">
        <w:rPr>
          <w:rFonts w:ascii="Calibri" w:hAnsi="Calibri" w:cs="Times New Roman"/>
        </w:rPr>
        <w:t xml:space="preserve">, L. (2007) </w:t>
      </w:r>
      <w:proofErr w:type="spellStart"/>
      <w:r w:rsidRPr="00AC3112">
        <w:rPr>
          <w:rFonts w:ascii="Calibri" w:hAnsi="Calibri" w:cs="Times New Roman"/>
        </w:rPr>
        <w:t>Import</w:t>
      </w:r>
      <w:proofErr w:type="spellEnd"/>
      <w:r w:rsidRPr="00AC3112">
        <w:rPr>
          <w:rFonts w:ascii="Calibri" w:hAnsi="Calibri" w:cs="Times New Roman"/>
        </w:rPr>
        <w:t xml:space="preserve"> Content of </w:t>
      </w:r>
      <w:proofErr w:type="spellStart"/>
      <w:r w:rsidRPr="00AC3112">
        <w:rPr>
          <w:rFonts w:ascii="Calibri" w:hAnsi="Calibri" w:cs="Times New Roman"/>
        </w:rPr>
        <w:t>Exports</w:t>
      </w:r>
      <w:proofErr w:type="spellEnd"/>
      <w:r w:rsidRPr="00AC3112">
        <w:rPr>
          <w:rFonts w:ascii="Calibri" w:hAnsi="Calibri" w:cs="Times New Roman"/>
        </w:rPr>
        <w:t xml:space="preserve">. </w:t>
      </w:r>
      <w:proofErr w:type="spellStart"/>
      <w:r w:rsidRPr="00AC3112">
        <w:rPr>
          <w:rFonts w:ascii="Calibri" w:hAnsi="Calibri" w:cs="Times New Roman"/>
          <w:i/>
        </w:rPr>
        <w:t>The</w:t>
      </w:r>
      <w:proofErr w:type="spellEnd"/>
      <w:r w:rsidRPr="00AC3112">
        <w:rPr>
          <w:rFonts w:ascii="Calibri" w:hAnsi="Calibri" w:cs="Times New Roman"/>
          <w:i/>
        </w:rPr>
        <w:t xml:space="preserve"> 16th International Conference on </w:t>
      </w:r>
      <w:proofErr w:type="spellStart"/>
      <w:r w:rsidRPr="00AC3112">
        <w:rPr>
          <w:rFonts w:ascii="Calibri" w:hAnsi="Calibri" w:cs="Times New Roman"/>
          <w:i/>
        </w:rPr>
        <w:t>Input-Output</w:t>
      </w:r>
      <w:proofErr w:type="spellEnd"/>
      <w:r w:rsidRPr="00AC3112">
        <w:rPr>
          <w:rFonts w:ascii="Calibri" w:hAnsi="Calibri" w:cs="Times New Roman"/>
          <w:i/>
        </w:rPr>
        <w:t xml:space="preserve"> </w:t>
      </w:r>
      <w:proofErr w:type="spellStart"/>
      <w:r w:rsidRPr="00AC3112">
        <w:rPr>
          <w:rFonts w:ascii="Calibri" w:hAnsi="Calibri" w:cs="Times New Roman"/>
          <w:i/>
        </w:rPr>
        <w:t>Techniques</w:t>
      </w:r>
      <w:proofErr w:type="spellEnd"/>
      <w:r w:rsidRPr="00AC3112">
        <w:rPr>
          <w:rFonts w:ascii="Calibri" w:hAnsi="Calibri" w:cs="Times New Roman"/>
          <w:i/>
        </w:rPr>
        <w:t>.</w:t>
      </w:r>
      <w:r w:rsidRPr="00AC3112">
        <w:rPr>
          <w:rFonts w:ascii="Calibri" w:hAnsi="Calibri" w:cs="Times New Roman"/>
        </w:rPr>
        <w:t xml:space="preserve"> </w:t>
      </w:r>
      <w:proofErr w:type="spellStart"/>
      <w:r w:rsidRPr="00AC3112">
        <w:rPr>
          <w:rFonts w:ascii="Calibri" w:hAnsi="Calibri" w:cs="Times New Roman"/>
        </w:rPr>
        <w:t>Istanbul</w:t>
      </w:r>
      <w:proofErr w:type="spellEnd"/>
      <w:r w:rsidRPr="00AC3112">
        <w:rPr>
          <w:rFonts w:ascii="Calibri" w:hAnsi="Calibri" w:cs="Times New Roman"/>
        </w:rPr>
        <w:t xml:space="preserve">, </w:t>
      </w:r>
      <w:proofErr w:type="spellStart"/>
      <w:r w:rsidRPr="00AC3112">
        <w:rPr>
          <w:rFonts w:ascii="Calibri" w:hAnsi="Calibri" w:cs="Times New Roman"/>
        </w:rPr>
        <w:t>Turkey</w:t>
      </w:r>
      <w:proofErr w:type="spellEnd"/>
      <w:r w:rsidRPr="00AC3112">
        <w:rPr>
          <w:rFonts w:ascii="Calibri" w:hAnsi="Calibri" w:cs="Times New Roman"/>
        </w:rPr>
        <w:t xml:space="preserve">. 26 </w:t>
      </w:r>
      <w:proofErr w:type="spellStart"/>
      <w:r w:rsidRPr="00AC3112">
        <w:rPr>
          <w:rFonts w:ascii="Calibri" w:hAnsi="Calibri" w:cs="Times New Roman"/>
        </w:rPr>
        <w:t>July</w:t>
      </w:r>
      <w:proofErr w:type="spellEnd"/>
      <w:r w:rsidRPr="00AC3112">
        <w:rPr>
          <w:rFonts w:ascii="Calibri" w:hAnsi="Calibri" w:cs="Times New Roman"/>
        </w:rPr>
        <w:t>, 2007.</w:t>
      </w:r>
    </w:p>
    <w:p w:rsidR="00AC3112" w:rsidRPr="00AC3112" w:rsidRDefault="00AC3112" w:rsidP="00AC3112">
      <w:pPr>
        <w:autoSpaceDE w:val="0"/>
        <w:autoSpaceDN w:val="0"/>
        <w:adjustRightInd w:val="0"/>
        <w:spacing w:before="120" w:after="120" w:line="240" w:lineRule="auto"/>
        <w:ind w:left="567" w:hanging="567"/>
        <w:jc w:val="both"/>
        <w:rPr>
          <w:rFonts w:ascii="Calibri" w:hAnsi="Calibri" w:cs="Times New Roman"/>
          <w:lang w:val="en-US"/>
        </w:rPr>
      </w:pPr>
      <w:r w:rsidRPr="00AC3112">
        <w:rPr>
          <w:rFonts w:ascii="Calibri" w:hAnsi="Calibri" w:cs="Times New Roman"/>
          <w:lang w:val="en-US"/>
        </w:rPr>
        <w:t xml:space="preserve">Marshall, K. G. (2011) </w:t>
      </w:r>
      <w:proofErr w:type="gramStart"/>
      <w:r w:rsidRPr="00AC3112">
        <w:rPr>
          <w:rFonts w:ascii="Calibri" w:hAnsi="Calibri" w:cs="Times New Roman"/>
          <w:lang w:val="en-US"/>
        </w:rPr>
        <w:t>The</w:t>
      </w:r>
      <w:proofErr w:type="gramEnd"/>
      <w:r w:rsidRPr="00AC3112">
        <w:rPr>
          <w:rFonts w:ascii="Calibri" w:hAnsi="Calibri" w:cs="Times New Roman"/>
          <w:lang w:val="en-US"/>
        </w:rPr>
        <w:t xml:space="preserve"> Factor Content of Chinese Trade. </w:t>
      </w:r>
      <w:r w:rsidRPr="00AC3112">
        <w:rPr>
          <w:rFonts w:ascii="Calibri" w:hAnsi="Calibri" w:cs="Times New Roman"/>
          <w:i/>
          <w:lang w:val="en-US"/>
        </w:rPr>
        <w:t>The Journal of International Trade &amp; Economic Development: An International and Comparative Review</w:t>
      </w:r>
      <w:r w:rsidRPr="00AC3112">
        <w:rPr>
          <w:rFonts w:ascii="Calibri" w:hAnsi="Calibri" w:cs="Times New Roman"/>
          <w:lang w:val="en-US"/>
        </w:rPr>
        <w:t>, 20 (6): 769-787.</w:t>
      </w:r>
    </w:p>
    <w:p w:rsidR="00AC3112" w:rsidRPr="00AC3112" w:rsidRDefault="00AC3112" w:rsidP="00AC3112">
      <w:pPr>
        <w:widowControl w:val="0"/>
        <w:suppressAutoHyphens/>
        <w:spacing w:before="120" w:after="120" w:line="240" w:lineRule="auto"/>
        <w:ind w:left="567" w:hanging="567"/>
        <w:jc w:val="both"/>
        <w:rPr>
          <w:rFonts w:ascii="Calibri" w:eastAsia="Times New Roman" w:hAnsi="Calibri" w:cs="Times New Roman"/>
          <w:bCs/>
          <w:lang w:val="en-US" w:eastAsia="ar-SA"/>
        </w:rPr>
      </w:pPr>
      <w:r w:rsidRPr="00AC3112">
        <w:rPr>
          <w:rFonts w:ascii="Calibri" w:eastAsia="Times New Roman" w:hAnsi="Calibri" w:cs="Times New Roman"/>
          <w:bCs/>
          <w:lang w:val="en-US" w:eastAsia="ar-SA"/>
        </w:rPr>
        <w:t xml:space="preserve">Milner, C., </w:t>
      </w:r>
      <w:proofErr w:type="spellStart"/>
      <w:r w:rsidRPr="00AC3112">
        <w:rPr>
          <w:rFonts w:ascii="Calibri" w:eastAsia="Times New Roman" w:hAnsi="Calibri" w:cs="Times New Roman"/>
          <w:bCs/>
          <w:lang w:val="en-US" w:eastAsia="ar-SA"/>
        </w:rPr>
        <w:t>Meng</w:t>
      </w:r>
      <w:proofErr w:type="spellEnd"/>
      <w:r w:rsidRPr="00AC3112">
        <w:rPr>
          <w:rFonts w:ascii="Calibri" w:eastAsia="Times New Roman" w:hAnsi="Calibri" w:cs="Times New Roman"/>
          <w:bCs/>
          <w:lang w:val="en-US" w:eastAsia="ar-SA"/>
        </w:rPr>
        <w:t xml:space="preserve">, L. and </w:t>
      </w:r>
      <w:proofErr w:type="spellStart"/>
      <w:r w:rsidRPr="00AC3112">
        <w:rPr>
          <w:rFonts w:ascii="Calibri" w:eastAsia="Times New Roman" w:hAnsi="Calibri" w:cs="Times New Roman"/>
          <w:bCs/>
          <w:lang w:val="en-US" w:eastAsia="ar-SA"/>
        </w:rPr>
        <w:t>Zhihong</w:t>
      </w:r>
      <w:proofErr w:type="spellEnd"/>
      <w:r w:rsidRPr="00AC3112">
        <w:rPr>
          <w:rFonts w:ascii="Calibri" w:eastAsia="Times New Roman" w:hAnsi="Calibri" w:cs="Times New Roman"/>
          <w:bCs/>
          <w:lang w:val="en-US" w:eastAsia="ar-SA"/>
        </w:rPr>
        <w:t xml:space="preserve">, Y. (2010) On the Economic Content of Factor Content: with Application to China's Trade. </w:t>
      </w:r>
      <w:r w:rsidRPr="00AC3112">
        <w:rPr>
          <w:rFonts w:ascii="Calibri" w:eastAsia="Times New Roman" w:hAnsi="Calibri" w:cs="Times New Roman"/>
          <w:bCs/>
          <w:i/>
          <w:lang w:val="en-US" w:eastAsia="ar-SA"/>
        </w:rPr>
        <w:t>Asia-Pacific Journal of Accounting &amp; Economics</w:t>
      </w:r>
      <w:r w:rsidRPr="00AC3112">
        <w:rPr>
          <w:rFonts w:ascii="Calibri" w:eastAsia="Times New Roman" w:hAnsi="Calibri" w:cs="Times New Roman"/>
          <w:bCs/>
          <w:lang w:val="en-US" w:eastAsia="ar-SA"/>
        </w:rPr>
        <w:t>, 17:3, 217-233.</w:t>
      </w:r>
    </w:p>
    <w:p w:rsidR="00AC3112" w:rsidRPr="00AC3112" w:rsidRDefault="00AC3112" w:rsidP="00AC3112">
      <w:pPr>
        <w:widowControl w:val="0"/>
        <w:suppressAutoHyphens/>
        <w:spacing w:before="120" w:after="120" w:line="240" w:lineRule="auto"/>
        <w:ind w:left="567" w:hanging="567"/>
        <w:jc w:val="both"/>
        <w:rPr>
          <w:rFonts w:ascii="Calibri" w:eastAsia="Times New Roman" w:hAnsi="Calibri" w:cs="Times New Roman"/>
          <w:bCs/>
          <w:lang w:val="en-US" w:eastAsia="ar-SA"/>
        </w:rPr>
      </w:pPr>
      <w:r w:rsidRPr="00AC3112">
        <w:rPr>
          <w:rFonts w:ascii="Calibri" w:eastAsia="Times New Roman" w:hAnsi="Calibri" w:cs="Times New Roman"/>
          <w:bCs/>
          <w:lang w:val="en-US" w:eastAsia="ar-SA"/>
        </w:rPr>
        <w:t xml:space="preserve">Miller, R.E. and Blair, P.D. (2009) </w:t>
      </w:r>
      <w:r w:rsidRPr="00AC3112">
        <w:rPr>
          <w:rFonts w:ascii="Calibri" w:eastAsia="Times New Roman" w:hAnsi="Calibri" w:cs="Times New Roman"/>
          <w:bCs/>
          <w:i/>
          <w:iCs/>
          <w:lang w:val="en-US" w:eastAsia="ar-SA"/>
        </w:rPr>
        <w:t>Input–Output Analysis: Foundations and Extensions</w:t>
      </w:r>
      <w:r w:rsidRPr="00AC3112">
        <w:rPr>
          <w:rFonts w:ascii="Calibri" w:eastAsia="Times New Roman" w:hAnsi="Calibri" w:cs="Times New Roman"/>
          <w:bCs/>
          <w:lang w:val="en-US" w:eastAsia="ar-SA"/>
        </w:rPr>
        <w:t>. 2nd ed. Cambridge, Cambridge University Press.</w:t>
      </w:r>
    </w:p>
    <w:p w:rsidR="00AC3112" w:rsidRPr="00AC3112" w:rsidRDefault="00AC3112" w:rsidP="00AC3112">
      <w:pPr>
        <w:widowControl w:val="0"/>
        <w:suppressAutoHyphens/>
        <w:spacing w:before="120" w:after="120" w:line="240" w:lineRule="auto"/>
        <w:ind w:left="567" w:hanging="567"/>
        <w:jc w:val="both"/>
        <w:rPr>
          <w:rFonts w:ascii="Calibri" w:eastAsia="Times New Roman" w:hAnsi="Calibri" w:cs="Times New Roman"/>
          <w:bCs/>
          <w:lang w:val="en-US" w:eastAsia="ar-SA"/>
        </w:rPr>
      </w:pPr>
      <w:proofErr w:type="spellStart"/>
      <w:r w:rsidRPr="00AC3112">
        <w:rPr>
          <w:rFonts w:ascii="Calibri" w:eastAsia="Times New Roman" w:hAnsi="Calibri" w:cs="Times New Roman"/>
          <w:bCs/>
          <w:lang w:eastAsia="ar-SA"/>
        </w:rPr>
        <w:t>Östblom</w:t>
      </w:r>
      <w:proofErr w:type="spellEnd"/>
      <w:r w:rsidRPr="00AC3112">
        <w:rPr>
          <w:rFonts w:ascii="Calibri" w:eastAsia="Times New Roman" w:hAnsi="Calibri" w:cs="Times New Roman"/>
          <w:bCs/>
          <w:lang w:eastAsia="ar-SA"/>
        </w:rPr>
        <w:t xml:space="preserve">, G. (1989) Productivity </w:t>
      </w:r>
      <w:proofErr w:type="spellStart"/>
      <w:r w:rsidRPr="00AC3112">
        <w:rPr>
          <w:rFonts w:ascii="Calibri" w:eastAsia="Times New Roman" w:hAnsi="Calibri" w:cs="Times New Roman"/>
          <w:bCs/>
          <w:lang w:eastAsia="ar-SA"/>
        </w:rPr>
        <w:t>Changes</w:t>
      </w:r>
      <w:proofErr w:type="spellEnd"/>
      <w:r w:rsidRPr="00AC3112">
        <w:rPr>
          <w:rFonts w:ascii="Calibri" w:eastAsia="Times New Roman" w:hAnsi="Calibri" w:cs="Times New Roman"/>
          <w:bCs/>
          <w:lang w:eastAsia="ar-SA"/>
        </w:rPr>
        <w:t xml:space="preserve"> </w:t>
      </w:r>
      <w:proofErr w:type="spellStart"/>
      <w:r w:rsidRPr="00AC3112">
        <w:rPr>
          <w:rFonts w:ascii="Calibri" w:eastAsia="Times New Roman" w:hAnsi="Calibri" w:cs="Times New Roman"/>
          <w:bCs/>
          <w:lang w:eastAsia="ar-SA"/>
        </w:rPr>
        <w:t>and</w:t>
      </w:r>
      <w:proofErr w:type="spellEnd"/>
      <w:r w:rsidRPr="00AC3112">
        <w:rPr>
          <w:rFonts w:ascii="Calibri" w:eastAsia="Times New Roman" w:hAnsi="Calibri" w:cs="Times New Roman"/>
          <w:bCs/>
          <w:lang w:eastAsia="ar-SA"/>
        </w:rPr>
        <w:t xml:space="preserve"> </w:t>
      </w:r>
      <w:proofErr w:type="spellStart"/>
      <w:r w:rsidRPr="00AC3112">
        <w:rPr>
          <w:rFonts w:ascii="Calibri" w:eastAsia="Times New Roman" w:hAnsi="Calibri" w:cs="Times New Roman"/>
          <w:bCs/>
          <w:lang w:eastAsia="ar-SA"/>
        </w:rPr>
        <w:t>Changes</w:t>
      </w:r>
      <w:proofErr w:type="spellEnd"/>
      <w:r w:rsidRPr="00AC3112">
        <w:rPr>
          <w:rFonts w:ascii="Calibri" w:eastAsia="Times New Roman" w:hAnsi="Calibri" w:cs="Times New Roman"/>
          <w:bCs/>
          <w:lang w:eastAsia="ar-SA"/>
        </w:rPr>
        <w:t xml:space="preserve"> in </w:t>
      </w:r>
      <w:proofErr w:type="spellStart"/>
      <w:r w:rsidRPr="00AC3112">
        <w:rPr>
          <w:rFonts w:ascii="Calibri" w:eastAsia="Times New Roman" w:hAnsi="Calibri" w:cs="Times New Roman"/>
          <w:bCs/>
          <w:lang w:eastAsia="ar-SA"/>
        </w:rPr>
        <w:t>the</w:t>
      </w:r>
      <w:proofErr w:type="spellEnd"/>
      <w:r w:rsidRPr="00AC3112">
        <w:rPr>
          <w:rFonts w:ascii="Calibri" w:eastAsia="Times New Roman" w:hAnsi="Calibri" w:cs="Times New Roman"/>
          <w:bCs/>
          <w:lang w:eastAsia="ar-SA"/>
        </w:rPr>
        <w:t xml:space="preserve"> </w:t>
      </w:r>
      <w:proofErr w:type="spellStart"/>
      <w:r w:rsidRPr="00AC3112">
        <w:rPr>
          <w:rFonts w:ascii="Calibri" w:eastAsia="Times New Roman" w:hAnsi="Calibri" w:cs="Times New Roman"/>
          <w:bCs/>
          <w:lang w:eastAsia="ar-SA"/>
        </w:rPr>
        <w:t>Requirements</w:t>
      </w:r>
      <w:proofErr w:type="spellEnd"/>
      <w:r w:rsidRPr="00AC3112">
        <w:rPr>
          <w:rFonts w:ascii="Calibri" w:eastAsia="Times New Roman" w:hAnsi="Calibri" w:cs="Times New Roman"/>
          <w:bCs/>
          <w:lang w:eastAsia="ar-SA"/>
        </w:rPr>
        <w:t xml:space="preserve"> of </w:t>
      </w:r>
      <w:proofErr w:type="spellStart"/>
      <w:r w:rsidRPr="00AC3112">
        <w:rPr>
          <w:rFonts w:ascii="Calibri" w:eastAsia="Times New Roman" w:hAnsi="Calibri" w:cs="Times New Roman"/>
          <w:bCs/>
          <w:lang w:eastAsia="ar-SA"/>
        </w:rPr>
        <w:t>Imports</w:t>
      </w:r>
      <w:proofErr w:type="spellEnd"/>
      <w:r w:rsidRPr="00AC3112">
        <w:rPr>
          <w:rFonts w:ascii="Calibri" w:eastAsia="Times New Roman" w:hAnsi="Calibri" w:cs="Times New Roman"/>
          <w:bCs/>
          <w:lang w:eastAsia="ar-SA"/>
        </w:rPr>
        <w:t xml:space="preserve"> in </w:t>
      </w:r>
      <w:proofErr w:type="spellStart"/>
      <w:r w:rsidRPr="00AC3112">
        <w:rPr>
          <w:rFonts w:ascii="Calibri" w:eastAsia="Times New Roman" w:hAnsi="Calibri" w:cs="Times New Roman"/>
          <w:bCs/>
          <w:lang w:eastAsia="ar-SA"/>
        </w:rPr>
        <w:t>the</w:t>
      </w:r>
      <w:proofErr w:type="spellEnd"/>
      <w:r w:rsidRPr="00AC3112">
        <w:rPr>
          <w:rFonts w:ascii="Calibri" w:eastAsia="Times New Roman" w:hAnsi="Calibri" w:cs="Times New Roman"/>
          <w:bCs/>
          <w:lang w:eastAsia="ar-SA"/>
        </w:rPr>
        <w:t xml:space="preserve"> </w:t>
      </w:r>
      <w:proofErr w:type="spellStart"/>
      <w:r w:rsidRPr="00AC3112">
        <w:rPr>
          <w:rFonts w:ascii="Calibri" w:eastAsia="Times New Roman" w:hAnsi="Calibri" w:cs="Times New Roman"/>
          <w:bCs/>
          <w:lang w:eastAsia="ar-SA"/>
        </w:rPr>
        <w:t>Swedish</w:t>
      </w:r>
      <w:proofErr w:type="spellEnd"/>
      <w:r w:rsidRPr="00AC3112">
        <w:rPr>
          <w:rFonts w:ascii="Calibri" w:eastAsia="Times New Roman" w:hAnsi="Calibri" w:cs="Times New Roman"/>
          <w:bCs/>
          <w:lang w:eastAsia="ar-SA"/>
        </w:rPr>
        <w:t xml:space="preserve"> </w:t>
      </w:r>
      <w:proofErr w:type="spellStart"/>
      <w:r w:rsidRPr="00AC3112">
        <w:rPr>
          <w:rFonts w:ascii="Calibri" w:eastAsia="Times New Roman" w:hAnsi="Calibri" w:cs="Times New Roman"/>
          <w:bCs/>
          <w:lang w:eastAsia="ar-SA"/>
        </w:rPr>
        <w:t>Economy</w:t>
      </w:r>
      <w:proofErr w:type="spellEnd"/>
      <w:r w:rsidRPr="00AC3112">
        <w:rPr>
          <w:rFonts w:ascii="Calibri" w:eastAsia="Times New Roman" w:hAnsi="Calibri" w:cs="Times New Roman"/>
          <w:bCs/>
          <w:lang w:eastAsia="ar-SA"/>
        </w:rPr>
        <w:t xml:space="preserve"> 1957–1980: an </w:t>
      </w:r>
      <w:proofErr w:type="spellStart"/>
      <w:r w:rsidRPr="00AC3112">
        <w:rPr>
          <w:rFonts w:ascii="Calibri" w:eastAsia="Times New Roman" w:hAnsi="Calibri" w:cs="Times New Roman"/>
          <w:bCs/>
          <w:lang w:eastAsia="ar-SA"/>
        </w:rPr>
        <w:t>Input</w:t>
      </w:r>
      <w:proofErr w:type="spellEnd"/>
      <w:r w:rsidRPr="00AC3112">
        <w:rPr>
          <w:rFonts w:ascii="Calibri" w:eastAsia="Times New Roman" w:hAnsi="Calibri" w:cs="Times New Roman"/>
          <w:bCs/>
          <w:lang w:eastAsia="ar-SA"/>
        </w:rPr>
        <w:t>–</w:t>
      </w:r>
      <w:proofErr w:type="spellStart"/>
      <w:r w:rsidRPr="00AC3112">
        <w:rPr>
          <w:rFonts w:ascii="Calibri" w:eastAsia="Times New Roman" w:hAnsi="Calibri" w:cs="Times New Roman"/>
          <w:bCs/>
          <w:lang w:eastAsia="ar-SA"/>
        </w:rPr>
        <w:t>Output</w:t>
      </w:r>
      <w:proofErr w:type="spellEnd"/>
      <w:r w:rsidRPr="00AC3112">
        <w:rPr>
          <w:rFonts w:ascii="Calibri" w:eastAsia="Times New Roman" w:hAnsi="Calibri" w:cs="Times New Roman"/>
          <w:bCs/>
          <w:lang w:eastAsia="ar-SA"/>
        </w:rPr>
        <w:t xml:space="preserve"> </w:t>
      </w:r>
      <w:proofErr w:type="spellStart"/>
      <w:r w:rsidRPr="00AC3112">
        <w:rPr>
          <w:rFonts w:ascii="Calibri" w:eastAsia="Times New Roman" w:hAnsi="Calibri" w:cs="Times New Roman"/>
          <w:bCs/>
          <w:lang w:eastAsia="ar-SA"/>
        </w:rPr>
        <w:t>Study</w:t>
      </w:r>
      <w:proofErr w:type="spellEnd"/>
      <w:r w:rsidRPr="00AC3112">
        <w:rPr>
          <w:rFonts w:ascii="Calibri" w:eastAsia="Times New Roman" w:hAnsi="Calibri" w:cs="Times New Roman"/>
          <w:bCs/>
          <w:lang w:eastAsia="ar-SA"/>
        </w:rPr>
        <w:t xml:space="preserve">. </w:t>
      </w:r>
      <w:proofErr w:type="spellStart"/>
      <w:r w:rsidRPr="00AC3112">
        <w:rPr>
          <w:rFonts w:ascii="Calibri" w:eastAsia="Times New Roman" w:hAnsi="Calibri" w:cs="Times New Roman"/>
          <w:bCs/>
          <w:i/>
          <w:lang w:eastAsia="ar-SA"/>
        </w:rPr>
        <w:t>Economic</w:t>
      </w:r>
      <w:proofErr w:type="spellEnd"/>
      <w:r w:rsidRPr="00AC3112">
        <w:rPr>
          <w:rFonts w:ascii="Calibri" w:eastAsia="Times New Roman" w:hAnsi="Calibri" w:cs="Times New Roman"/>
          <w:bCs/>
          <w:i/>
          <w:lang w:eastAsia="ar-SA"/>
        </w:rPr>
        <w:t xml:space="preserve"> </w:t>
      </w:r>
      <w:proofErr w:type="spellStart"/>
      <w:r w:rsidRPr="00AC3112">
        <w:rPr>
          <w:rFonts w:ascii="Calibri" w:eastAsia="Times New Roman" w:hAnsi="Calibri" w:cs="Times New Roman"/>
          <w:bCs/>
          <w:i/>
          <w:lang w:eastAsia="ar-SA"/>
        </w:rPr>
        <w:t>Systems</w:t>
      </w:r>
      <w:proofErr w:type="spellEnd"/>
      <w:r w:rsidRPr="00AC3112">
        <w:rPr>
          <w:rFonts w:ascii="Calibri" w:eastAsia="Times New Roman" w:hAnsi="Calibri" w:cs="Times New Roman"/>
          <w:bCs/>
          <w:i/>
          <w:lang w:eastAsia="ar-SA"/>
        </w:rPr>
        <w:t xml:space="preserve"> </w:t>
      </w:r>
      <w:proofErr w:type="spellStart"/>
      <w:r w:rsidRPr="00AC3112">
        <w:rPr>
          <w:rFonts w:ascii="Calibri" w:eastAsia="Times New Roman" w:hAnsi="Calibri" w:cs="Times New Roman"/>
          <w:bCs/>
          <w:i/>
          <w:lang w:eastAsia="ar-SA"/>
        </w:rPr>
        <w:t>Research</w:t>
      </w:r>
      <w:proofErr w:type="spellEnd"/>
      <w:r w:rsidRPr="00AC3112">
        <w:rPr>
          <w:rFonts w:ascii="Calibri" w:eastAsia="Times New Roman" w:hAnsi="Calibri" w:cs="Times New Roman"/>
          <w:bCs/>
          <w:lang w:eastAsia="ar-SA"/>
        </w:rPr>
        <w:t>, 1(1): 97-110.</w:t>
      </w:r>
    </w:p>
    <w:p w:rsidR="00AC3112" w:rsidRPr="00AC3112" w:rsidRDefault="00AC3112" w:rsidP="00AC3112">
      <w:pPr>
        <w:widowControl w:val="0"/>
        <w:suppressAutoHyphens/>
        <w:spacing w:before="120" w:after="120" w:line="240" w:lineRule="auto"/>
        <w:ind w:left="567" w:hanging="567"/>
        <w:jc w:val="both"/>
        <w:rPr>
          <w:rFonts w:ascii="Calibri" w:eastAsia="Times New Roman" w:hAnsi="Calibri" w:cs="Times New Roman"/>
          <w:bCs/>
          <w:lang w:val="en-US" w:eastAsia="ar-SA"/>
        </w:rPr>
      </w:pPr>
      <w:proofErr w:type="spellStart"/>
      <w:r w:rsidRPr="00AC3112">
        <w:rPr>
          <w:rFonts w:ascii="Calibri" w:eastAsia="Times New Roman" w:hAnsi="Calibri" w:cs="Times New Roman"/>
          <w:bCs/>
          <w:lang w:val="en-US" w:eastAsia="ar-SA"/>
        </w:rPr>
        <w:t>Özdil</w:t>
      </w:r>
      <w:proofErr w:type="spellEnd"/>
      <w:r w:rsidRPr="00AC3112">
        <w:rPr>
          <w:rFonts w:ascii="Calibri" w:eastAsia="Times New Roman" w:hAnsi="Calibri" w:cs="Times New Roman"/>
          <w:bCs/>
          <w:lang w:val="en-US" w:eastAsia="ar-SA"/>
        </w:rPr>
        <w:t xml:space="preserve">, T., </w:t>
      </w:r>
      <w:proofErr w:type="spellStart"/>
      <w:r w:rsidRPr="00AC3112">
        <w:rPr>
          <w:rFonts w:ascii="Calibri" w:eastAsia="Times New Roman" w:hAnsi="Calibri" w:cs="Times New Roman"/>
          <w:bCs/>
          <w:lang w:val="en-US" w:eastAsia="ar-SA"/>
        </w:rPr>
        <w:t>Turdalieva</w:t>
      </w:r>
      <w:proofErr w:type="spellEnd"/>
      <w:r w:rsidRPr="00AC3112">
        <w:rPr>
          <w:rFonts w:ascii="Calibri" w:eastAsia="Times New Roman" w:hAnsi="Calibri" w:cs="Times New Roman"/>
          <w:bCs/>
          <w:lang w:val="en-US" w:eastAsia="ar-SA"/>
        </w:rPr>
        <w:t xml:space="preserve">, A. and </w:t>
      </w:r>
      <w:proofErr w:type="spellStart"/>
      <w:r w:rsidRPr="00AC3112">
        <w:rPr>
          <w:rFonts w:ascii="Calibri" w:eastAsia="Times New Roman" w:hAnsi="Calibri" w:cs="Times New Roman"/>
          <w:bCs/>
          <w:lang w:val="en-US" w:eastAsia="ar-SA"/>
        </w:rPr>
        <w:t>Oskonbaeva</w:t>
      </w:r>
      <w:proofErr w:type="spellEnd"/>
      <w:r w:rsidRPr="00AC3112">
        <w:rPr>
          <w:rFonts w:ascii="Calibri" w:eastAsia="Times New Roman" w:hAnsi="Calibri" w:cs="Times New Roman"/>
          <w:bCs/>
          <w:lang w:val="en-US" w:eastAsia="ar-SA"/>
        </w:rPr>
        <w:t xml:space="preserve">, Z. (2011) </w:t>
      </w:r>
      <w:proofErr w:type="spellStart"/>
      <w:r w:rsidRPr="00AC3112">
        <w:rPr>
          <w:rFonts w:ascii="Calibri" w:eastAsia="Times New Roman" w:hAnsi="Calibri" w:cs="Times New Roman"/>
          <w:bCs/>
          <w:lang w:val="en-US" w:eastAsia="ar-SA"/>
        </w:rPr>
        <w:t>Girdi-Çıktı</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Analizi</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Yaklaşımıyla</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Kazakistan</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Ekonomisinin</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Dışa</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Bağımlılığının</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İncelenmesi</w:t>
      </w:r>
      <w:proofErr w:type="spellEnd"/>
      <w:r w:rsidRPr="00AC3112">
        <w:rPr>
          <w:rFonts w:ascii="Calibri" w:eastAsia="Times New Roman" w:hAnsi="Calibri" w:cs="Times New Roman"/>
          <w:bCs/>
          <w:lang w:val="en-US" w:eastAsia="ar-SA"/>
        </w:rPr>
        <w:t xml:space="preserve"> (2006-2009).  </w:t>
      </w:r>
      <w:r w:rsidRPr="00AC3112">
        <w:rPr>
          <w:rFonts w:ascii="Calibri" w:eastAsia="Times New Roman" w:hAnsi="Calibri" w:cs="Times New Roman"/>
          <w:bCs/>
          <w:i/>
          <w:lang w:val="en-US" w:eastAsia="ar-SA"/>
        </w:rPr>
        <w:t>International Conference on Eurasian Economies</w:t>
      </w:r>
      <w:r w:rsidRPr="00AC3112">
        <w:rPr>
          <w:rFonts w:ascii="Calibri" w:eastAsia="Times New Roman" w:hAnsi="Calibri" w:cs="Times New Roman"/>
          <w:bCs/>
          <w:lang w:val="en-US" w:eastAsia="ar-SA"/>
        </w:rPr>
        <w:t>.</w:t>
      </w:r>
    </w:p>
    <w:p w:rsidR="00AC3112" w:rsidRPr="00AC3112" w:rsidRDefault="00AC3112" w:rsidP="00AC3112">
      <w:pPr>
        <w:autoSpaceDE w:val="0"/>
        <w:autoSpaceDN w:val="0"/>
        <w:adjustRightInd w:val="0"/>
        <w:spacing w:before="120" w:after="120" w:line="240" w:lineRule="auto"/>
        <w:ind w:left="567" w:hanging="567"/>
        <w:jc w:val="both"/>
        <w:rPr>
          <w:rFonts w:ascii="Calibri" w:hAnsi="Calibri" w:cs="Times New Roman"/>
          <w:bCs/>
          <w:lang w:val="en-US"/>
        </w:rPr>
      </w:pPr>
      <w:r w:rsidRPr="00AC3112">
        <w:rPr>
          <w:rFonts w:ascii="Calibri" w:hAnsi="Calibri" w:cs="Times New Roman"/>
          <w:bCs/>
          <w:lang w:val="en-US"/>
        </w:rPr>
        <w:t xml:space="preserve">Paul, M. (2014) Import Intensıty and Its Impaction Exports, Output and Employment, </w:t>
      </w:r>
      <w:r w:rsidRPr="00AC3112">
        <w:rPr>
          <w:rFonts w:ascii="Calibri" w:hAnsi="Calibri" w:cs="Times New Roman"/>
          <w:bCs/>
          <w:i/>
          <w:lang w:val="en-US"/>
        </w:rPr>
        <w:t>Working Paper,</w:t>
      </w:r>
      <w:r w:rsidRPr="00AC3112">
        <w:rPr>
          <w:rFonts w:ascii="Calibri" w:hAnsi="Calibri" w:cs="Times New Roman"/>
          <w:bCs/>
          <w:lang w:val="en-US"/>
        </w:rPr>
        <w:t xml:space="preserve"> No: 167. </w:t>
      </w:r>
    </w:p>
    <w:p w:rsidR="00AC3112" w:rsidRPr="00AC3112" w:rsidRDefault="00AC3112" w:rsidP="00AC3112">
      <w:pPr>
        <w:widowControl w:val="0"/>
        <w:suppressAutoHyphens/>
        <w:spacing w:before="120" w:after="120" w:line="240" w:lineRule="auto"/>
        <w:ind w:left="567" w:hanging="567"/>
        <w:jc w:val="both"/>
        <w:rPr>
          <w:rFonts w:ascii="Calibri" w:eastAsia="Times New Roman" w:hAnsi="Calibri" w:cs="Times New Roman"/>
          <w:bCs/>
          <w:lang w:val="en-US" w:eastAsia="ar-SA"/>
        </w:rPr>
      </w:pPr>
      <w:r w:rsidRPr="00AC3112">
        <w:rPr>
          <w:rFonts w:ascii="Calibri" w:eastAsia="Times New Roman" w:hAnsi="Calibri" w:cs="Times New Roman"/>
          <w:bCs/>
          <w:lang w:val="en-US" w:eastAsia="ar-SA"/>
        </w:rPr>
        <w:t xml:space="preserve">Reis, H. and </w:t>
      </w:r>
      <w:proofErr w:type="spellStart"/>
      <w:r w:rsidRPr="00AC3112">
        <w:rPr>
          <w:rFonts w:ascii="Calibri" w:eastAsia="Times New Roman" w:hAnsi="Calibri" w:cs="Times New Roman"/>
          <w:bCs/>
          <w:lang w:val="en-US" w:eastAsia="ar-SA"/>
        </w:rPr>
        <w:t>Rua</w:t>
      </w:r>
      <w:proofErr w:type="spellEnd"/>
      <w:r w:rsidRPr="00AC3112">
        <w:rPr>
          <w:rFonts w:ascii="Calibri" w:eastAsia="Times New Roman" w:hAnsi="Calibri" w:cs="Times New Roman"/>
          <w:bCs/>
          <w:lang w:val="en-US" w:eastAsia="ar-SA"/>
        </w:rPr>
        <w:t xml:space="preserve">, A. (2006) An Input-Output Analysis: Linkages vs leakages. </w:t>
      </w:r>
      <w:proofErr w:type="spellStart"/>
      <w:r w:rsidRPr="00AC3112">
        <w:rPr>
          <w:rFonts w:ascii="Calibri" w:eastAsia="Times New Roman" w:hAnsi="Calibri" w:cs="Times New Roman"/>
          <w:bCs/>
          <w:lang w:val="en-US" w:eastAsia="ar-SA"/>
        </w:rPr>
        <w:t>Estudos</w:t>
      </w:r>
      <w:proofErr w:type="spellEnd"/>
      <w:r w:rsidRPr="00AC3112">
        <w:rPr>
          <w:rFonts w:ascii="Calibri" w:eastAsia="Times New Roman" w:hAnsi="Calibri" w:cs="Times New Roman"/>
          <w:bCs/>
          <w:lang w:val="en-US" w:eastAsia="ar-SA"/>
        </w:rPr>
        <w:t xml:space="preserve"> e </w:t>
      </w:r>
      <w:proofErr w:type="spellStart"/>
      <w:r w:rsidRPr="00AC3112">
        <w:rPr>
          <w:rFonts w:ascii="Calibri" w:eastAsia="Times New Roman" w:hAnsi="Calibri" w:cs="Times New Roman"/>
          <w:bCs/>
          <w:lang w:val="en-US" w:eastAsia="ar-SA"/>
        </w:rPr>
        <w:t>Documentos</w:t>
      </w:r>
      <w:proofErr w:type="spellEnd"/>
      <w:r w:rsidRPr="00AC3112">
        <w:rPr>
          <w:rFonts w:ascii="Calibri" w:eastAsia="Times New Roman" w:hAnsi="Calibri" w:cs="Times New Roman"/>
          <w:bCs/>
          <w:lang w:val="en-US" w:eastAsia="ar-SA"/>
        </w:rPr>
        <w:t xml:space="preserve"> de </w:t>
      </w:r>
      <w:proofErr w:type="spellStart"/>
      <w:r w:rsidRPr="00AC3112">
        <w:rPr>
          <w:rFonts w:ascii="Calibri" w:eastAsia="Times New Roman" w:hAnsi="Calibri" w:cs="Times New Roman"/>
          <w:bCs/>
          <w:lang w:val="en-US" w:eastAsia="ar-SA"/>
        </w:rPr>
        <w:t>Trabalho</w:t>
      </w:r>
      <w:proofErr w:type="spellEnd"/>
      <w:r w:rsidRPr="00AC3112">
        <w:rPr>
          <w:rFonts w:ascii="Calibri" w:eastAsia="Times New Roman" w:hAnsi="Calibri" w:cs="Times New Roman"/>
          <w:bCs/>
          <w:lang w:val="en-US" w:eastAsia="ar-SA"/>
        </w:rPr>
        <w:t xml:space="preserve">, </w:t>
      </w:r>
      <w:r w:rsidRPr="00AC3112">
        <w:rPr>
          <w:rFonts w:ascii="Calibri" w:eastAsia="Times New Roman" w:hAnsi="Calibri" w:cs="Times New Roman"/>
          <w:bCs/>
          <w:i/>
          <w:lang w:val="en-US" w:eastAsia="ar-SA"/>
        </w:rPr>
        <w:t>Working Papers</w:t>
      </w:r>
      <w:r w:rsidRPr="00AC3112">
        <w:rPr>
          <w:rFonts w:ascii="Calibri" w:eastAsia="Times New Roman" w:hAnsi="Calibri" w:cs="Times New Roman"/>
          <w:bCs/>
          <w:lang w:val="en-US" w:eastAsia="ar-SA"/>
        </w:rPr>
        <w:t xml:space="preserve"> 17/2006, Banco de Portugal.</w:t>
      </w:r>
    </w:p>
    <w:p w:rsidR="00AC3112" w:rsidRPr="00AC3112" w:rsidRDefault="00AC3112" w:rsidP="00AC3112">
      <w:pPr>
        <w:widowControl w:val="0"/>
        <w:suppressAutoHyphens/>
        <w:spacing w:before="120" w:after="120" w:line="240" w:lineRule="auto"/>
        <w:ind w:left="567" w:hanging="567"/>
        <w:jc w:val="both"/>
        <w:rPr>
          <w:rFonts w:ascii="Calibri" w:eastAsia="Times New Roman" w:hAnsi="Calibri" w:cs="Times New Roman"/>
          <w:bCs/>
          <w:lang w:val="en-US" w:eastAsia="ar-SA"/>
        </w:rPr>
      </w:pPr>
      <w:proofErr w:type="spellStart"/>
      <w:r w:rsidRPr="00AC3112">
        <w:rPr>
          <w:rFonts w:ascii="Calibri" w:eastAsia="Times New Roman" w:hAnsi="Calibri" w:cs="Times New Roman"/>
          <w:bCs/>
          <w:lang w:val="en-US" w:eastAsia="ar-SA"/>
        </w:rPr>
        <w:t>Saygılı</w:t>
      </w:r>
      <w:proofErr w:type="spellEnd"/>
      <w:r w:rsidRPr="00AC3112">
        <w:rPr>
          <w:rFonts w:ascii="Calibri" w:eastAsia="Times New Roman" w:hAnsi="Calibri" w:cs="Times New Roman"/>
          <w:bCs/>
          <w:lang w:val="en-US" w:eastAsia="ar-SA"/>
        </w:rPr>
        <w:t xml:space="preserve">, Ş., </w:t>
      </w:r>
      <w:proofErr w:type="spellStart"/>
      <w:r w:rsidRPr="00AC3112">
        <w:rPr>
          <w:rFonts w:ascii="Calibri" w:eastAsia="Times New Roman" w:hAnsi="Calibri" w:cs="Times New Roman"/>
          <w:bCs/>
          <w:lang w:val="en-US" w:eastAsia="ar-SA"/>
        </w:rPr>
        <w:t>Cihan</w:t>
      </w:r>
      <w:proofErr w:type="spellEnd"/>
      <w:r w:rsidRPr="00AC3112">
        <w:rPr>
          <w:rFonts w:ascii="Calibri" w:eastAsia="Times New Roman" w:hAnsi="Calibri" w:cs="Times New Roman"/>
          <w:bCs/>
          <w:lang w:val="en-US" w:eastAsia="ar-SA"/>
        </w:rPr>
        <w:t xml:space="preserve">, C., </w:t>
      </w:r>
      <w:proofErr w:type="spellStart"/>
      <w:r w:rsidRPr="00AC3112">
        <w:rPr>
          <w:rFonts w:ascii="Calibri" w:eastAsia="Times New Roman" w:hAnsi="Calibri" w:cs="Times New Roman"/>
          <w:bCs/>
          <w:lang w:val="en-US" w:eastAsia="ar-SA"/>
        </w:rPr>
        <w:t>Yalçın</w:t>
      </w:r>
      <w:proofErr w:type="spellEnd"/>
      <w:r w:rsidRPr="00AC3112">
        <w:rPr>
          <w:rFonts w:ascii="Calibri" w:eastAsia="Times New Roman" w:hAnsi="Calibri" w:cs="Times New Roman"/>
          <w:bCs/>
          <w:lang w:val="en-US" w:eastAsia="ar-SA"/>
        </w:rPr>
        <w:t xml:space="preserve">, C. and </w:t>
      </w:r>
      <w:proofErr w:type="spellStart"/>
      <w:r w:rsidRPr="00AC3112">
        <w:rPr>
          <w:rFonts w:ascii="Calibri" w:eastAsia="Times New Roman" w:hAnsi="Calibri" w:cs="Times New Roman"/>
          <w:bCs/>
          <w:lang w:val="en-US" w:eastAsia="ar-SA"/>
        </w:rPr>
        <w:t>Hamsici</w:t>
      </w:r>
      <w:proofErr w:type="spellEnd"/>
      <w:r w:rsidRPr="00AC3112">
        <w:rPr>
          <w:rFonts w:ascii="Calibri" w:eastAsia="Times New Roman" w:hAnsi="Calibri" w:cs="Times New Roman"/>
          <w:bCs/>
          <w:lang w:val="en-US" w:eastAsia="ar-SA"/>
        </w:rPr>
        <w:t xml:space="preserve">, T. (2010) </w:t>
      </w:r>
      <w:proofErr w:type="spellStart"/>
      <w:r w:rsidRPr="00AC3112">
        <w:rPr>
          <w:rFonts w:ascii="Calibri" w:eastAsia="Times New Roman" w:hAnsi="Calibri" w:cs="Times New Roman"/>
          <w:bCs/>
          <w:lang w:val="en-US" w:eastAsia="ar-SA"/>
        </w:rPr>
        <w:t>Türkiye</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ve</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İmalat</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Sanayinin</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İthalat</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Yapısı</w:t>
      </w:r>
      <w:proofErr w:type="spellEnd"/>
      <w:r w:rsidRPr="00AC3112">
        <w:rPr>
          <w:rFonts w:ascii="Calibri" w:eastAsia="Times New Roman" w:hAnsi="Calibri" w:cs="Times New Roman"/>
          <w:bCs/>
          <w:lang w:val="en-US" w:eastAsia="ar-SA"/>
        </w:rPr>
        <w:t xml:space="preserve">. </w:t>
      </w:r>
      <w:r w:rsidRPr="00AC3112">
        <w:rPr>
          <w:rFonts w:ascii="Calibri" w:eastAsia="Times New Roman" w:hAnsi="Calibri" w:cs="Times New Roman"/>
          <w:bCs/>
          <w:i/>
          <w:lang w:val="en-US" w:eastAsia="ar-SA"/>
        </w:rPr>
        <w:t xml:space="preserve">TCMB </w:t>
      </w:r>
      <w:proofErr w:type="spellStart"/>
      <w:r w:rsidRPr="00AC3112">
        <w:rPr>
          <w:rFonts w:ascii="Calibri" w:eastAsia="Times New Roman" w:hAnsi="Calibri" w:cs="Times New Roman"/>
          <w:bCs/>
          <w:i/>
          <w:lang w:val="en-US" w:eastAsia="ar-SA"/>
        </w:rPr>
        <w:t>Çalışma</w:t>
      </w:r>
      <w:proofErr w:type="spellEnd"/>
      <w:r w:rsidRPr="00AC3112">
        <w:rPr>
          <w:rFonts w:ascii="Calibri" w:eastAsia="Times New Roman" w:hAnsi="Calibri" w:cs="Times New Roman"/>
          <w:bCs/>
          <w:i/>
          <w:lang w:val="en-US" w:eastAsia="ar-SA"/>
        </w:rPr>
        <w:t xml:space="preserve"> </w:t>
      </w:r>
      <w:proofErr w:type="spellStart"/>
      <w:r w:rsidRPr="00AC3112">
        <w:rPr>
          <w:rFonts w:ascii="Calibri" w:eastAsia="Times New Roman" w:hAnsi="Calibri" w:cs="Times New Roman"/>
          <w:bCs/>
          <w:i/>
          <w:lang w:val="en-US" w:eastAsia="ar-SA"/>
        </w:rPr>
        <w:t>Tebliği</w:t>
      </w:r>
      <w:proofErr w:type="spellEnd"/>
      <w:r w:rsidRPr="00AC3112">
        <w:rPr>
          <w:rFonts w:ascii="Calibri" w:eastAsia="Times New Roman" w:hAnsi="Calibri" w:cs="Times New Roman"/>
          <w:bCs/>
          <w:lang w:val="en-US" w:eastAsia="ar-SA"/>
        </w:rPr>
        <w:t xml:space="preserve"> No: 10/02.</w:t>
      </w:r>
      <w:r w:rsidRPr="00AC3112">
        <w:rPr>
          <w:rFonts w:ascii="Calibri" w:eastAsia="Times New Roman" w:hAnsi="Calibri" w:cs="Times New Roman"/>
          <w:lang w:val="en-US" w:eastAsia="tr-TR"/>
        </w:rPr>
        <w:t xml:space="preserve"> </w:t>
      </w:r>
    </w:p>
    <w:p w:rsidR="00AC3112" w:rsidRPr="00AC3112" w:rsidRDefault="00AC3112" w:rsidP="00AC3112">
      <w:pPr>
        <w:widowControl w:val="0"/>
        <w:suppressAutoHyphens/>
        <w:spacing w:before="120" w:after="120" w:line="240" w:lineRule="auto"/>
        <w:ind w:left="567" w:hanging="567"/>
        <w:jc w:val="both"/>
        <w:rPr>
          <w:rFonts w:ascii="Calibri" w:eastAsia="Times New Roman" w:hAnsi="Calibri" w:cs="Times New Roman"/>
          <w:bCs/>
          <w:lang w:val="en-US" w:eastAsia="ar-SA"/>
        </w:rPr>
      </w:pPr>
      <w:proofErr w:type="spellStart"/>
      <w:r w:rsidRPr="00AC3112">
        <w:rPr>
          <w:rFonts w:ascii="Calibri" w:eastAsia="Times New Roman" w:hAnsi="Calibri" w:cs="Times New Roman"/>
          <w:bCs/>
          <w:lang w:val="en-US" w:eastAsia="ar-SA"/>
        </w:rPr>
        <w:t>Saygılı</w:t>
      </w:r>
      <w:proofErr w:type="spellEnd"/>
      <w:r w:rsidRPr="00AC3112">
        <w:rPr>
          <w:rFonts w:ascii="Calibri" w:eastAsia="Times New Roman" w:hAnsi="Calibri" w:cs="Times New Roman"/>
          <w:bCs/>
          <w:lang w:val="en-US" w:eastAsia="ar-SA"/>
        </w:rPr>
        <w:t xml:space="preserve">, Ş., </w:t>
      </w:r>
      <w:proofErr w:type="spellStart"/>
      <w:r w:rsidRPr="00AC3112">
        <w:rPr>
          <w:rFonts w:ascii="Calibri" w:eastAsia="Times New Roman" w:hAnsi="Calibri" w:cs="Times New Roman"/>
          <w:bCs/>
          <w:lang w:val="en-US" w:eastAsia="ar-SA"/>
        </w:rPr>
        <w:t>Cihan</w:t>
      </w:r>
      <w:proofErr w:type="spellEnd"/>
      <w:r w:rsidRPr="00AC3112">
        <w:rPr>
          <w:rFonts w:ascii="Calibri" w:eastAsia="Times New Roman" w:hAnsi="Calibri" w:cs="Times New Roman"/>
          <w:bCs/>
          <w:lang w:val="en-US" w:eastAsia="ar-SA"/>
        </w:rPr>
        <w:t xml:space="preserve">, C., </w:t>
      </w:r>
      <w:proofErr w:type="spellStart"/>
      <w:r w:rsidRPr="00AC3112">
        <w:rPr>
          <w:rFonts w:ascii="Calibri" w:eastAsia="Times New Roman" w:hAnsi="Calibri" w:cs="Times New Roman"/>
          <w:bCs/>
          <w:lang w:val="en-US" w:eastAsia="ar-SA"/>
        </w:rPr>
        <w:t>Yalçın</w:t>
      </w:r>
      <w:proofErr w:type="spellEnd"/>
      <w:r w:rsidRPr="00AC3112">
        <w:rPr>
          <w:rFonts w:ascii="Calibri" w:eastAsia="Times New Roman" w:hAnsi="Calibri" w:cs="Times New Roman"/>
          <w:bCs/>
          <w:lang w:val="en-US" w:eastAsia="ar-SA"/>
        </w:rPr>
        <w:t xml:space="preserve">, C. and </w:t>
      </w:r>
      <w:proofErr w:type="spellStart"/>
      <w:r w:rsidRPr="00AC3112">
        <w:rPr>
          <w:rFonts w:ascii="Calibri" w:eastAsia="Times New Roman" w:hAnsi="Calibri" w:cs="Times New Roman"/>
          <w:bCs/>
          <w:lang w:val="en-US" w:eastAsia="ar-SA"/>
        </w:rPr>
        <w:t>Hamsici</w:t>
      </w:r>
      <w:proofErr w:type="spellEnd"/>
      <w:r w:rsidRPr="00AC3112">
        <w:rPr>
          <w:rFonts w:ascii="Calibri" w:eastAsia="Times New Roman" w:hAnsi="Calibri" w:cs="Times New Roman"/>
          <w:bCs/>
          <w:lang w:val="en-US" w:eastAsia="ar-SA"/>
        </w:rPr>
        <w:t xml:space="preserve">, T. (2010) </w:t>
      </w:r>
      <w:proofErr w:type="spellStart"/>
      <w:r w:rsidRPr="00AC3112">
        <w:rPr>
          <w:rFonts w:ascii="Calibri" w:eastAsia="Times New Roman" w:hAnsi="Calibri" w:cs="Times New Roman"/>
          <w:bCs/>
          <w:lang w:val="en-US" w:eastAsia="ar-SA"/>
        </w:rPr>
        <w:t>Türkiye</w:t>
      </w:r>
      <w:proofErr w:type="spellEnd"/>
      <w:r w:rsidRPr="00AC3112">
        <w:rPr>
          <w:rFonts w:ascii="Calibri" w:eastAsia="Times New Roman" w:hAnsi="Calibri" w:cs="Times New Roman"/>
          <w:bCs/>
          <w:lang w:val="en-US" w:eastAsia="ar-SA"/>
        </w:rPr>
        <w:t> </w:t>
      </w:r>
      <w:proofErr w:type="spellStart"/>
      <w:r w:rsidRPr="00AC3112">
        <w:rPr>
          <w:rFonts w:ascii="Calibri" w:eastAsia="Times New Roman" w:hAnsi="Calibri" w:cs="Times New Roman"/>
          <w:bCs/>
          <w:lang w:val="en-US" w:eastAsia="ar-SA"/>
        </w:rPr>
        <w:t>İmalat</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Sanayin</w:t>
      </w:r>
      <w:proofErr w:type="spellEnd"/>
      <w:r w:rsidRPr="00AC3112">
        <w:rPr>
          <w:rFonts w:ascii="Calibri" w:eastAsia="Times New Roman" w:hAnsi="Calibri" w:cs="Times New Roman"/>
          <w:bCs/>
          <w:lang w:val="en-US" w:eastAsia="ar-SA"/>
        </w:rPr>
        <w:t> </w:t>
      </w:r>
      <w:proofErr w:type="spellStart"/>
      <w:r w:rsidRPr="00AC3112">
        <w:rPr>
          <w:rFonts w:ascii="Calibri" w:eastAsia="Times New Roman" w:hAnsi="Calibri" w:cs="Times New Roman"/>
          <w:bCs/>
          <w:lang w:val="en-US" w:eastAsia="ar-SA"/>
        </w:rPr>
        <w:t>İthalat</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Yapısı</w:t>
      </w:r>
      <w:proofErr w:type="spellEnd"/>
      <w:r w:rsidRPr="00AC3112">
        <w:rPr>
          <w:rFonts w:ascii="Calibri" w:eastAsia="Times New Roman" w:hAnsi="Calibri" w:cs="Times New Roman"/>
          <w:bCs/>
          <w:lang w:val="en-US" w:eastAsia="ar-SA"/>
        </w:rPr>
        <w:t>. (</w:t>
      </w:r>
      <w:proofErr w:type="spellStart"/>
      <w:r w:rsidRPr="00AC3112">
        <w:rPr>
          <w:rFonts w:ascii="Calibri" w:eastAsia="Times New Roman" w:hAnsi="Calibri" w:cs="Times New Roman"/>
          <w:bCs/>
          <w:lang w:val="en-US" w:eastAsia="ar-SA"/>
        </w:rPr>
        <w:t>Taslak</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Rapor</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Özeti</w:t>
      </w:r>
      <w:proofErr w:type="spellEnd"/>
      <w:r w:rsidRPr="00AC3112">
        <w:rPr>
          <w:rFonts w:ascii="Calibri" w:eastAsia="Times New Roman" w:hAnsi="Calibri" w:cs="Times New Roman"/>
          <w:bCs/>
          <w:lang w:val="en-US" w:eastAsia="ar-SA"/>
        </w:rPr>
        <w:t xml:space="preserve">), Ankara, </w:t>
      </w:r>
      <w:proofErr w:type="spellStart"/>
      <w:r w:rsidRPr="00AC3112">
        <w:rPr>
          <w:rFonts w:ascii="Calibri" w:eastAsia="Times New Roman" w:hAnsi="Calibri" w:cs="Times New Roman"/>
          <w:bCs/>
          <w:lang w:val="en-US" w:eastAsia="ar-SA"/>
        </w:rPr>
        <w:t>Türkiye</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Cumhuriyet</w:t>
      </w:r>
      <w:proofErr w:type="spellEnd"/>
      <w:r w:rsidRPr="00AC3112">
        <w:rPr>
          <w:rFonts w:ascii="Calibri" w:eastAsia="Times New Roman" w:hAnsi="Calibri" w:cs="Times New Roman"/>
          <w:bCs/>
          <w:lang w:val="en-US" w:eastAsia="ar-SA"/>
        </w:rPr>
        <w:t> </w:t>
      </w:r>
      <w:proofErr w:type="spellStart"/>
      <w:r w:rsidRPr="00AC3112">
        <w:rPr>
          <w:rFonts w:ascii="Calibri" w:eastAsia="Times New Roman" w:hAnsi="Calibri" w:cs="Times New Roman"/>
          <w:bCs/>
          <w:lang w:val="en-US" w:eastAsia="ar-SA"/>
        </w:rPr>
        <w:t>Merkez</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Bankası</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Araştırma</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ve</w:t>
      </w:r>
      <w:proofErr w:type="spellEnd"/>
      <w:r w:rsidRPr="00AC3112">
        <w:rPr>
          <w:rFonts w:ascii="Calibri" w:eastAsia="Times New Roman" w:hAnsi="Calibri" w:cs="Times New Roman"/>
          <w:bCs/>
          <w:lang w:val="en-US" w:eastAsia="ar-SA"/>
        </w:rPr>
        <w:t xml:space="preserve"> Para </w:t>
      </w:r>
      <w:proofErr w:type="spellStart"/>
      <w:r w:rsidRPr="00AC3112">
        <w:rPr>
          <w:rFonts w:ascii="Calibri" w:eastAsia="Times New Roman" w:hAnsi="Calibri" w:cs="Times New Roman"/>
          <w:bCs/>
          <w:lang w:val="en-US" w:eastAsia="ar-SA"/>
        </w:rPr>
        <w:t>Politikası</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Genel</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Müdürlüğü</w:t>
      </w:r>
      <w:proofErr w:type="spellEnd"/>
      <w:r w:rsidRPr="00AC3112">
        <w:rPr>
          <w:rFonts w:ascii="Calibri" w:eastAsia="Times New Roman" w:hAnsi="Calibri" w:cs="Times New Roman"/>
          <w:bCs/>
          <w:lang w:val="en-US" w:eastAsia="ar-SA"/>
        </w:rPr>
        <w:t>.</w:t>
      </w:r>
      <w:r w:rsidRPr="00AC3112">
        <w:rPr>
          <w:rFonts w:ascii="Calibri" w:eastAsia="Times New Roman" w:hAnsi="Calibri" w:cs="Times New Roman"/>
          <w:lang w:val="en-US" w:eastAsia="tr-TR"/>
        </w:rPr>
        <w:t xml:space="preserve"> </w:t>
      </w:r>
    </w:p>
    <w:p w:rsidR="00AC3112" w:rsidRPr="00AC3112" w:rsidRDefault="00AC3112" w:rsidP="00AC3112">
      <w:pPr>
        <w:widowControl w:val="0"/>
        <w:suppressAutoHyphens/>
        <w:spacing w:before="120" w:after="120" w:line="240" w:lineRule="auto"/>
        <w:ind w:left="567" w:hanging="567"/>
        <w:jc w:val="both"/>
        <w:rPr>
          <w:rFonts w:ascii="Calibri" w:eastAsia="Times New Roman" w:hAnsi="Calibri" w:cs="Times New Roman"/>
          <w:bCs/>
          <w:lang w:val="en-US" w:eastAsia="ar-SA"/>
        </w:rPr>
      </w:pPr>
      <w:proofErr w:type="spellStart"/>
      <w:r w:rsidRPr="00AC3112">
        <w:rPr>
          <w:rFonts w:ascii="Calibri" w:eastAsia="Times New Roman" w:hAnsi="Calibri" w:cs="Times New Roman"/>
          <w:bCs/>
          <w:lang w:val="en-US" w:eastAsia="ar-SA"/>
        </w:rPr>
        <w:t>Saygılı</w:t>
      </w:r>
      <w:proofErr w:type="spellEnd"/>
      <w:r w:rsidRPr="00AC3112">
        <w:rPr>
          <w:rFonts w:ascii="Calibri" w:eastAsia="Times New Roman" w:hAnsi="Calibri" w:cs="Times New Roman"/>
          <w:bCs/>
          <w:lang w:val="en-US" w:eastAsia="ar-SA"/>
        </w:rPr>
        <w:t xml:space="preserve">, H. and </w:t>
      </w:r>
      <w:proofErr w:type="spellStart"/>
      <w:r w:rsidRPr="00AC3112">
        <w:rPr>
          <w:rFonts w:ascii="Calibri" w:eastAsia="Times New Roman" w:hAnsi="Calibri" w:cs="Times New Roman"/>
          <w:bCs/>
          <w:lang w:val="en-US" w:eastAsia="ar-SA"/>
        </w:rPr>
        <w:t>Saygılı</w:t>
      </w:r>
      <w:proofErr w:type="spellEnd"/>
      <w:r w:rsidRPr="00AC3112">
        <w:rPr>
          <w:rFonts w:ascii="Calibri" w:eastAsia="Times New Roman" w:hAnsi="Calibri" w:cs="Times New Roman"/>
          <w:bCs/>
          <w:lang w:val="en-US" w:eastAsia="ar-SA"/>
        </w:rPr>
        <w:t xml:space="preserve">, M. (2011) Structural Changes in Exports of an Emerging Economy: Case of Turkey. </w:t>
      </w:r>
      <w:r w:rsidRPr="00AC3112">
        <w:rPr>
          <w:rFonts w:ascii="Calibri" w:eastAsia="Times New Roman" w:hAnsi="Calibri" w:cs="Times New Roman"/>
          <w:bCs/>
          <w:i/>
          <w:lang w:val="en-US" w:eastAsia="ar-SA"/>
        </w:rPr>
        <w:t>Structural Change and Economic Dynamics.</w:t>
      </w:r>
      <w:r w:rsidRPr="00AC3112">
        <w:rPr>
          <w:rFonts w:ascii="Calibri" w:eastAsia="Times New Roman" w:hAnsi="Calibri" w:cs="Times New Roman"/>
          <w:bCs/>
          <w:lang w:val="en-US" w:eastAsia="ar-SA"/>
        </w:rPr>
        <w:t xml:space="preserve"> 22, 342– 360.</w:t>
      </w:r>
    </w:p>
    <w:p w:rsidR="00AC3112" w:rsidRPr="00AC3112" w:rsidRDefault="00AC3112" w:rsidP="00AC3112">
      <w:pPr>
        <w:autoSpaceDE w:val="0"/>
        <w:autoSpaceDN w:val="0"/>
        <w:adjustRightInd w:val="0"/>
        <w:spacing w:before="120" w:after="120" w:line="240" w:lineRule="auto"/>
        <w:ind w:left="567" w:hanging="567"/>
        <w:jc w:val="both"/>
        <w:rPr>
          <w:rFonts w:ascii="Calibri" w:hAnsi="Calibri" w:cs="Times New Roman"/>
        </w:rPr>
      </w:pPr>
      <w:r w:rsidRPr="00AC3112">
        <w:rPr>
          <w:rFonts w:ascii="Calibri" w:hAnsi="Calibri" w:cs="Times New Roman"/>
        </w:rPr>
        <w:t>Saygılı, Ş</w:t>
      </w:r>
      <w:proofErr w:type="gramStart"/>
      <w:r w:rsidRPr="00AC3112">
        <w:rPr>
          <w:rFonts w:ascii="Calibri" w:hAnsi="Calibri" w:cs="Times New Roman"/>
        </w:rPr>
        <w:t>.,</w:t>
      </w:r>
      <w:proofErr w:type="gramEnd"/>
      <w:r w:rsidRPr="00AC3112">
        <w:rPr>
          <w:rFonts w:ascii="Calibri" w:hAnsi="Calibri" w:cs="Times New Roman"/>
        </w:rPr>
        <w:t xml:space="preserve"> Cihan, C., Yalçın, C. </w:t>
      </w:r>
      <w:proofErr w:type="spellStart"/>
      <w:r w:rsidRPr="00AC3112">
        <w:rPr>
          <w:rFonts w:ascii="Calibri" w:hAnsi="Calibri" w:cs="Times New Roman"/>
        </w:rPr>
        <w:t>And</w:t>
      </w:r>
      <w:proofErr w:type="spellEnd"/>
      <w:r w:rsidRPr="00AC3112">
        <w:rPr>
          <w:rFonts w:ascii="Calibri" w:hAnsi="Calibri" w:cs="Times New Roman"/>
        </w:rPr>
        <w:t xml:space="preserve"> </w:t>
      </w:r>
      <w:proofErr w:type="spellStart"/>
      <w:r w:rsidRPr="00AC3112">
        <w:rPr>
          <w:rFonts w:ascii="Calibri" w:hAnsi="Calibri" w:cs="Times New Roman"/>
        </w:rPr>
        <w:t>Brand</w:t>
      </w:r>
      <w:proofErr w:type="spellEnd"/>
      <w:r w:rsidRPr="00AC3112">
        <w:rPr>
          <w:rFonts w:ascii="Calibri" w:hAnsi="Calibri" w:cs="Times New Roman"/>
        </w:rPr>
        <w:t xml:space="preserve">, T.H. (2012) Türkiye İmalat Sanayiinde İthal Girdi Kullanımı.” </w:t>
      </w:r>
      <w:r w:rsidRPr="00AC3112">
        <w:rPr>
          <w:rFonts w:ascii="Calibri" w:hAnsi="Calibri" w:cs="Times New Roman"/>
          <w:i/>
          <w:iCs/>
        </w:rPr>
        <w:t>İktisat, İşletme ve Finans</w:t>
      </w:r>
      <w:r w:rsidRPr="00AC3112">
        <w:rPr>
          <w:rFonts w:ascii="Calibri" w:hAnsi="Calibri" w:cs="Times New Roman"/>
        </w:rPr>
        <w:t>. 27(321):9-38.</w:t>
      </w:r>
      <w:r w:rsidRPr="00AC3112">
        <w:rPr>
          <w:rFonts w:ascii="Calibri" w:eastAsia="Times New Roman" w:hAnsi="Calibri" w:cs="Times New Roman"/>
          <w:lang w:val="en-US" w:eastAsia="tr-TR"/>
        </w:rPr>
        <w:t xml:space="preserve"> </w:t>
      </w:r>
    </w:p>
    <w:p w:rsidR="00AC3112" w:rsidRPr="00AC3112" w:rsidRDefault="00AC3112" w:rsidP="00AC3112">
      <w:pPr>
        <w:widowControl w:val="0"/>
        <w:suppressAutoHyphens/>
        <w:spacing w:before="120" w:after="120" w:line="240" w:lineRule="auto"/>
        <w:ind w:left="567" w:hanging="567"/>
        <w:jc w:val="both"/>
        <w:rPr>
          <w:rFonts w:ascii="Calibri" w:eastAsia="TimesNewRoman" w:hAnsi="Calibri" w:cs="Times New Roman"/>
          <w:bCs/>
          <w:lang w:val="en-US" w:eastAsia="ar-SA"/>
        </w:rPr>
      </w:pPr>
      <w:proofErr w:type="spellStart"/>
      <w:r w:rsidRPr="00AC3112">
        <w:rPr>
          <w:rFonts w:ascii="Calibri" w:eastAsia="TimesNewRoman" w:hAnsi="Calibri" w:cs="Times New Roman"/>
          <w:bCs/>
          <w:lang w:val="en-US" w:eastAsia="ar-SA"/>
        </w:rPr>
        <w:t>Senesen</w:t>
      </w:r>
      <w:proofErr w:type="spellEnd"/>
      <w:r w:rsidRPr="00AC3112">
        <w:rPr>
          <w:rFonts w:ascii="Calibri" w:eastAsia="TimesNewRoman" w:hAnsi="Calibri" w:cs="Times New Roman"/>
          <w:bCs/>
          <w:lang w:val="en-US" w:eastAsia="ar-SA"/>
        </w:rPr>
        <w:t xml:space="preserve">, G.G. </w:t>
      </w:r>
      <w:proofErr w:type="gramStart"/>
      <w:r w:rsidRPr="00AC3112">
        <w:rPr>
          <w:rFonts w:ascii="Calibri" w:eastAsia="TimesNewRoman" w:hAnsi="Calibri" w:cs="Times New Roman"/>
          <w:bCs/>
          <w:lang w:val="en-US" w:eastAsia="ar-SA"/>
        </w:rPr>
        <w:t xml:space="preserve">and  </w:t>
      </w:r>
      <w:proofErr w:type="spellStart"/>
      <w:r w:rsidRPr="00AC3112">
        <w:rPr>
          <w:rFonts w:ascii="Calibri" w:eastAsia="TimesNewRoman" w:hAnsi="Calibri" w:cs="Times New Roman"/>
          <w:bCs/>
          <w:lang w:val="en-US" w:eastAsia="ar-SA"/>
        </w:rPr>
        <w:t>Senesen</w:t>
      </w:r>
      <w:proofErr w:type="spellEnd"/>
      <w:proofErr w:type="gramEnd"/>
      <w:r w:rsidRPr="00AC3112">
        <w:rPr>
          <w:rFonts w:ascii="Calibri" w:eastAsia="TimesNewRoman" w:hAnsi="Calibri" w:cs="Times New Roman"/>
          <w:bCs/>
          <w:lang w:val="en-US" w:eastAsia="ar-SA"/>
        </w:rPr>
        <w:t xml:space="preserve">, U. (2003) Import Dependency of Production in Turkey: Structural Change From 1970’s to 1990’s. </w:t>
      </w:r>
      <w:r w:rsidRPr="00AC3112">
        <w:rPr>
          <w:rFonts w:ascii="Calibri" w:eastAsia="TimesNewRoman" w:hAnsi="Calibri" w:cs="Times New Roman"/>
          <w:bCs/>
          <w:i/>
          <w:lang w:val="en-US" w:eastAsia="ar-SA"/>
        </w:rPr>
        <w:t>Tenth Annual Conference of the Economic Research Forum</w:t>
      </w:r>
      <w:r w:rsidRPr="00AC3112">
        <w:rPr>
          <w:rFonts w:ascii="Calibri" w:eastAsia="TimesNewRoman" w:hAnsi="Calibri" w:cs="Times New Roman"/>
          <w:bCs/>
          <w:lang w:val="en-US" w:eastAsia="ar-SA"/>
        </w:rPr>
        <w:t xml:space="preserve"> (ERF), 16-18.</w:t>
      </w:r>
    </w:p>
    <w:p w:rsidR="00AC3112" w:rsidRPr="00AC3112" w:rsidRDefault="00AC3112" w:rsidP="00AC3112">
      <w:pPr>
        <w:widowControl w:val="0"/>
        <w:suppressAutoHyphens/>
        <w:spacing w:before="120" w:after="120" w:line="240" w:lineRule="auto"/>
        <w:ind w:left="567" w:hanging="567"/>
        <w:jc w:val="both"/>
        <w:rPr>
          <w:rFonts w:ascii="Calibri" w:eastAsia="Times New Roman" w:hAnsi="Calibri" w:cs="Times New Roman"/>
          <w:bCs/>
          <w:lang w:val="en-US" w:eastAsia="ar-SA"/>
        </w:rPr>
      </w:pPr>
      <w:proofErr w:type="spellStart"/>
      <w:r w:rsidRPr="00AC3112">
        <w:rPr>
          <w:rFonts w:ascii="Calibri" w:eastAsia="Times New Roman" w:hAnsi="Calibri" w:cs="Times New Roman"/>
          <w:bCs/>
          <w:lang w:val="en-US" w:eastAsia="ar-SA"/>
        </w:rPr>
        <w:t>Şenesen</w:t>
      </w:r>
      <w:proofErr w:type="spellEnd"/>
      <w:r w:rsidRPr="00AC3112">
        <w:rPr>
          <w:rFonts w:ascii="Calibri" w:eastAsia="Times New Roman" w:hAnsi="Calibri" w:cs="Times New Roman"/>
          <w:bCs/>
          <w:lang w:val="en-US" w:eastAsia="ar-SA"/>
        </w:rPr>
        <w:t xml:space="preserve">, G.G. (2005) </w:t>
      </w:r>
      <w:proofErr w:type="spellStart"/>
      <w:proofErr w:type="gramStart"/>
      <w:r w:rsidRPr="00AC3112">
        <w:rPr>
          <w:rFonts w:ascii="Calibri" w:eastAsia="Times New Roman" w:hAnsi="Calibri" w:cs="Times New Roman"/>
          <w:bCs/>
          <w:lang w:val="en-US" w:eastAsia="ar-SA"/>
        </w:rPr>
        <w:t>Türkiye’nin</w:t>
      </w:r>
      <w:proofErr w:type="spellEnd"/>
      <w:proofErr w:type="gram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Üretim</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Yapısı</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Girdi-Çıktı</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Modeli</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Temel</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Bulgular</w:t>
      </w:r>
      <w:proofErr w:type="spellEnd"/>
      <w:r w:rsidRPr="00AC3112">
        <w:rPr>
          <w:rFonts w:ascii="Calibri" w:eastAsia="Times New Roman" w:hAnsi="Calibri" w:cs="Times New Roman"/>
          <w:bCs/>
          <w:lang w:val="en-US" w:eastAsia="ar-SA"/>
        </w:rPr>
        <w:t xml:space="preserve">.  </w:t>
      </w:r>
      <w:r w:rsidRPr="00AC3112">
        <w:rPr>
          <w:rFonts w:ascii="Calibri" w:eastAsia="Times New Roman" w:hAnsi="Calibri" w:cs="Times New Roman"/>
          <w:bCs/>
          <w:i/>
          <w:lang w:val="en-US" w:eastAsia="ar-SA"/>
        </w:rPr>
        <w:t xml:space="preserve">TÜSİAD </w:t>
      </w:r>
      <w:proofErr w:type="spellStart"/>
      <w:r w:rsidRPr="00AC3112">
        <w:rPr>
          <w:rFonts w:ascii="Calibri" w:eastAsia="Times New Roman" w:hAnsi="Calibri" w:cs="Times New Roman"/>
          <w:bCs/>
          <w:i/>
          <w:lang w:val="en-US" w:eastAsia="ar-SA"/>
        </w:rPr>
        <w:t>Yayınları</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No.T</w:t>
      </w:r>
      <w:proofErr w:type="spellEnd"/>
      <w:r w:rsidRPr="00AC3112">
        <w:rPr>
          <w:rFonts w:ascii="Calibri" w:eastAsia="Times New Roman" w:hAnsi="Calibri" w:cs="Times New Roman"/>
          <w:bCs/>
          <w:lang w:val="en-US" w:eastAsia="ar-SA"/>
        </w:rPr>
        <w:t>/2005-06/400.</w:t>
      </w:r>
      <w:r w:rsidRPr="00AC3112">
        <w:rPr>
          <w:rFonts w:ascii="Calibri" w:eastAsia="Times New Roman" w:hAnsi="Calibri" w:cs="Times New Roman"/>
          <w:lang w:val="en-US" w:eastAsia="tr-TR"/>
        </w:rPr>
        <w:t xml:space="preserve"> </w:t>
      </w:r>
    </w:p>
    <w:p w:rsidR="00AC3112" w:rsidRPr="00AC3112" w:rsidRDefault="00AC3112" w:rsidP="00AC3112">
      <w:pPr>
        <w:widowControl w:val="0"/>
        <w:suppressAutoHyphens/>
        <w:spacing w:before="120" w:after="120" w:line="240" w:lineRule="auto"/>
        <w:ind w:left="567" w:hanging="567"/>
        <w:jc w:val="both"/>
        <w:rPr>
          <w:rFonts w:ascii="Calibri" w:eastAsia="TimesNewRoman" w:hAnsi="Calibri" w:cs="Times New Roman"/>
          <w:bCs/>
          <w:lang w:val="en-US" w:eastAsia="ar-SA"/>
        </w:rPr>
      </w:pPr>
      <w:proofErr w:type="spellStart"/>
      <w:r w:rsidRPr="00AC3112">
        <w:rPr>
          <w:rFonts w:ascii="Calibri" w:eastAsia="TimesNewRoman" w:hAnsi="Calibri" w:cs="Times New Roman"/>
          <w:bCs/>
          <w:lang w:val="en-US" w:eastAsia="ar-SA"/>
        </w:rPr>
        <w:t>Senesen</w:t>
      </w:r>
      <w:proofErr w:type="spellEnd"/>
      <w:r w:rsidRPr="00AC3112">
        <w:rPr>
          <w:rFonts w:ascii="Calibri" w:eastAsia="TimesNewRoman" w:hAnsi="Calibri" w:cs="Times New Roman"/>
          <w:bCs/>
          <w:lang w:val="en-US" w:eastAsia="ar-SA"/>
        </w:rPr>
        <w:t xml:space="preserve"> G.G. and </w:t>
      </w:r>
      <w:proofErr w:type="spellStart"/>
      <w:r w:rsidRPr="00AC3112">
        <w:rPr>
          <w:rFonts w:ascii="Calibri" w:eastAsia="TimesNewRoman" w:hAnsi="Calibri" w:cs="Times New Roman"/>
          <w:bCs/>
          <w:lang w:val="en-US" w:eastAsia="ar-SA"/>
        </w:rPr>
        <w:t>Senesen</w:t>
      </w:r>
      <w:proofErr w:type="spellEnd"/>
      <w:r w:rsidRPr="00AC3112">
        <w:rPr>
          <w:rFonts w:ascii="Calibri" w:eastAsia="TimesNewRoman" w:hAnsi="Calibri" w:cs="Times New Roman"/>
          <w:bCs/>
          <w:lang w:val="en-US" w:eastAsia="ar-SA"/>
        </w:rPr>
        <w:t xml:space="preserve">, U. (2001) Reconsidering Import Dependency in Turkey: the Breakdown of Sectoral Demands with Respect to Suppliers. </w:t>
      </w:r>
      <w:r w:rsidRPr="00AC3112">
        <w:rPr>
          <w:rFonts w:ascii="Calibri" w:eastAsia="TimesNewRoman" w:hAnsi="Calibri" w:cs="Times New Roman"/>
          <w:bCs/>
          <w:iCs/>
          <w:lang w:val="en-US" w:eastAsia="ar-SA"/>
        </w:rPr>
        <w:t>Economic Systems Research</w:t>
      </w:r>
      <w:r w:rsidRPr="00AC3112">
        <w:rPr>
          <w:rFonts w:ascii="Calibri" w:eastAsia="TimesNewRoman" w:hAnsi="Calibri" w:cs="Times New Roman"/>
          <w:bCs/>
          <w:lang w:val="en-US" w:eastAsia="ar-SA"/>
        </w:rPr>
        <w:t>, 13 (4), 417-428.</w:t>
      </w:r>
    </w:p>
    <w:p w:rsidR="00AC3112" w:rsidRPr="00AC3112" w:rsidRDefault="00AC3112" w:rsidP="00AC3112">
      <w:pPr>
        <w:widowControl w:val="0"/>
        <w:suppressAutoHyphens/>
        <w:spacing w:before="120" w:after="120" w:line="240" w:lineRule="auto"/>
        <w:ind w:left="567" w:hanging="567"/>
        <w:jc w:val="both"/>
        <w:rPr>
          <w:rFonts w:ascii="Calibri" w:eastAsia="GaramondTurk" w:hAnsi="Calibri" w:cs="Times New Roman"/>
          <w:bCs/>
          <w:lang w:val="en-US" w:eastAsia="ar-SA"/>
        </w:rPr>
      </w:pPr>
      <w:r w:rsidRPr="00AC3112">
        <w:rPr>
          <w:rFonts w:ascii="Calibri" w:eastAsia="Times New Roman" w:hAnsi="Calibri" w:cs="Times New Roman"/>
          <w:bCs/>
          <w:lang w:val="en-US" w:eastAsia="ar-SA"/>
        </w:rPr>
        <w:t xml:space="preserve">WIOD (World Input Output Tables) 2011. Turkey National Input-Output table in current prices for 2011, </w:t>
      </w:r>
      <w:hyperlink r:id="rId21" w:history="1">
        <w:r w:rsidRPr="00AC3112">
          <w:rPr>
            <w:rFonts w:ascii="Calibri" w:eastAsia="Times New Roman" w:hAnsi="Calibri" w:cs="Times New Roman"/>
            <w:bCs/>
            <w:u w:val="single"/>
            <w:lang w:val="en-US" w:eastAsia="ar-SA"/>
          </w:rPr>
          <w:t>http://www.wiod.org/new_site/database/niots.htm</w:t>
        </w:r>
      </w:hyperlink>
      <w:r w:rsidRPr="00AC3112">
        <w:rPr>
          <w:rFonts w:ascii="Calibri" w:eastAsia="Times New Roman" w:hAnsi="Calibri" w:cs="Times New Roman"/>
          <w:bCs/>
          <w:lang w:val="en-US" w:eastAsia="ar-SA"/>
        </w:rPr>
        <w:t>.</w:t>
      </w:r>
    </w:p>
    <w:p w:rsidR="00AC3112" w:rsidRPr="00AC3112" w:rsidRDefault="00AC3112" w:rsidP="00AC3112">
      <w:pPr>
        <w:widowControl w:val="0"/>
        <w:suppressAutoHyphens/>
        <w:spacing w:before="120" w:after="120" w:line="240" w:lineRule="auto"/>
        <w:ind w:left="567" w:hanging="567"/>
        <w:jc w:val="both"/>
        <w:rPr>
          <w:rFonts w:ascii="Calibri" w:eastAsia="Times New Roman" w:hAnsi="Calibri" w:cs="Times New Roman"/>
          <w:lang w:eastAsia="tr-TR"/>
        </w:rPr>
      </w:pPr>
      <w:proofErr w:type="spellStart"/>
      <w:r w:rsidRPr="00AC3112">
        <w:rPr>
          <w:rFonts w:ascii="Calibri" w:eastAsia="Times New Roman" w:hAnsi="Calibri" w:cs="Times New Roman"/>
          <w:bCs/>
          <w:lang w:val="en-US" w:eastAsia="ar-SA"/>
        </w:rPr>
        <w:t>Yükseler</w:t>
      </w:r>
      <w:proofErr w:type="spellEnd"/>
      <w:r w:rsidRPr="00AC3112">
        <w:rPr>
          <w:rFonts w:ascii="Calibri" w:eastAsia="Times New Roman" w:hAnsi="Calibri" w:cs="Times New Roman"/>
          <w:bCs/>
          <w:lang w:val="en-US" w:eastAsia="ar-SA"/>
        </w:rPr>
        <w:t xml:space="preserve"> Z. and </w:t>
      </w:r>
      <w:proofErr w:type="spellStart"/>
      <w:r w:rsidRPr="00AC3112">
        <w:rPr>
          <w:rFonts w:ascii="Calibri" w:eastAsia="Times New Roman" w:hAnsi="Calibri" w:cs="Times New Roman"/>
          <w:bCs/>
          <w:lang w:val="en-US" w:eastAsia="ar-SA"/>
        </w:rPr>
        <w:t>Türkan</w:t>
      </w:r>
      <w:proofErr w:type="spellEnd"/>
      <w:proofErr w:type="gramStart"/>
      <w:r w:rsidRPr="00AC3112">
        <w:rPr>
          <w:rFonts w:ascii="Calibri" w:eastAsia="Times New Roman" w:hAnsi="Calibri" w:cs="Times New Roman"/>
          <w:bCs/>
          <w:lang w:val="en-US" w:eastAsia="ar-SA"/>
        </w:rPr>
        <w:t>,  E</w:t>
      </w:r>
      <w:proofErr w:type="gramEnd"/>
      <w:r w:rsidRPr="00AC3112">
        <w:rPr>
          <w:rFonts w:ascii="Calibri" w:eastAsia="Times New Roman" w:hAnsi="Calibri" w:cs="Times New Roman"/>
          <w:bCs/>
          <w:lang w:val="en-US" w:eastAsia="ar-SA"/>
        </w:rPr>
        <w:t xml:space="preserve">. (2008) </w:t>
      </w:r>
      <w:proofErr w:type="spellStart"/>
      <w:r w:rsidRPr="00AC3112">
        <w:rPr>
          <w:rFonts w:ascii="Calibri" w:eastAsia="Times New Roman" w:hAnsi="Calibri" w:cs="Times New Roman"/>
          <w:bCs/>
          <w:lang w:val="en-US" w:eastAsia="ar-SA"/>
        </w:rPr>
        <w:t>Türkiye’nin</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Üretim</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ve</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Dı</w:t>
      </w:r>
      <w:r w:rsidRPr="00AC3112">
        <w:rPr>
          <w:rFonts w:ascii="Calibri" w:eastAsia="TimesNewRoman" w:hAnsi="Calibri" w:cs="Times New Roman"/>
          <w:bCs/>
          <w:lang w:val="en-US" w:eastAsia="ar-SA"/>
        </w:rPr>
        <w:t>ş</w:t>
      </w:r>
      <w:proofErr w:type="spellEnd"/>
      <w:r w:rsidRPr="00AC3112">
        <w:rPr>
          <w:rFonts w:ascii="Calibri" w:eastAsia="TimesNewRoman" w:hAnsi="Calibri" w:cs="Times New Roman"/>
          <w:bCs/>
          <w:lang w:val="en-US" w:eastAsia="ar-SA"/>
        </w:rPr>
        <w:t xml:space="preserve"> </w:t>
      </w:r>
      <w:proofErr w:type="spellStart"/>
      <w:r w:rsidRPr="00AC3112">
        <w:rPr>
          <w:rFonts w:ascii="Calibri" w:eastAsia="Times New Roman" w:hAnsi="Calibri" w:cs="Times New Roman"/>
          <w:bCs/>
          <w:lang w:val="en-US" w:eastAsia="ar-SA"/>
        </w:rPr>
        <w:t>Ticaret</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Yapısında</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Dönü</w:t>
      </w:r>
      <w:r w:rsidRPr="00AC3112">
        <w:rPr>
          <w:rFonts w:ascii="Calibri" w:eastAsia="TimesNewRoman" w:hAnsi="Calibri" w:cs="Times New Roman"/>
          <w:bCs/>
          <w:lang w:val="en-US" w:eastAsia="ar-SA"/>
        </w:rPr>
        <w:t>ş</w:t>
      </w:r>
      <w:r w:rsidRPr="00AC3112">
        <w:rPr>
          <w:rFonts w:ascii="Calibri" w:eastAsia="Times New Roman" w:hAnsi="Calibri" w:cs="Times New Roman"/>
          <w:bCs/>
          <w:lang w:val="en-US" w:eastAsia="ar-SA"/>
        </w:rPr>
        <w:t>üm</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Küresel</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Yönelimler</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ve</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Yansımalar</w:t>
      </w:r>
      <w:proofErr w:type="spellEnd"/>
      <w:r w:rsidRPr="00AC3112">
        <w:rPr>
          <w:rFonts w:ascii="Calibri" w:eastAsia="Times New Roman" w:hAnsi="Calibri" w:cs="Times New Roman"/>
          <w:bCs/>
          <w:lang w:val="en-US" w:eastAsia="ar-SA"/>
        </w:rPr>
        <w:t xml:space="preserve">. </w:t>
      </w:r>
      <w:r w:rsidRPr="00AC3112">
        <w:rPr>
          <w:rFonts w:ascii="Calibri" w:eastAsia="TimesNewRoman" w:hAnsi="Calibri" w:cs="Times New Roman"/>
          <w:bCs/>
          <w:lang w:val="en-US" w:eastAsia="ar-SA"/>
        </w:rPr>
        <w:t>İ</w:t>
      </w:r>
      <w:r w:rsidRPr="00AC3112">
        <w:rPr>
          <w:rFonts w:ascii="Calibri" w:eastAsia="Times New Roman" w:hAnsi="Calibri" w:cs="Times New Roman"/>
          <w:bCs/>
          <w:lang w:val="en-US" w:eastAsia="ar-SA"/>
        </w:rPr>
        <w:t xml:space="preserve">stanbul, TCMB-TÜSİAD-EAF </w:t>
      </w:r>
      <w:proofErr w:type="spellStart"/>
      <w:r w:rsidRPr="00AC3112">
        <w:rPr>
          <w:rFonts w:ascii="Calibri" w:eastAsia="Times New Roman" w:hAnsi="Calibri" w:cs="Times New Roman"/>
          <w:bCs/>
          <w:lang w:val="en-US" w:eastAsia="ar-SA"/>
        </w:rPr>
        <w:t>ortak</w:t>
      </w:r>
      <w:proofErr w:type="spellEnd"/>
      <w:r w:rsidRPr="00AC3112">
        <w:rPr>
          <w:rFonts w:ascii="Calibri" w:eastAsia="Times New Roman" w:hAnsi="Calibri" w:cs="Times New Roman"/>
          <w:bCs/>
          <w:lang w:val="en-US" w:eastAsia="ar-SA"/>
        </w:rPr>
        <w:t xml:space="preserve"> </w:t>
      </w:r>
      <w:proofErr w:type="spellStart"/>
      <w:r w:rsidRPr="00AC3112">
        <w:rPr>
          <w:rFonts w:ascii="Calibri" w:eastAsia="Times New Roman" w:hAnsi="Calibri" w:cs="Times New Roman"/>
          <w:bCs/>
          <w:lang w:val="en-US" w:eastAsia="ar-SA"/>
        </w:rPr>
        <w:t>yayını</w:t>
      </w:r>
      <w:proofErr w:type="spellEnd"/>
      <w:r w:rsidRPr="00AC3112">
        <w:rPr>
          <w:rFonts w:ascii="Calibri" w:eastAsia="Times New Roman" w:hAnsi="Calibri" w:cs="Times New Roman"/>
          <w:bCs/>
          <w:lang w:val="en-US" w:eastAsia="ar-SA"/>
        </w:rPr>
        <w:t>, No: TÜSİAD-T/2008-02/453.</w:t>
      </w:r>
      <w:r w:rsidRPr="00AC3112">
        <w:rPr>
          <w:rFonts w:ascii="Calibri" w:eastAsia="Times New Roman" w:hAnsi="Calibri" w:cs="Times New Roman"/>
          <w:lang w:val="en-US" w:eastAsia="tr-TR"/>
        </w:rPr>
        <w:t xml:space="preserve"> </w:t>
      </w:r>
    </w:p>
    <w:p w:rsidR="00AC3112" w:rsidRPr="00AC3112" w:rsidRDefault="00AC3112" w:rsidP="00AC3112">
      <w:pPr>
        <w:widowControl w:val="0"/>
        <w:suppressAutoHyphens/>
        <w:spacing w:before="120" w:after="120" w:line="240" w:lineRule="auto"/>
        <w:ind w:left="284" w:hanging="284"/>
        <w:jc w:val="both"/>
        <w:rPr>
          <w:rFonts w:ascii="Calibri" w:eastAsia="Times New Roman" w:hAnsi="Calibri" w:cs="Times New Roman"/>
          <w:lang w:eastAsia="tr-TR"/>
        </w:rPr>
      </w:pPr>
    </w:p>
    <w:p w:rsidR="00AC3112" w:rsidRPr="00AC3112" w:rsidRDefault="00AC3112" w:rsidP="00AC3112">
      <w:pPr>
        <w:widowControl w:val="0"/>
        <w:suppressAutoHyphens/>
        <w:spacing w:before="120" w:after="120" w:line="240" w:lineRule="auto"/>
        <w:ind w:left="284" w:hanging="284"/>
        <w:jc w:val="both"/>
        <w:rPr>
          <w:rFonts w:ascii="Calibri" w:eastAsia="Times New Roman" w:hAnsi="Calibri" w:cs="Times New Roman"/>
          <w:color w:val="484848"/>
          <w:lang w:eastAsia="tr-TR"/>
        </w:rPr>
      </w:pPr>
    </w:p>
    <w:p w:rsidR="00AC3112" w:rsidRPr="00AC3112" w:rsidRDefault="00AC3112" w:rsidP="00AC3112">
      <w:pPr>
        <w:widowControl w:val="0"/>
        <w:suppressAutoHyphens/>
        <w:spacing w:before="120" w:after="120" w:line="240" w:lineRule="auto"/>
        <w:ind w:left="284" w:hanging="284"/>
        <w:jc w:val="both"/>
        <w:rPr>
          <w:rFonts w:ascii="Calibri" w:eastAsia="Times New Roman" w:hAnsi="Calibri" w:cs="Times New Roman"/>
          <w:color w:val="484848"/>
          <w:lang w:eastAsia="tr-TR"/>
        </w:rPr>
      </w:pPr>
    </w:p>
    <w:p w:rsidR="00AC3112" w:rsidRPr="00AC3112" w:rsidRDefault="00AC3112" w:rsidP="00AC3112">
      <w:pPr>
        <w:widowControl w:val="0"/>
        <w:suppressAutoHyphens/>
        <w:spacing w:before="120" w:after="120" w:line="240" w:lineRule="auto"/>
        <w:ind w:left="284" w:hanging="284"/>
        <w:jc w:val="both"/>
        <w:rPr>
          <w:rFonts w:ascii="Calibri" w:eastAsia="Times New Roman" w:hAnsi="Calibri" w:cs="Times New Roman"/>
          <w:color w:val="484848"/>
          <w:lang w:eastAsia="tr-TR"/>
        </w:rPr>
      </w:pPr>
    </w:p>
    <w:p w:rsidR="00AC3112" w:rsidRPr="00AC3112" w:rsidRDefault="00AC3112" w:rsidP="00AC3112">
      <w:pPr>
        <w:widowControl w:val="0"/>
        <w:suppressAutoHyphens/>
        <w:spacing w:before="120" w:after="120" w:line="240" w:lineRule="auto"/>
        <w:ind w:left="284" w:hanging="284"/>
        <w:jc w:val="both"/>
        <w:rPr>
          <w:rFonts w:ascii="Calibri" w:eastAsia="Times New Roman" w:hAnsi="Calibri" w:cs="Times New Roman"/>
          <w:color w:val="484848"/>
          <w:lang w:eastAsia="tr-TR"/>
        </w:rPr>
      </w:pPr>
    </w:p>
    <w:p w:rsidR="00AC3112" w:rsidRPr="00AC3112" w:rsidRDefault="00AC3112" w:rsidP="00AC3112">
      <w:pPr>
        <w:widowControl w:val="0"/>
        <w:suppressAutoHyphens/>
        <w:spacing w:before="120" w:after="120" w:line="240" w:lineRule="auto"/>
        <w:ind w:left="284" w:hanging="284"/>
        <w:jc w:val="both"/>
        <w:rPr>
          <w:rFonts w:ascii="Calibri" w:eastAsia="Times New Roman" w:hAnsi="Calibri" w:cs="Times New Roman"/>
          <w:color w:val="484848"/>
          <w:lang w:eastAsia="tr-TR"/>
        </w:rPr>
      </w:pPr>
    </w:p>
    <w:p w:rsidR="00AC3112" w:rsidRPr="00AC3112" w:rsidRDefault="00AC3112" w:rsidP="00AC3112">
      <w:pPr>
        <w:widowControl w:val="0"/>
        <w:suppressAutoHyphens/>
        <w:spacing w:before="120" w:after="120" w:line="240" w:lineRule="auto"/>
        <w:ind w:left="284" w:hanging="284"/>
        <w:jc w:val="both"/>
        <w:rPr>
          <w:rFonts w:ascii="Calibri" w:eastAsia="Times New Roman" w:hAnsi="Calibri" w:cs="Times New Roman"/>
          <w:color w:val="484848"/>
          <w:lang w:eastAsia="tr-TR"/>
        </w:rPr>
      </w:pPr>
    </w:p>
    <w:p w:rsidR="00AC3112" w:rsidRPr="00AC3112" w:rsidRDefault="00AC3112" w:rsidP="00AC3112">
      <w:pPr>
        <w:widowControl w:val="0"/>
        <w:suppressAutoHyphens/>
        <w:spacing w:before="120" w:after="120" w:line="240" w:lineRule="auto"/>
        <w:ind w:left="284" w:hanging="284"/>
        <w:jc w:val="both"/>
        <w:rPr>
          <w:rFonts w:ascii="Calibri" w:eastAsia="Times New Roman" w:hAnsi="Calibri" w:cs="Times New Roman"/>
          <w:color w:val="484848"/>
          <w:lang w:eastAsia="tr-TR"/>
        </w:rPr>
      </w:pPr>
    </w:p>
    <w:p w:rsidR="00AC3112" w:rsidRPr="00AC3112" w:rsidRDefault="00AC3112" w:rsidP="00AC3112">
      <w:pPr>
        <w:widowControl w:val="0"/>
        <w:suppressAutoHyphens/>
        <w:spacing w:before="120" w:after="120" w:line="240" w:lineRule="auto"/>
        <w:ind w:left="284" w:hanging="284"/>
        <w:jc w:val="both"/>
        <w:rPr>
          <w:rFonts w:ascii="Calibri" w:eastAsia="Times New Roman" w:hAnsi="Calibri" w:cs="Times New Roman"/>
          <w:color w:val="484848"/>
          <w:lang w:eastAsia="tr-TR"/>
        </w:rPr>
      </w:pPr>
    </w:p>
    <w:sectPr w:rsidR="00AC3112" w:rsidRPr="00AC31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240E" w:rsidRDefault="0019240E" w:rsidP="00AC3112">
      <w:pPr>
        <w:spacing w:after="0" w:line="240" w:lineRule="auto"/>
      </w:pPr>
      <w:r>
        <w:separator/>
      </w:r>
    </w:p>
  </w:endnote>
  <w:endnote w:type="continuationSeparator" w:id="0">
    <w:p w:rsidR="0019240E" w:rsidRDefault="0019240E" w:rsidP="00AC31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A2"/>
    <w:family w:val="roman"/>
    <w:pitch w:val="variable"/>
    <w:sig w:usb0="E00002FF" w:usb1="420024FF" w:usb2="00000000" w:usb3="00000000" w:csb0="0000019F" w:csb1="00000000"/>
  </w:font>
  <w:font w:name="Myriad Pro">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AFF" w:usb1="C0007843" w:usb2="00000009" w:usb3="00000000" w:csb0="000001FF" w:csb1="00000000"/>
  </w:font>
  <w:font w:name="GaramondTurk">
    <w:altName w:val="MS Mincho"/>
    <w:panose1 w:val="00000000000000000000"/>
    <w:charset w:val="80"/>
    <w:family w:val="auto"/>
    <w:notTrueType/>
    <w:pitch w:val="default"/>
    <w:sig w:usb0="00000001" w:usb1="08070000" w:usb2="00000010" w:usb3="00000000" w:csb0="00020000" w:csb1="00000000"/>
  </w:font>
  <w:font w:name="NotDefSpecial">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3" w:usb1="08070000" w:usb2="00000010" w:usb3="00000000" w:csb0="00020001"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240E" w:rsidRDefault="0019240E" w:rsidP="00AC3112">
      <w:pPr>
        <w:spacing w:after="0" w:line="240" w:lineRule="auto"/>
      </w:pPr>
      <w:r>
        <w:separator/>
      </w:r>
    </w:p>
  </w:footnote>
  <w:footnote w:type="continuationSeparator" w:id="0">
    <w:p w:rsidR="0019240E" w:rsidRDefault="0019240E" w:rsidP="00AC3112">
      <w:pPr>
        <w:spacing w:after="0" w:line="240" w:lineRule="auto"/>
      </w:pPr>
      <w:r>
        <w:continuationSeparator/>
      </w:r>
    </w:p>
  </w:footnote>
  <w:footnote w:id="1">
    <w:p w:rsidR="00AC3112" w:rsidRPr="009303F8" w:rsidRDefault="00AC3112" w:rsidP="00AC3112">
      <w:pPr>
        <w:rPr>
          <w:sz w:val="16"/>
          <w:szCs w:val="16"/>
        </w:rPr>
      </w:pPr>
      <w:r w:rsidRPr="009303F8">
        <w:rPr>
          <w:rStyle w:val="DipnotBavurusu"/>
          <w:sz w:val="16"/>
          <w:szCs w:val="16"/>
        </w:rPr>
        <w:footnoteRef/>
      </w:r>
      <w:r w:rsidRPr="009303F8">
        <w:rPr>
          <w:sz w:val="16"/>
          <w:szCs w:val="16"/>
        </w:rPr>
        <w:t xml:space="preserve"> </w:t>
      </w:r>
      <w:proofErr w:type="spellStart"/>
      <w:r w:rsidRPr="009303F8">
        <w:rPr>
          <w:rFonts w:cs="Times New Roman"/>
          <w:color w:val="231F20"/>
          <w:sz w:val="16"/>
          <w:szCs w:val="16"/>
        </w:rPr>
        <w:t>Corresponding</w:t>
      </w:r>
      <w:proofErr w:type="spellEnd"/>
      <w:r w:rsidRPr="009303F8">
        <w:rPr>
          <w:rFonts w:cs="Times New Roman"/>
          <w:color w:val="231F20"/>
          <w:sz w:val="16"/>
          <w:szCs w:val="16"/>
        </w:rPr>
        <w:t xml:space="preserve"> Author. </w:t>
      </w:r>
      <w:proofErr w:type="spellStart"/>
      <w:r w:rsidRPr="009303F8">
        <w:rPr>
          <w:rFonts w:cs="Times New Roman"/>
          <w:color w:val="231F20"/>
          <w:sz w:val="16"/>
          <w:szCs w:val="16"/>
        </w:rPr>
        <w:t>Email</w:t>
      </w:r>
      <w:proofErr w:type="spellEnd"/>
      <w:r w:rsidRPr="009303F8">
        <w:rPr>
          <w:rFonts w:cs="Times New Roman"/>
          <w:color w:val="231F20"/>
          <w:sz w:val="16"/>
          <w:szCs w:val="16"/>
        </w:rPr>
        <w:t xml:space="preserve">: </w:t>
      </w:r>
      <w:r w:rsidRPr="009303F8">
        <w:rPr>
          <w:rFonts w:cs="Times New Roman"/>
          <w:sz w:val="16"/>
          <w:szCs w:val="16"/>
        </w:rPr>
        <w:t>necla.ayas@beun.edu.tr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57159"/>
    <w:multiLevelType w:val="hybridMultilevel"/>
    <w:tmpl w:val="D7D47FDC"/>
    <w:lvl w:ilvl="0" w:tplc="70D87BCC">
      <w:start w:val="1"/>
      <w:numFmt w:val="decimal"/>
      <w:lvlText w:val="%1-"/>
      <w:lvlJc w:val="left"/>
      <w:pPr>
        <w:ind w:left="927" w:hanging="360"/>
      </w:pPr>
      <w:rPr>
        <w:rFonts w:hint="default"/>
      </w:rPr>
    </w:lvl>
    <w:lvl w:ilvl="1" w:tplc="041F0019">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 w15:restartNumberingAfterBreak="0">
    <w:nsid w:val="05D16132"/>
    <w:multiLevelType w:val="multilevel"/>
    <w:tmpl w:val="8E4445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69A633A"/>
    <w:multiLevelType w:val="hybridMultilevel"/>
    <w:tmpl w:val="779E5E44"/>
    <w:lvl w:ilvl="0" w:tplc="3BDE1E6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34F78AF"/>
    <w:multiLevelType w:val="hybridMultilevel"/>
    <w:tmpl w:val="A75AA0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55B0540"/>
    <w:multiLevelType w:val="multilevel"/>
    <w:tmpl w:val="533CBC60"/>
    <w:lvl w:ilvl="0">
      <w:start w:val="3"/>
      <w:numFmt w:val="decimal"/>
      <w:lvlText w:val="%1"/>
      <w:lvlJc w:val="left"/>
      <w:pPr>
        <w:ind w:left="360" w:hanging="360"/>
      </w:pPr>
      <w:rPr>
        <w:rFonts w:hint="default"/>
      </w:rPr>
    </w:lvl>
    <w:lvl w:ilvl="1">
      <w:start w:val="3"/>
      <w:numFmt w:val="decimal"/>
      <w:lvlText w:val="%1.%2"/>
      <w:lvlJc w:val="left"/>
      <w:pPr>
        <w:ind w:left="643" w:hanging="360"/>
      </w:pPr>
      <w:rPr>
        <w:rFonts w:hint="default"/>
      </w:rPr>
    </w:lvl>
    <w:lvl w:ilvl="2">
      <w:start w:val="3"/>
      <w:numFmt w:val="decimal"/>
      <w:lvlText w:val="%1.%2.%3"/>
      <w:lvlJc w:val="left"/>
      <w:pPr>
        <w:ind w:left="926" w:hanging="36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1852" w:hanging="72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2778" w:hanging="1080"/>
      </w:pPr>
      <w:rPr>
        <w:rFonts w:hint="default"/>
      </w:rPr>
    </w:lvl>
    <w:lvl w:ilvl="7">
      <w:start w:val="1"/>
      <w:numFmt w:val="decimal"/>
      <w:lvlText w:val="%1.%2.%3.%4.%5.%6.%7.%8"/>
      <w:lvlJc w:val="left"/>
      <w:pPr>
        <w:ind w:left="3061" w:hanging="1080"/>
      </w:pPr>
      <w:rPr>
        <w:rFonts w:hint="default"/>
      </w:rPr>
    </w:lvl>
    <w:lvl w:ilvl="8">
      <w:start w:val="1"/>
      <w:numFmt w:val="decimal"/>
      <w:lvlText w:val="%1.%2.%3.%4.%5.%6.%7.%8.%9"/>
      <w:lvlJc w:val="left"/>
      <w:pPr>
        <w:ind w:left="3704" w:hanging="1440"/>
      </w:pPr>
      <w:rPr>
        <w:rFonts w:hint="default"/>
      </w:rPr>
    </w:lvl>
  </w:abstractNum>
  <w:abstractNum w:abstractNumId="5" w15:restartNumberingAfterBreak="0">
    <w:nsid w:val="18A77808"/>
    <w:multiLevelType w:val="hybridMultilevel"/>
    <w:tmpl w:val="A7F027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8F3675D"/>
    <w:multiLevelType w:val="multilevel"/>
    <w:tmpl w:val="2FAC5470"/>
    <w:lvl w:ilvl="0">
      <w:start w:val="3"/>
      <w:numFmt w:val="decimal"/>
      <w:lvlText w:val="%1."/>
      <w:lvlJc w:val="left"/>
      <w:pPr>
        <w:ind w:left="360" w:hanging="360"/>
      </w:pPr>
      <w:rPr>
        <w:rFonts w:eastAsiaTheme="minorHAnsi" w:cs="Times New Roman" w:hint="default"/>
      </w:rPr>
    </w:lvl>
    <w:lvl w:ilvl="1">
      <w:start w:val="3"/>
      <w:numFmt w:val="decimal"/>
      <w:lvlText w:val="%1.%2."/>
      <w:lvlJc w:val="left"/>
      <w:pPr>
        <w:ind w:left="720" w:hanging="360"/>
      </w:pPr>
      <w:rPr>
        <w:rFonts w:eastAsiaTheme="minorHAnsi" w:cs="Times New Roman" w:hint="default"/>
      </w:rPr>
    </w:lvl>
    <w:lvl w:ilvl="2">
      <w:start w:val="1"/>
      <w:numFmt w:val="decimal"/>
      <w:lvlText w:val="%1.%2.%3."/>
      <w:lvlJc w:val="left"/>
      <w:pPr>
        <w:ind w:left="1440" w:hanging="720"/>
      </w:pPr>
      <w:rPr>
        <w:rFonts w:eastAsiaTheme="minorHAnsi" w:cs="Times New Roman" w:hint="default"/>
      </w:rPr>
    </w:lvl>
    <w:lvl w:ilvl="3">
      <w:start w:val="1"/>
      <w:numFmt w:val="decimal"/>
      <w:lvlText w:val="%1.%2.%3.%4."/>
      <w:lvlJc w:val="left"/>
      <w:pPr>
        <w:ind w:left="1800" w:hanging="720"/>
      </w:pPr>
      <w:rPr>
        <w:rFonts w:eastAsiaTheme="minorHAnsi" w:cs="Times New Roman" w:hint="default"/>
      </w:rPr>
    </w:lvl>
    <w:lvl w:ilvl="4">
      <w:start w:val="1"/>
      <w:numFmt w:val="decimal"/>
      <w:lvlText w:val="%1.%2.%3.%4.%5."/>
      <w:lvlJc w:val="left"/>
      <w:pPr>
        <w:ind w:left="2520" w:hanging="1080"/>
      </w:pPr>
      <w:rPr>
        <w:rFonts w:eastAsiaTheme="minorHAnsi" w:cs="Times New Roman" w:hint="default"/>
      </w:rPr>
    </w:lvl>
    <w:lvl w:ilvl="5">
      <w:start w:val="1"/>
      <w:numFmt w:val="decimal"/>
      <w:lvlText w:val="%1.%2.%3.%4.%5.%6."/>
      <w:lvlJc w:val="left"/>
      <w:pPr>
        <w:ind w:left="2880" w:hanging="1080"/>
      </w:pPr>
      <w:rPr>
        <w:rFonts w:eastAsiaTheme="minorHAnsi" w:cs="Times New Roman" w:hint="default"/>
      </w:rPr>
    </w:lvl>
    <w:lvl w:ilvl="6">
      <w:start w:val="1"/>
      <w:numFmt w:val="decimal"/>
      <w:lvlText w:val="%1.%2.%3.%4.%5.%6.%7."/>
      <w:lvlJc w:val="left"/>
      <w:pPr>
        <w:ind w:left="3240" w:hanging="1080"/>
      </w:pPr>
      <w:rPr>
        <w:rFonts w:eastAsiaTheme="minorHAnsi" w:cs="Times New Roman" w:hint="default"/>
      </w:rPr>
    </w:lvl>
    <w:lvl w:ilvl="7">
      <w:start w:val="1"/>
      <w:numFmt w:val="decimal"/>
      <w:lvlText w:val="%1.%2.%3.%4.%5.%6.%7.%8."/>
      <w:lvlJc w:val="left"/>
      <w:pPr>
        <w:ind w:left="3960" w:hanging="1440"/>
      </w:pPr>
      <w:rPr>
        <w:rFonts w:eastAsiaTheme="minorHAnsi" w:cs="Times New Roman" w:hint="default"/>
      </w:rPr>
    </w:lvl>
    <w:lvl w:ilvl="8">
      <w:start w:val="1"/>
      <w:numFmt w:val="decimal"/>
      <w:lvlText w:val="%1.%2.%3.%4.%5.%6.%7.%8.%9."/>
      <w:lvlJc w:val="left"/>
      <w:pPr>
        <w:ind w:left="4320" w:hanging="1440"/>
      </w:pPr>
      <w:rPr>
        <w:rFonts w:eastAsiaTheme="minorHAnsi" w:cs="Times New Roman" w:hint="default"/>
      </w:rPr>
    </w:lvl>
  </w:abstractNum>
  <w:abstractNum w:abstractNumId="7" w15:restartNumberingAfterBreak="0">
    <w:nsid w:val="1D0448F5"/>
    <w:multiLevelType w:val="hybridMultilevel"/>
    <w:tmpl w:val="EEFA74A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0BD1BB3"/>
    <w:multiLevelType w:val="multilevel"/>
    <w:tmpl w:val="2FAC5470"/>
    <w:lvl w:ilvl="0">
      <w:start w:val="3"/>
      <w:numFmt w:val="decimal"/>
      <w:lvlText w:val="%1."/>
      <w:lvlJc w:val="left"/>
      <w:pPr>
        <w:ind w:left="360" w:hanging="360"/>
      </w:pPr>
      <w:rPr>
        <w:rFonts w:eastAsiaTheme="minorHAnsi" w:cs="Times New Roman" w:hint="default"/>
      </w:rPr>
    </w:lvl>
    <w:lvl w:ilvl="1">
      <w:start w:val="3"/>
      <w:numFmt w:val="decimal"/>
      <w:lvlText w:val="%1.%2."/>
      <w:lvlJc w:val="left"/>
      <w:pPr>
        <w:ind w:left="720" w:hanging="360"/>
      </w:pPr>
      <w:rPr>
        <w:rFonts w:eastAsiaTheme="minorHAnsi" w:cs="Times New Roman" w:hint="default"/>
      </w:rPr>
    </w:lvl>
    <w:lvl w:ilvl="2">
      <w:start w:val="1"/>
      <w:numFmt w:val="decimal"/>
      <w:lvlText w:val="%1.%2.%3."/>
      <w:lvlJc w:val="left"/>
      <w:pPr>
        <w:ind w:left="1440" w:hanging="720"/>
      </w:pPr>
      <w:rPr>
        <w:rFonts w:eastAsiaTheme="minorHAnsi" w:cs="Times New Roman" w:hint="default"/>
      </w:rPr>
    </w:lvl>
    <w:lvl w:ilvl="3">
      <w:start w:val="1"/>
      <w:numFmt w:val="decimal"/>
      <w:lvlText w:val="%1.%2.%3.%4."/>
      <w:lvlJc w:val="left"/>
      <w:pPr>
        <w:ind w:left="1800" w:hanging="720"/>
      </w:pPr>
      <w:rPr>
        <w:rFonts w:eastAsiaTheme="minorHAnsi" w:cs="Times New Roman" w:hint="default"/>
      </w:rPr>
    </w:lvl>
    <w:lvl w:ilvl="4">
      <w:start w:val="1"/>
      <w:numFmt w:val="decimal"/>
      <w:lvlText w:val="%1.%2.%3.%4.%5."/>
      <w:lvlJc w:val="left"/>
      <w:pPr>
        <w:ind w:left="2520" w:hanging="1080"/>
      </w:pPr>
      <w:rPr>
        <w:rFonts w:eastAsiaTheme="minorHAnsi" w:cs="Times New Roman" w:hint="default"/>
      </w:rPr>
    </w:lvl>
    <w:lvl w:ilvl="5">
      <w:start w:val="1"/>
      <w:numFmt w:val="decimal"/>
      <w:lvlText w:val="%1.%2.%3.%4.%5.%6."/>
      <w:lvlJc w:val="left"/>
      <w:pPr>
        <w:ind w:left="2880" w:hanging="1080"/>
      </w:pPr>
      <w:rPr>
        <w:rFonts w:eastAsiaTheme="minorHAnsi" w:cs="Times New Roman" w:hint="default"/>
      </w:rPr>
    </w:lvl>
    <w:lvl w:ilvl="6">
      <w:start w:val="1"/>
      <w:numFmt w:val="decimal"/>
      <w:lvlText w:val="%1.%2.%3.%4.%5.%6.%7."/>
      <w:lvlJc w:val="left"/>
      <w:pPr>
        <w:ind w:left="3240" w:hanging="1080"/>
      </w:pPr>
      <w:rPr>
        <w:rFonts w:eastAsiaTheme="minorHAnsi" w:cs="Times New Roman" w:hint="default"/>
      </w:rPr>
    </w:lvl>
    <w:lvl w:ilvl="7">
      <w:start w:val="1"/>
      <w:numFmt w:val="decimal"/>
      <w:lvlText w:val="%1.%2.%3.%4.%5.%6.%7.%8."/>
      <w:lvlJc w:val="left"/>
      <w:pPr>
        <w:ind w:left="3960" w:hanging="1440"/>
      </w:pPr>
      <w:rPr>
        <w:rFonts w:eastAsiaTheme="minorHAnsi" w:cs="Times New Roman" w:hint="default"/>
      </w:rPr>
    </w:lvl>
    <w:lvl w:ilvl="8">
      <w:start w:val="1"/>
      <w:numFmt w:val="decimal"/>
      <w:lvlText w:val="%1.%2.%3.%4.%5.%6.%7.%8.%9."/>
      <w:lvlJc w:val="left"/>
      <w:pPr>
        <w:ind w:left="4320" w:hanging="1440"/>
      </w:pPr>
      <w:rPr>
        <w:rFonts w:eastAsiaTheme="minorHAnsi" w:cs="Times New Roman" w:hint="default"/>
      </w:rPr>
    </w:lvl>
  </w:abstractNum>
  <w:abstractNum w:abstractNumId="9" w15:restartNumberingAfterBreak="0">
    <w:nsid w:val="28D3621C"/>
    <w:multiLevelType w:val="multilevel"/>
    <w:tmpl w:val="DCA417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290D1BE3"/>
    <w:multiLevelType w:val="hybridMultilevel"/>
    <w:tmpl w:val="C46AA2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C0F64AF"/>
    <w:multiLevelType w:val="multilevel"/>
    <w:tmpl w:val="CF2C4E76"/>
    <w:lvl w:ilvl="0">
      <w:start w:val="1"/>
      <w:numFmt w:val="decimal"/>
      <w:lvlText w:val="%1."/>
      <w:lvlJc w:val="left"/>
      <w:pPr>
        <w:ind w:left="720" w:hanging="360"/>
      </w:pPr>
      <w:rPr>
        <w:rFonts w:hint="default"/>
        <w:b/>
        <w:color w:val="231F20"/>
        <w:sz w:val="20"/>
      </w:rPr>
    </w:lvl>
    <w:lvl w:ilvl="1">
      <w:start w:val="2"/>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34944096"/>
    <w:multiLevelType w:val="hybridMultilevel"/>
    <w:tmpl w:val="E5CC87C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563174B"/>
    <w:multiLevelType w:val="hybridMultilevel"/>
    <w:tmpl w:val="90F8EDE0"/>
    <w:lvl w:ilvl="0" w:tplc="4B08D472">
      <w:start w:val="1"/>
      <w:numFmt w:val="decimal"/>
      <w:lvlText w:val="%1."/>
      <w:lvlJc w:val="left"/>
      <w:pPr>
        <w:tabs>
          <w:tab w:val="num" w:pos="705"/>
        </w:tabs>
        <w:ind w:left="705" w:hanging="360"/>
      </w:pPr>
      <w:rPr>
        <w:rFonts w:hint="default"/>
      </w:rPr>
    </w:lvl>
    <w:lvl w:ilvl="1" w:tplc="041F0019" w:tentative="1">
      <w:start w:val="1"/>
      <w:numFmt w:val="lowerLetter"/>
      <w:lvlText w:val="%2."/>
      <w:lvlJc w:val="left"/>
      <w:pPr>
        <w:tabs>
          <w:tab w:val="num" w:pos="1425"/>
        </w:tabs>
        <w:ind w:left="1425" w:hanging="360"/>
      </w:pPr>
    </w:lvl>
    <w:lvl w:ilvl="2" w:tplc="041F001B" w:tentative="1">
      <w:start w:val="1"/>
      <w:numFmt w:val="lowerRoman"/>
      <w:lvlText w:val="%3."/>
      <w:lvlJc w:val="right"/>
      <w:pPr>
        <w:tabs>
          <w:tab w:val="num" w:pos="2145"/>
        </w:tabs>
        <w:ind w:left="2145" w:hanging="180"/>
      </w:pPr>
    </w:lvl>
    <w:lvl w:ilvl="3" w:tplc="041F000F" w:tentative="1">
      <w:start w:val="1"/>
      <w:numFmt w:val="decimal"/>
      <w:lvlText w:val="%4."/>
      <w:lvlJc w:val="left"/>
      <w:pPr>
        <w:tabs>
          <w:tab w:val="num" w:pos="2865"/>
        </w:tabs>
        <w:ind w:left="2865" w:hanging="360"/>
      </w:pPr>
    </w:lvl>
    <w:lvl w:ilvl="4" w:tplc="041F0019" w:tentative="1">
      <w:start w:val="1"/>
      <w:numFmt w:val="lowerLetter"/>
      <w:lvlText w:val="%5."/>
      <w:lvlJc w:val="left"/>
      <w:pPr>
        <w:tabs>
          <w:tab w:val="num" w:pos="3585"/>
        </w:tabs>
        <w:ind w:left="3585" w:hanging="360"/>
      </w:pPr>
    </w:lvl>
    <w:lvl w:ilvl="5" w:tplc="041F001B" w:tentative="1">
      <w:start w:val="1"/>
      <w:numFmt w:val="lowerRoman"/>
      <w:lvlText w:val="%6."/>
      <w:lvlJc w:val="right"/>
      <w:pPr>
        <w:tabs>
          <w:tab w:val="num" w:pos="4305"/>
        </w:tabs>
        <w:ind w:left="4305" w:hanging="180"/>
      </w:pPr>
    </w:lvl>
    <w:lvl w:ilvl="6" w:tplc="041F000F" w:tentative="1">
      <w:start w:val="1"/>
      <w:numFmt w:val="decimal"/>
      <w:lvlText w:val="%7."/>
      <w:lvlJc w:val="left"/>
      <w:pPr>
        <w:tabs>
          <w:tab w:val="num" w:pos="5025"/>
        </w:tabs>
        <w:ind w:left="5025" w:hanging="360"/>
      </w:pPr>
    </w:lvl>
    <w:lvl w:ilvl="7" w:tplc="041F0019" w:tentative="1">
      <w:start w:val="1"/>
      <w:numFmt w:val="lowerLetter"/>
      <w:lvlText w:val="%8."/>
      <w:lvlJc w:val="left"/>
      <w:pPr>
        <w:tabs>
          <w:tab w:val="num" w:pos="5745"/>
        </w:tabs>
        <w:ind w:left="5745" w:hanging="360"/>
      </w:pPr>
    </w:lvl>
    <w:lvl w:ilvl="8" w:tplc="041F001B" w:tentative="1">
      <w:start w:val="1"/>
      <w:numFmt w:val="lowerRoman"/>
      <w:lvlText w:val="%9."/>
      <w:lvlJc w:val="right"/>
      <w:pPr>
        <w:tabs>
          <w:tab w:val="num" w:pos="6465"/>
        </w:tabs>
        <w:ind w:left="6465" w:hanging="180"/>
      </w:pPr>
    </w:lvl>
  </w:abstractNum>
  <w:abstractNum w:abstractNumId="14" w15:restartNumberingAfterBreak="0">
    <w:nsid w:val="4C941D36"/>
    <w:multiLevelType w:val="hybridMultilevel"/>
    <w:tmpl w:val="1840AC1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D0B5A27"/>
    <w:multiLevelType w:val="hybridMultilevel"/>
    <w:tmpl w:val="760C26D6"/>
    <w:lvl w:ilvl="0" w:tplc="041F000F">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6" w15:restartNumberingAfterBreak="0">
    <w:nsid w:val="53AA741F"/>
    <w:multiLevelType w:val="multilevel"/>
    <w:tmpl w:val="CA76896A"/>
    <w:lvl w:ilvl="0">
      <w:start w:val="1"/>
      <w:numFmt w:val="decimal"/>
      <w:pStyle w:val="Balk1"/>
      <w:lvlText w:val="%1."/>
      <w:lvlJc w:val="left"/>
      <w:pPr>
        <w:ind w:left="927" w:hanging="360"/>
      </w:pPr>
      <w:rPr>
        <w:rFonts w:hint="default"/>
      </w:rPr>
    </w:lvl>
    <w:lvl w:ilvl="1">
      <w:start w:val="1"/>
      <w:numFmt w:val="decimal"/>
      <w:isLgl/>
      <w:lvlText w:val="%1.%2."/>
      <w:lvlJc w:val="left"/>
      <w:pPr>
        <w:ind w:left="1062" w:hanging="49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7" w15:restartNumberingAfterBreak="0">
    <w:nsid w:val="553F23E7"/>
    <w:multiLevelType w:val="multilevel"/>
    <w:tmpl w:val="CF2C4E76"/>
    <w:lvl w:ilvl="0">
      <w:start w:val="1"/>
      <w:numFmt w:val="decimal"/>
      <w:lvlText w:val="%1."/>
      <w:lvlJc w:val="left"/>
      <w:pPr>
        <w:ind w:left="720" w:hanging="360"/>
      </w:pPr>
      <w:rPr>
        <w:rFonts w:hint="default"/>
        <w:b/>
        <w:color w:val="231F20"/>
        <w:sz w:val="20"/>
      </w:rPr>
    </w:lvl>
    <w:lvl w:ilvl="1">
      <w:start w:val="2"/>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5A9B2E6E"/>
    <w:multiLevelType w:val="hybridMultilevel"/>
    <w:tmpl w:val="760C26D6"/>
    <w:lvl w:ilvl="0" w:tplc="041F000F">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9" w15:restartNumberingAfterBreak="0">
    <w:nsid w:val="6B7C35B9"/>
    <w:multiLevelType w:val="hybridMultilevel"/>
    <w:tmpl w:val="8334C61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732B006B"/>
    <w:multiLevelType w:val="hybridMultilevel"/>
    <w:tmpl w:val="760C26D6"/>
    <w:lvl w:ilvl="0" w:tplc="041F000F">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1" w15:restartNumberingAfterBreak="0">
    <w:nsid w:val="734A3A87"/>
    <w:multiLevelType w:val="multilevel"/>
    <w:tmpl w:val="25A69CA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7C744004"/>
    <w:multiLevelType w:val="hybridMultilevel"/>
    <w:tmpl w:val="EEFA74A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E125C48"/>
    <w:multiLevelType w:val="multilevel"/>
    <w:tmpl w:val="2FAC5470"/>
    <w:lvl w:ilvl="0">
      <w:start w:val="3"/>
      <w:numFmt w:val="decimal"/>
      <w:lvlText w:val="%1."/>
      <w:lvlJc w:val="left"/>
      <w:pPr>
        <w:ind w:left="360" w:hanging="360"/>
      </w:pPr>
      <w:rPr>
        <w:rFonts w:eastAsiaTheme="minorHAnsi" w:cs="Times New Roman" w:hint="default"/>
      </w:rPr>
    </w:lvl>
    <w:lvl w:ilvl="1">
      <w:start w:val="3"/>
      <w:numFmt w:val="decimal"/>
      <w:lvlText w:val="%1.%2."/>
      <w:lvlJc w:val="left"/>
      <w:pPr>
        <w:ind w:left="720" w:hanging="360"/>
      </w:pPr>
      <w:rPr>
        <w:rFonts w:eastAsiaTheme="minorHAnsi" w:cs="Times New Roman" w:hint="default"/>
      </w:rPr>
    </w:lvl>
    <w:lvl w:ilvl="2">
      <w:start w:val="1"/>
      <w:numFmt w:val="decimal"/>
      <w:lvlText w:val="%1.%2.%3."/>
      <w:lvlJc w:val="left"/>
      <w:pPr>
        <w:ind w:left="1440" w:hanging="720"/>
      </w:pPr>
      <w:rPr>
        <w:rFonts w:eastAsiaTheme="minorHAnsi" w:cs="Times New Roman" w:hint="default"/>
      </w:rPr>
    </w:lvl>
    <w:lvl w:ilvl="3">
      <w:start w:val="1"/>
      <w:numFmt w:val="decimal"/>
      <w:lvlText w:val="%1.%2.%3.%4."/>
      <w:lvlJc w:val="left"/>
      <w:pPr>
        <w:ind w:left="1800" w:hanging="720"/>
      </w:pPr>
      <w:rPr>
        <w:rFonts w:eastAsiaTheme="minorHAnsi" w:cs="Times New Roman" w:hint="default"/>
      </w:rPr>
    </w:lvl>
    <w:lvl w:ilvl="4">
      <w:start w:val="1"/>
      <w:numFmt w:val="decimal"/>
      <w:lvlText w:val="%1.%2.%3.%4.%5."/>
      <w:lvlJc w:val="left"/>
      <w:pPr>
        <w:ind w:left="2520" w:hanging="1080"/>
      </w:pPr>
      <w:rPr>
        <w:rFonts w:eastAsiaTheme="minorHAnsi" w:cs="Times New Roman" w:hint="default"/>
      </w:rPr>
    </w:lvl>
    <w:lvl w:ilvl="5">
      <w:start w:val="1"/>
      <w:numFmt w:val="decimal"/>
      <w:lvlText w:val="%1.%2.%3.%4.%5.%6."/>
      <w:lvlJc w:val="left"/>
      <w:pPr>
        <w:ind w:left="2880" w:hanging="1080"/>
      </w:pPr>
      <w:rPr>
        <w:rFonts w:eastAsiaTheme="minorHAnsi" w:cs="Times New Roman" w:hint="default"/>
      </w:rPr>
    </w:lvl>
    <w:lvl w:ilvl="6">
      <w:start w:val="1"/>
      <w:numFmt w:val="decimal"/>
      <w:lvlText w:val="%1.%2.%3.%4.%5.%6.%7."/>
      <w:lvlJc w:val="left"/>
      <w:pPr>
        <w:ind w:left="3240" w:hanging="1080"/>
      </w:pPr>
      <w:rPr>
        <w:rFonts w:eastAsiaTheme="minorHAnsi" w:cs="Times New Roman" w:hint="default"/>
      </w:rPr>
    </w:lvl>
    <w:lvl w:ilvl="7">
      <w:start w:val="1"/>
      <w:numFmt w:val="decimal"/>
      <w:lvlText w:val="%1.%2.%3.%4.%5.%6.%7.%8."/>
      <w:lvlJc w:val="left"/>
      <w:pPr>
        <w:ind w:left="3960" w:hanging="1440"/>
      </w:pPr>
      <w:rPr>
        <w:rFonts w:eastAsiaTheme="minorHAnsi" w:cs="Times New Roman" w:hint="default"/>
      </w:rPr>
    </w:lvl>
    <w:lvl w:ilvl="8">
      <w:start w:val="1"/>
      <w:numFmt w:val="decimal"/>
      <w:lvlText w:val="%1.%2.%3.%4.%5.%6.%7.%8.%9."/>
      <w:lvlJc w:val="left"/>
      <w:pPr>
        <w:ind w:left="4320" w:hanging="1440"/>
      </w:pPr>
      <w:rPr>
        <w:rFonts w:eastAsiaTheme="minorHAnsi" w:cs="Times New Roman" w:hint="default"/>
      </w:rPr>
    </w:lvl>
  </w:abstractNum>
  <w:num w:numId="1">
    <w:abstractNumId w:val="0"/>
  </w:num>
  <w:num w:numId="2">
    <w:abstractNumId w:val="15"/>
  </w:num>
  <w:num w:numId="3">
    <w:abstractNumId w:val="18"/>
  </w:num>
  <w:num w:numId="4">
    <w:abstractNumId w:val="22"/>
  </w:num>
  <w:num w:numId="5">
    <w:abstractNumId w:val="10"/>
  </w:num>
  <w:num w:numId="6">
    <w:abstractNumId w:val="13"/>
  </w:num>
  <w:num w:numId="7">
    <w:abstractNumId w:val="2"/>
  </w:num>
  <w:num w:numId="8">
    <w:abstractNumId w:val="5"/>
  </w:num>
  <w:num w:numId="9">
    <w:abstractNumId w:val="12"/>
  </w:num>
  <w:num w:numId="10">
    <w:abstractNumId w:val="3"/>
  </w:num>
  <w:num w:numId="11">
    <w:abstractNumId w:val="7"/>
  </w:num>
  <w:num w:numId="12">
    <w:abstractNumId w:val="11"/>
  </w:num>
  <w:num w:numId="13">
    <w:abstractNumId w:val="19"/>
  </w:num>
  <w:num w:numId="14">
    <w:abstractNumId w:val="17"/>
  </w:num>
  <w:num w:numId="15">
    <w:abstractNumId w:val="6"/>
  </w:num>
  <w:num w:numId="16">
    <w:abstractNumId w:val="8"/>
  </w:num>
  <w:num w:numId="17">
    <w:abstractNumId w:val="23"/>
  </w:num>
  <w:num w:numId="18">
    <w:abstractNumId w:val="4"/>
  </w:num>
  <w:num w:numId="19">
    <w:abstractNumId w:val="20"/>
  </w:num>
  <w:num w:numId="20">
    <w:abstractNumId w:val="14"/>
  </w:num>
  <w:num w:numId="21">
    <w:abstractNumId w:val="9"/>
  </w:num>
  <w:num w:numId="22">
    <w:abstractNumId w:val="1"/>
  </w:num>
  <w:num w:numId="23">
    <w:abstractNumId w:val="21"/>
  </w:num>
  <w:num w:numId="24">
    <w:abstractNumId w:val="1"/>
    <w:lvlOverride w:ilvl="0">
      <w:startOverride w:val="7"/>
    </w:lvlOverride>
  </w:num>
  <w:num w:numId="25">
    <w:abstractNumId w:val="16"/>
  </w:num>
  <w:num w:numId="26">
    <w:abstractNumId w:val="16"/>
    <w:lvlOverride w:ilvl="0">
      <w:startOverride w:val="3"/>
    </w:lvlOverride>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112"/>
    <w:rsid w:val="0003120B"/>
    <w:rsid w:val="0019240E"/>
    <w:rsid w:val="0091185B"/>
    <w:rsid w:val="00AC311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030A29-8163-4B58-B042-2E9CA0580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autoRedefine/>
    <w:uiPriority w:val="9"/>
    <w:qFormat/>
    <w:rsid w:val="00AC3112"/>
    <w:pPr>
      <w:keepNext/>
      <w:keepLines/>
      <w:numPr>
        <w:numId w:val="25"/>
      </w:numPr>
      <w:spacing w:before="240" w:after="120" w:line="240" w:lineRule="auto"/>
      <w:outlineLvl w:val="0"/>
    </w:pPr>
    <w:rPr>
      <w:rFonts w:ascii="Calibri" w:eastAsiaTheme="majorEastAsia" w:hAnsi="Calibri" w:cstheme="majorBidi"/>
      <w:b/>
      <w:color w:val="000000" w:themeColor="text1"/>
      <w:lang w:val="en-US"/>
    </w:rPr>
  </w:style>
  <w:style w:type="paragraph" w:styleId="Balk2">
    <w:name w:val="heading 2"/>
    <w:basedOn w:val="Normal"/>
    <w:next w:val="Normal"/>
    <w:link w:val="Balk2Char"/>
    <w:uiPriority w:val="9"/>
    <w:unhideWhenUsed/>
    <w:qFormat/>
    <w:rsid w:val="00AC3112"/>
    <w:pPr>
      <w:keepNext/>
      <w:keepLines/>
      <w:spacing w:before="240" w:after="240" w:line="240" w:lineRule="auto"/>
      <w:outlineLvl w:val="1"/>
    </w:pPr>
    <w:rPr>
      <w:rFonts w:ascii="Times New Roman" w:eastAsiaTheme="majorEastAsia" w:hAnsi="Times New Roman" w:cstheme="majorBidi"/>
      <w:b/>
      <w:color w:val="000000" w:themeColor="text1"/>
      <w:sz w:val="20"/>
      <w:szCs w:val="26"/>
      <w:lang w:val="en-US"/>
    </w:rPr>
  </w:style>
  <w:style w:type="paragraph" w:styleId="Balk3">
    <w:name w:val="heading 3"/>
    <w:basedOn w:val="Normal"/>
    <w:next w:val="Normal"/>
    <w:link w:val="Balk3Char"/>
    <w:autoRedefine/>
    <w:uiPriority w:val="9"/>
    <w:unhideWhenUsed/>
    <w:qFormat/>
    <w:rsid w:val="00AC3112"/>
    <w:pPr>
      <w:keepNext/>
      <w:keepLines/>
      <w:spacing w:before="360" w:after="240" w:line="240" w:lineRule="auto"/>
      <w:outlineLvl w:val="2"/>
    </w:pPr>
    <w:rPr>
      <w:rFonts w:ascii="Times New Roman" w:eastAsiaTheme="majorEastAsia" w:hAnsi="Times New Roman" w:cstheme="majorBidi"/>
      <w:b/>
      <w:i/>
      <w:color w:val="000000" w:themeColor="text1"/>
      <w:sz w:val="20"/>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DipnotBavurusu">
    <w:name w:val="footnote reference"/>
    <w:basedOn w:val="VarsaylanParagrafYazTipi"/>
    <w:uiPriority w:val="99"/>
    <w:semiHidden/>
    <w:unhideWhenUsed/>
    <w:rsid w:val="00AC3112"/>
    <w:rPr>
      <w:vertAlign w:val="superscript"/>
    </w:rPr>
  </w:style>
  <w:style w:type="paragraph" w:styleId="ListeParagraf">
    <w:name w:val="List Paragraph"/>
    <w:basedOn w:val="Normal"/>
    <w:link w:val="ListeParagrafChar"/>
    <w:uiPriority w:val="34"/>
    <w:qFormat/>
    <w:rsid w:val="00AC3112"/>
    <w:pPr>
      <w:ind w:left="720"/>
      <w:contextualSpacing/>
    </w:pPr>
  </w:style>
  <w:style w:type="character" w:customStyle="1" w:styleId="Balk1Char">
    <w:name w:val="Başlık 1 Char"/>
    <w:basedOn w:val="VarsaylanParagrafYazTipi"/>
    <w:link w:val="Balk1"/>
    <w:uiPriority w:val="9"/>
    <w:rsid w:val="00AC3112"/>
    <w:rPr>
      <w:rFonts w:ascii="Calibri" w:eastAsiaTheme="majorEastAsia" w:hAnsi="Calibri" w:cstheme="majorBidi"/>
      <w:b/>
      <w:color w:val="000000" w:themeColor="text1"/>
      <w:lang w:val="en-US"/>
    </w:rPr>
  </w:style>
  <w:style w:type="character" w:customStyle="1" w:styleId="Balk2Char">
    <w:name w:val="Başlık 2 Char"/>
    <w:basedOn w:val="VarsaylanParagrafYazTipi"/>
    <w:link w:val="Balk2"/>
    <w:uiPriority w:val="9"/>
    <w:rsid w:val="00AC3112"/>
    <w:rPr>
      <w:rFonts w:ascii="Times New Roman" w:eastAsiaTheme="majorEastAsia" w:hAnsi="Times New Roman" w:cstheme="majorBidi"/>
      <w:b/>
      <w:color w:val="000000" w:themeColor="text1"/>
      <w:sz w:val="20"/>
      <w:szCs w:val="26"/>
      <w:lang w:val="en-US"/>
    </w:rPr>
  </w:style>
  <w:style w:type="character" w:customStyle="1" w:styleId="Balk3Char">
    <w:name w:val="Başlık 3 Char"/>
    <w:basedOn w:val="VarsaylanParagrafYazTipi"/>
    <w:link w:val="Balk3"/>
    <w:uiPriority w:val="9"/>
    <w:rsid w:val="00AC3112"/>
    <w:rPr>
      <w:rFonts w:ascii="Times New Roman" w:eastAsiaTheme="majorEastAsia" w:hAnsi="Times New Roman" w:cstheme="majorBidi"/>
      <w:b/>
      <w:i/>
      <w:color w:val="000000" w:themeColor="text1"/>
      <w:sz w:val="20"/>
      <w:szCs w:val="24"/>
      <w:lang w:val="en-US"/>
    </w:rPr>
  </w:style>
  <w:style w:type="numbering" w:customStyle="1" w:styleId="ListeYok1">
    <w:name w:val="Liste Yok1"/>
    <w:next w:val="ListeYok"/>
    <w:uiPriority w:val="99"/>
    <w:semiHidden/>
    <w:unhideWhenUsed/>
    <w:rsid w:val="00AC3112"/>
  </w:style>
  <w:style w:type="paragraph" w:customStyle="1" w:styleId="anametin">
    <w:name w:val="ana metin"/>
    <w:basedOn w:val="Normal"/>
    <w:link w:val="anametinChar"/>
    <w:autoRedefine/>
    <w:qFormat/>
    <w:rsid w:val="00AC3112"/>
    <w:pPr>
      <w:autoSpaceDE w:val="0"/>
      <w:autoSpaceDN w:val="0"/>
      <w:adjustRightInd w:val="0"/>
      <w:spacing w:before="120" w:after="120" w:line="240" w:lineRule="auto"/>
      <w:ind w:firstLine="567"/>
      <w:jc w:val="both"/>
    </w:pPr>
    <w:rPr>
      <w:rFonts w:ascii="Calibri" w:hAnsi="Calibri" w:cs="Times New Roman"/>
      <w:bCs/>
      <w:szCs w:val="16"/>
      <w:shd w:val="clear" w:color="auto" w:fill="FFFFFF"/>
      <w:lang w:val="en-US" w:eastAsia="tr-TR"/>
    </w:rPr>
  </w:style>
  <w:style w:type="character" w:customStyle="1" w:styleId="anametinChar">
    <w:name w:val="ana metin Char"/>
    <w:basedOn w:val="VarsaylanParagrafYazTipi"/>
    <w:link w:val="anametin"/>
    <w:rsid w:val="00AC3112"/>
    <w:rPr>
      <w:rFonts w:ascii="Calibri" w:hAnsi="Calibri" w:cs="Times New Roman"/>
      <w:bCs/>
      <w:szCs w:val="16"/>
      <w:lang w:val="en-US" w:eastAsia="tr-TR"/>
    </w:rPr>
  </w:style>
  <w:style w:type="character" w:styleId="Vurgu">
    <w:name w:val="Emphasis"/>
    <w:basedOn w:val="VarsaylanParagrafYazTipi"/>
    <w:uiPriority w:val="20"/>
    <w:qFormat/>
    <w:rsid w:val="00AC3112"/>
    <w:rPr>
      <w:i/>
      <w:iCs/>
    </w:rPr>
  </w:style>
  <w:style w:type="character" w:customStyle="1" w:styleId="apple-converted-space">
    <w:name w:val="apple-converted-space"/>
    <w:basedOn w:val="VarsaylanParagrafYazTipi"/>
    <w:rsid w:val="00AC3112"/>
  </w:style>
  <w:style w:type="paragraph" w:customStyle="1" w:styleId="forml">
    <w:name w:val="formül"/>
    <w:basedOn w:val="Normal"/>
    <w:link w:val="formlChar"/>
    <w:rsid w:val="00AC3112"/>
    <w:pPr>
      <w:autoSpaceDE w:val="0"/>
      <w:autoSpaceDN w:val="0"/>
      <w:adjustRightInd w:val="0"/>
      <w:spacing w:before="240" w:after="240" w:line="480" w:lineRule="auto"/>
    </w:pPr>
    <w:rPr>
      <w:rFonts w:ascii="Cambria Math" w:hAnsi="Cambria Math" w:cs="Times New Roman"/>
      <w:bCs/>
      <w:i/>
      <w:sz w:val="20"/>
      <w:szCs w:val="16"/>
      <w:shd w:val="clear" w:color="auto" w:fill="FFFFFF"/>
      <w:lang w:val="en-US" w:eastAsia="tr-TR"/>
    </w:rPr>
  </w:style>
  <w:style w:type="character" w:customStyle="1" w:styleId="formlChar">
    <w:name w:val="formül Char"/>
    <w:basedOn w:val="VarsaylanParagrafYazTipi"/>
    <w:link w:val="forml"/>
    <w:rsid w:val="00AC3112"/>
    <w:rPr>
      <w:rFonts w:ascii="Cambria Math" w:hAnsi="Cambria Math" w:cs="Times New Roman"/>
      <w:bCs/>
      <w:i/>
      <w:sz w:val="20"/>
      <w:szCs w:val="16"/>
      <w:lang w:val="en-US" w:eastAsia="tr-TR"/>
    </w:rPr>
  </w:style>
  <w:style w:type="character" w:styleId="HafifVurgulama">
    <w:name w:val="Subtle Emphasis"/>
    <w:aliases w:val="Grafik,Tablo Başlığı"/>
    <w:basedOn w:val="VarsaylanParagrafYazTipi"/>
    <w:uiPriority w:val="19"/>
    <w:qFormat/>
    <w:rsid w:val="00AC3112"/>
    <w:rPr>
      <w:rFonts w:ascii="Times New Roman" w:hAnsi="Times New Roman"/>
      <w:i/>
      <w:iCs/>
      <w:color w:val="404040" w:themeColor="text1" w:themeTint="BF"/>
      <w:sz w:val="20"/>
    </w:rPr>
  </w:style>
  <w:style w:type="character" w:styleId="KitapBal">
    <w:name w:val="Book Title"/>
    <w:aliases w:val="Grafik Tablo Başlığı"/>
    <w:basedOn w:val="VarsaylanParagrafYazTipi"/>
    <w:uiPriority w:val="33"/>
    <w:qFormat/>
    <w:rsid w:val="00AC3112"/>
    <w:rPr>
      <w:rFonts w:ascii="Times New Roman" w:hAnsi="Times New Roman"/>
      <w:b/>
      <w:bCs/>
      <w:i w:val="0"/>
      <w:iCs/>
      <w:spacing w:val="5"/>
      <w:sz w:val="20"/>
    </w:rPr>
  </w:style>
  <w:style w:type="paragraph" w:customStyle="1" w:styleId="grafikii">
    <w:name w:val="grafikiçi"/>
    <w:basedOn w:val="Normal"/>
    <w:link w:val="grafikiiChar"/>
    <w:autoRedefine/>
    <w:qFormat/>
    <w:rsid w:val="00AC3112"/>
    <w:pPr>
      <w:spacing w:before="120" w:after="120" w:line="360" w:lineRule="auto"/>
      <w:ind w:left="142" w:right="282"/>
      <w:jc w:val="both"/>
      <w:outlineLvl w:val="0"/>
    </w:pPr>
    <w:rPr>
      <w:rFonts w:ascii="Times New Roman" w:hAnsi="Times New Roman"/>
      <w:sz w:val="18"/>
      <w:lang w:val="en-US" w:eastAsia="tr-TR"/>
    </w:rPr>
  </w:style>
  <w:style w:type="character" w:customStyle="1" w:styleId="grafikiiChar">
    <w:name w:val="grafikiçi Char"/>
    <w:basedOn w:val="VarsaylanParagrafYazTipi"/>
    <w:link w:val="grafikii"/>
    <w:rsid w:val="00AC3112"/>
    <w:rPr>
      <w:rFonts w:ascii="Times New Roman" w:hAnsi="Times New Roman"/>
      <w:sz w:val="18"/>
      <w:lang w:val="en-US" w:eastAsia="tr-TR"/>
    </w:rPr>
  </w:style>
  <w:style w:type="character" w:styleId="Kpr">
    <w:name w:val="Hyperlink"/>
    <w:basedOn w:val="VarsaylanParagrafYazTipi"/>
    <w:uiPriority w:val="99"/>
    <w:rsid w:val="00AC3112"/>
    <w:rPr>
      <w:rFonts w:cs="Times New Roman"/>
      <w:color w:val="0000FF"/>
      <w:u w:val="single"/>
    </w:rPr>
  </w:style>
  <w:style w:type="paragraph" w:styleId="DipnotMetni">
    <w:name w:val="footnote text"/>
    <w:basedOn w:val="Normal"/>
    <w:link w:val="DipnotMetniChar"/>
    <w:semiHidden/>
    <w:unhideWhenUsed/>
    <w:rsid w:val="00AC3112"/>
    <w:pPr>
      <w:spacing w:after="0" w:line="240" w:lineRule="auto"/>
    </w:pPr>
    <w:rPr>
      <w:rFonts w:ascii="Times New Roman" w:hAnsi="Times New Roman"/>
      <w:sz w:val="20"/>
      <w:szCs w:val="20"/>
      <w:lang w:val="en-US"/>
    </w:rPr>
  </w:style>
  <w:style w:type="character" w:customStyle="1" w:styleId="DipnotMetniChar">
    <w:name w:val="Dipnot Metni Char"/>
    <w:basedOn w:val="VarsaylanParagrafYazTipi"/>
    <w:link w:val="DipnotMetni"/>
    <w:semiHidden/>
    <w:rsid w:val="00AC3112"/>
    <w:rPr>
      <w:rFonts w:ascii="Times New Roman" w:hAnsi="Times New Roman"/>
      <w:sz w:val="20"/>
      <w:szCs w:val="20"/>
      <w:lang w:val="en-US"/>
    </w:rPr>
  </w:style>
  <w:style w:type="numbering" w:customStyle="1" w:styleId="ListeYok11">
    <w:name w:val="Liste Yok11"/>
    <w:next w:val="ListeYok"/>
    <w:uiPriority w:val="99"/>
    <w:semiHidden/>
    <w:unhideWhenUsed/>
    <w:rsid w:val="00AC3112"/>
  </w:style>
  <w:style w:type="table" w:styleId="TabloKlavuzu">
    <w:name w:val="Table Grid"/>
    <w:basedOn w:val="NormalTablo"/>
    <w:uiPriority w:val="39"/>
    <w:rsid w:val="00AC3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afikbal">
    <w:name w:val="grafik başlığı"/>
    <w:basedOn w:val="ListeParagraf"/>
    <w:link w:val="grafikbalChar"/>
    <w:autoRedefine/>
    <w:rsid w:val="00AC3112"/>
    <w:pPr>
      <w:spacing w:before="120" w:after="120" w:line="240" w:lineRule="auto"/>
      <w:ind w:left="0"/>
      <w:contextualSpacing w:val="0"/>
    </w:pPr>
    <w:rPr>
      <w:rFonts w:eastAsia="Times New Roman" w:cs="Times New Roman"/>
      <w:b/>
      <w:sz w:val="16"/>
      <w:szCs w:val="16"/>
      <w:shd w:val="clear" w:color="auto" w:fill="FFFFFF"/>
      <w:lang w:eastAsia="tr-TR"/>
    </w:rPr>
  </w:style>
  <w:style w:type="character" w:customStyle="1" w:styleId="ListeParagrafChar">
    <w:name w:val="Liste Paragraf Char"/>
    <w:basedOn w:val="VarsaylanParagrafYazTipi"/>
    <w:link w:val="ListeParagraf"/>
    <w:uiPriority w:val="34"/>
    <w:rsid w:val="00AC3112"/>
  </w:style>
  <w:style w:type="character" w:customStyle="1" w:styleId="grafikbalChar">
    <w:name w:val="grafik başlığı Char"/>
    <w:basedOn w:val="ListeParagrafChar"/>
    <w:link w:val="grafikbal"/>
    <w:rsid w:val="00AC3112"/>
    <w:rPr>
      <w:rFonts w:eastAsia="Times New Roman" w:cs="Times New Roman"/>
      <w:b/>
      <w:sz w:val="16"/>
      <w:szCs w:val="16"/>
      <w:lang w:eastAsia="tr-TR"/>
    </w:rPr>
  </w:style>
  <w:style w:type="paragraph" w:styleId="Altyaz">
    <w:name w:val="Subtitle"/>
    <w:basedOn w:val="Normal"/>
    <w:next w:val="Normal"/>
    <w:link w:val="AltyazChar"/>
    <w:uiPriority w:val="11"/>
    <w:qFormat/>
    <w:rsid w:val="00AC3112"/>
    <w:pPr>
      <w:numPr>
        <w:ilvl w:val="1"/>
      </w:numPr>
    </w:pPr>
    <w:rPr>
      <w:rFonts w:ascii="Times New Roman" w:eastAsiaTheme="minorEastAsia" w:hAnsi="Times New Roman"/>
      <w:color w:val="5A5A5A" w:themeColor="text1" w:themeTint="A5"/>
      <w:spacing w:val="15"/>
      <w:sz w:val="20"/>
      <w:lang w:val="en-US"/>
    </w:rPr>
  </w:style>
  <w:style w:type="character" w:customStyle="1" w:styleId="AltyazChar">
    <w:name w:val="Altyazı Char"/>
    <w:basedOn w:val="VarsaylanParagrafYazTipi"/>
    <w:link w:val="Altyaz"/>
    <w:uiPriority w:val="11"/>
    <w:rsid w:val="00AC3112"/>
    <w:rPr>
      <w:rFonts w:ascii="Times New Roman" w:eastAsiaTheme="minorEastAsia" w:hAnsi="Times New Roman"/>
      <w:color w:val="5A5A5A" w:themeColor="text1" w:themeTint="A5"/>
      <w:spacing w:val="15"/>
      <w:sz w:val="20"/>
      <w:lang w:val="en-US"/>
    </w:rPr>
  </w:style>
  <w:style w:type="paragraph" w:styleId="ResimYazs">
    <w:name w:val="caption"/>
    <w:basedOn w:val="Normal"/>
    <w:next w:val="Normal"/>
    <w:uiPriority w:val="35"/>
    <w:unhideWhenUsed/>
    <w:qFormat/>
    <w:rsid w:val="00AC3112"/>
    <w:pPr>
      <w:spacing w:after="200" w:line="240" w:lineRule="auto"/>
    </w:pPr>
    <w:rPr>
      <w:rFonts w:ascii="Times New Roman" w:hAnsi="Times New Roman"/>
      <w:i/>
      <w:iCs/>
      <w:color w:val="44546A" w:themeColor="text2"/>
      <w:sz w:val="18"/>
      <w:szCs w:val="18"/>
      <w:lang w:val="en-US"/>
    </w:rPr>
  </w:style>
  <w:style w:type="character" w:styleId="YerTutucuMetni">
    <w:name w:val="Placeholder Text"/>
    <w:basedOn w:val="VarsaylanParagrafYazTipi"/>
    <w:uiPriority w:val="99"/>
    <w:semiHidden/>
    <w:rsid w:val="00AC3112"/>
    <w:rPr>
      <w:color w:val="808080"/>
    </w:rPr>
  </w:style>
  <w:style w:type="character" w:customStyle="1" w:styleId="A7">
    <w:name w:val="A7"/>
    <w:uiPriority w:val="99"/>
    <w:rsid w:val="00AC3112"/>
    <w:rPr>
      <w:rFonts w:cs="Myriad Pro"/>
      <w:color w:val="000000"/>
      <w:sz w:val="16"/>
      <w:szCs w:val="16"/>
    </w:rPr>
  </w:style>
  <w:style w:type="paragraph" w:customStyle="1" w:styleId="tabloii">
    <w:name w:val="tablo içi"/>
    <w:basedOn w:val="Normal"/>
    <w:link w:val="tabloiiChar"/>
    <w:autoRedefine/>
    <w:rsid w:val="00AC3112"/>
    <w:pPr>
      <w:spacing w:before="60" w:after="240" w:line="240" w:lineRule="auto"/>
      <w:jc w:val="both"/>
    </w:pPr>
    <w:rPr>
      <w:rFonts w:ascii="Times New Roman" w:hAnsi="Times New Roman"/>
      <w:sz w:val="20"/>
      <w:lang w:val="en-US" w:eastAsia="tr-TR"/>
    </w:rPr>
  </w:style>
  <w:style w:type="character" w:customStyle="1" w:styleId="tabloiiChar">
    <w:name w:val="tablo içi Char"/>
    <w:basedOn w:val="VarsaylanParagrafYazTipi"/>
    <w:link w:val="tabloii"/>
    <w:rsid w:val="00AC3112"/>
    <w:rPr>
      <w:rFonts w:ascii="Times New Roman" w:hAnsi="Times New Roman"/>
      <w:sz w:val="20"/>
      <w:lang w:val="en-US" w:eastAsia="tr-TR"/>
    </w:rPr>
  </w:style>
  <w:style w:type="paragraph" w:styleId="BalonMetni">
    <w:name w:val="Balloon Text"/>
    <w:basedOn w:val="Normal"/>
    <w:link w:val="BalonMetniChar"/>
    <w:uiPriority w:val="99"/>
    <w:semiHidden/>
    <w:unhideWhenUsed/>
    <w:rsid w:val="00AC3112"/>
    <w:pPr>
      <w:spacing w:after="0" w:line="240" w:lineRule="auto"/>
    </w:pPr>
    <w:rPr>
      <w:rFonts w:ascii="Segoe UI" w:hAnsi="Segoe UI" w:cs="Segoe UI"/>
      <w:sz w:val="18"/>
      <w:szCs w:val="18"/>
      <w:lang w:val="en-US"/>
    </w:rPr>
  </w:style>
  <w:style w:type="character" w:customStyle="1" w:styleId="BalonMetniChar">
    <w:name w:val="Balon Metni Char"/>
    <w:basedOn w:val="VarsaylanParagrafYazTipi"/>
    <w:link w:val="BalonMetni"/>
    <w:uiPriority w:val="99"/>
    <w:semiHidden/>
    <w:rsid w:val="00AC3112"/>
    <w:rPr>
      <w:rFonts w:ascii="Segoe UI" w:hAnsi="Segoe UI" w:cs="Segoe UI"/>
      <w:sz w:val="18"/>
      <w:szCs w:val="18"/>
      <w:lang w:val="en-US"/>
    </w:rPr>
  </w:style>
  <w:style w:type="paragraph" w:customStyle="1" w:styleId="Default">
    <w:name w:val="Default"/>
    <w:rsid w:val="00AC3112"/>
    <w:pPr>
      <w:autoSpaceDE w:val="0"/>
      <w:autoSpaceDN w:val="0"/>
      <w:adjustRightInd w:val="0"/>
      <w:spacing w:after="0" w:line="240" w:lineRule="auto"/>
    </w:pPr>
    <w:rPr>
      <w:rFonts w:ascii="Arial" w:hAnsi="Arial" w:cs="Arial"/>
      <w:color w:val="000000"/>
      <w:sz w:val="24"/>
      <w:szCs w:val="24"/>
    </w:rPr>
  </w:style>
  <w:style w:type="paragraph" w:styleId="AralkYok">
    <w:name w:val="No Spacing"/>
    <w:aliases w:val="Grafik Başlığı"/>
    <w:autoRedefine/>
    <w:uiPriority w:val="1"/>
    <w:qFormat/>
    <w:rsid w:val="00AC3112"/>
    <w:pPr>
      <w:spacing w:before="120" w:after="120" w:line="240" w:lineRule="auto"/>
      <w:ind w:right="284"/>
    </w:pPr>
    <w:rPr>
      <w:rFonts w:ascii="Calibri" w:eastAsia="Times New Roman" w:hAnsi="Calibri" w:cs="Arial"/>
      <w:color w:val="000000"/>
      <w:szCs w:val="18"/>
      <w:lang w:val="en-US" w:eastAsia="tr-TR"/>
    </w:rPr>
  </w:style>
  <w:style w:type="paragraph" w:customStyle="1" w:styleId="tabloii0">
    <w:name w:val="tabloiçi"/>
    <w:basedOn w:val="Normal"/>
    <w:link w:val="tabloiiChar0"/>
    <w:autoRedefine/>
    <w:qFormat/>
    <w:rsid w:val="00AC3112"/>
    <w:pPr>
      <w:spacing w:after="0" w:line="240" w:lineRule="auto"/>
      <w:contextualSpacing/>
    </w:pPr>
    <w:rPr>
      <w:rFonts w:ascii="Times New Roman" w:eastAsia="Times New Roman" w:hAnsi="Times New Roman" w:cs="Arial"/>
      <w:sz w:val="14"/>
      <w:szCs w:val="18"/>
      <w:lang w:val="en-US" w:eastAsia="tr-TR"/>
    </w:rPr>
  </w:style>
  <w:style w:type="character" w:customStyle="1" w:styleId="tabloiiChar0">
    <w:name w:val="tabloiçi Char"/>
    <w:basedOn w:val="VarsaylanParagrafYazTipi"/>
    <w:link w:val="tabloii0"/>
    <w:rsid w:val="00AC3112"/>
    <w:rPr>
      <w:rFonts w:ascii="Times New Roman" w:eastAsia="Times New Roman" w:hAnsi="Times New Roman" w:cs="Arial"/>
      <w:sz w:val="14"/>
      <w:szCs w:val="18"/>
      <w:lang w:val="en-US" w:eastAsia="tr-TR"/>
    </w:rPr>
  </w:style>
  <w:style w:type="paragraph" w:customStyle="1" w:styleId="anametin0">
    <w:name w:val="anametin"/>
    <w:basedOn w:val="Normal"/>
    <w:autoRedefine/>
    <w:rsid w:val="00AC3112"/>
    <w:pPr>
      <w:tabs>
        <w:tab w:val="left" w:pos="3828"/>
      </w:tabs>
      <w:spacing w:before="240" w:after="120" w:line="240" w:lineRule="auto"/>
      <w:jc w:val="both"/>
    </w:pPr>
    <w:rPr>
      <w:rFonts w:ascii="Times New Roman" w:eastAsia="GaramondTurk" w:hAnsi="Times New Roman" w:cs="Arial"/>
      <w:lang w:val="en-US" w:eastAsia="tr-TR"/>
    </w:rPr>
  </w:style>
  <w:style w:type="paragraph" w:customStyle="1" w:styleId="formul">
    <w:name w:val="formul"/>
    <w:basedOn w:val="Normal"/>
    <w:autoRedefine/>
    <w:qFormat/>
    <w:rsid w:val="00AC3112"/>
    <w:pPr>
      <w:spacing w:before="120" w:after="120" w:line="240" w:lineRule="auto"/>
      <w:ind w:left="7513" w:hanging="5670"/>
      <w:jc w:val="right"/>
    </w:pPr>
    <w:rPr>
      <w:rFonts w:ascii="Cambria Math" w:eastAsiaTheme="minorEastAsia" w:hAnsi="Cambria Math" w:cs="Arial"/>
      <w:lang w:val="en-US" w:eastAsia="tr-TR"/>
    </w:rPr>
  </w:style>
  <w:style w:type="paragraph" w:customStyle="1" w:styleId="kaynaklar">
    <w:name w:val="kaynaklar"/>
    <w:basedOn w:val="Normal"/>
    <w:autoRedefine/>
    <w:qFormat/>
    <w:rsid w:val="00AC3112"/>
    <w:pPr>
      <w:widowControl w:val="0"/>
      <w:suppressAutoHyphens/>
      <w:spacing w:before="120" w:after="120" w:line="240" w:lineRule="auto"/>
      <w:ind w:left="709" w:hanging="567"/>
      <w:jc w:val="both"/>
    </w:pPr>
    <w:rPr>
      <w:rFonts w:ascii="Times New Roman" w:eastAsia="Times New Roman" w:hAnsi="Times New Roman" w:cs="Arial"/>
      <w:bCs/>
      <w:sz w:val="20"/>
      <w:szCs w:val="20"/>
      <w:lang w:val="en-US" w:eastAsia="ar-SA"/>
    </w:rPr>
  </w:style>
  <w:style w:type="paragraph" w:styleId="stbilgi">
    <w:name w:val="header"/>
    <w:basedOn w:val="Normal"/>
    <w:link w:val="stbilgiChar"/>
    <w:uiPriority w:val="99"/>
    <w:unhideWhenUsed/>
    <w:rsid w:val="00AC3112"/>
    <w:pPr>
      <w:tabs>
        <w:tab w:val="center" w:pos="4536"/>
        <w:tab w:val="right" w:pos="9072"/>
      </w:tabs>
      <w:spacing w:after="0" w:line="240" w:lineRule="auto"/>
    </w:pPr>
    <w:rPr>
      <w:rFonts w:ascii="Times New Roman" w:hAnsi="Times New Roman"/>
      <w:sz w:val="20"/>
      <w:lang w:val="en-US"/>
    </w:rPr>
  </w:style>
  <w:style w:type="character" w:customStyle="1" w:styleId="stbilgiChar">
    <w:name w:val="Üstbilgi Char"/>
    <w:basedOn w:val="VarsaylanParagrafYazTipi"/>
    <w:link w:val="stbilgi"/>
    <w:uiPriority w:val="99"/>
    <w:rsid w:val="00AC3112"/>
    <w:rPr>
      <w:rFonts w:ascii="Times New Roman" w:hAnsi="Times New Roman"/>
      <w:sz w:val="20"/>
      <w:lang w:val="en-US"/>
    </w:rPr>
  </w:style>
  <w:style w:type="paragraph" w:styleId="Altbilgi">
    <w:name w:val="footer"/>
    <w:basedOn w:val="Normal"/>
    <w:link w:val="AltbilgiChar"/>
    <w:uiPriority w:val="99"/>
    <w:unhideWhenUsed/>
    <w:rsid w:val="00AC3112"/>
    <w:pPr>
      <w:tabs>
        <w:tab w:val="center" w:pos="4536"/>
        <w:tab w:val="right" w:pos="9072"/>
      </w:tabs>
      <w:spacing w:after="0" w:line="240" w:lineRule="auto"/>
    </w:pPr>
    <w:rPr>
      <w:rFonts w:ascii="Times New Roman" w:hAnsi="Times New Roman"/>
      <w:sz w:val="20"/>
      <w:lang w:val="en-US"/>
    </w:rPr>
  </w:style>
  <w:style w:type="character" w:customStyle="1" w:styleId="AltbilgiChar">
    <w:name w:val="Altbilgi Char"/>
    <w:basedOn w:val="VarsaylanParagrafYazTipi"/>
    <w:link w:val="Altbilgi"/>
    <w:uiPriority w:val="99"/>
    <w:rsid w:val="00AC3112"/>
    <w:rPr>
      <w:rFonts w:ascii="Times New Roman" w:hAnsi="Times New Roman"/>
      <w:sz w:val="20"/>
      <w:lang w:val="en-US"/>
    </w:rPr>
  </w:style>
  <w:style w:type="table" w:customStyle="1" w:styleId="KlavuzuTablo4-Vurgu51">
    <w:name w:val="Kılavuzu Tablo 4 - Vurgu 51"/>
    <w:basedOn w:val="NormalTablo"/>
    <w:uiPriority w:val="49"/>
    <w:rsid w:val="00AC311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eTablo1Ak1">
    <w:name w:val="Liste Tablo 1 Açık1"/>
    <w:basedOn w:val="NormalTablo"/>
    <w:uiPriority w:val="46"/>
    <w:rsid w:val="00AC311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6Renkli1">
    <w:name w:val="Kılavuz Tablo 6 Renkli1"/>
    <w:basedOn w:val="NormalTablo"/>
    <w:uiPriority w:val="51"/>
    <w:rsid w:val="00AC311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ListeYok111">
    <w:name w:val="Liste Yok111"/>
    <w:next w:val="ListeYok"/>
    <w:uiPriority w:val="99"/>
    <w:semiHidden/>
    <w:unhideWhenUsed/>
    <w:rsid w:val="00AC3112"/>
  </w:style>
  <w:style w:type="table" w:customStyle="1" w:styleId="TabloKlavuzu1">
    <w:name w:val="Tablo Kılavuzu1"/>
    <w:basedOn w:val="NormalTablo"/>
    <w:next w:val="TabloKlavuzu"/>
    <w:uiPriority w:val="39"/>
    <w:rsid w:val="00AC3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ateokitem">
    <w:name w:val="state_ok_item"/>
    <w:basedOn w:val="VarsaylanParagrafYazTipi"/>
    <w:rsid w:val="00AC3112"/>
  </w:style>
  <w:style w:type="character" w:customStyle="1" w:styleId="text">
    <w:name w:val="text"/>
    <w:basedOn w:val="VarsaylanParagrafYazTipi"/>
    <w:rsid w:val="00AC3112"/>
  </w:style>
  <w:style w:type="character" w:customStyle="1" w:styleId="colloinexa">
    <w:name w:val="colloinexa"/>
    <w:basedOn w:val="VarsaylanParagrafYazTipi"/>
    <w:rsid w:val="00AC3112"/>
  </w:style>
  <w:style w:type="character" w:customStyle="1" w:styleId="ft">
    <w:name w:val="ft"/>
    <w:basedOn w:val="VarsaylanParagrafYazTipi"/>
    <w:rsid w:val="00AC3112"/>
  </w:style>
  <w:style w:type="paragraph" w:customStyle="1" w:styleId="Normal1">
    <w:name w:val="Normal1"/>
    <w:rsid w:val="00AC3112"/>
    <w:rPr>
      <w:rFonts w:ascii="Times New Roman" w:eastAsia="Times New Roman" w:hAnsi="Times New Roman" w:cs="Times New Roman"/>
      <w:color w:val="000000"/>
      <w:sz w:val="20"/>
      <w:szCs w:val="20"/>
      <w:lang w:eastAsia="tr-TR"/>
    </w:rPr>
  </w:style>
  <w:style w:type="paragraph" w:customStyle="1" w:styleId="Normal2">
    <w:name w:val="Normal2"/>
    <w:basedOn w:val="anametin"/>
    <w:link w:val="normalChar"/>
    <w:qFormat/>
    <w:rsid w:val="00AC3112"/>
    <w:rPr>
      <w:rFonts w:eastAsia="Times New Roman"/>
    </w:rPr>
  </w:style>
  <w:style w:type="character" w:customStyle="1" w:styleId="normalChar">
    <w:name w:val="normal Char"/>
    <w:basedOn w:val="anametinChar"/>
    <w:link w:val="Normal2"/>
    <w:rsid w:val="00AC3112"/>
    <w:rPr>
      <w:rFonts w:ascii="Calibri" w:eastAsia="Times New Roman" w:hAnsi="Calibri" w:cs="Times New Roman"/>
      <w:bCs/>
      <w:szCs w:val="16"/>
      <w:lang w:val="en-US" w:eastAsia="tr-TR"/>
    </w:rPr>
  </w:style>
  <w:style w:type="paragraph" w:customStyle="1" w:styleId="Stil1">
    <w:name w:val="Stil1"/>
    <w:basedOn w:val="Normal"/>
    <w:link w:val="Stil1Char"/>
    <w:qFormat/>
    <w:rsid w:val="00AC3112"/>
    <w:pPr>
      <w:keepNext/>
      <w:keepLines/>
      <w:spacing w:before="240" w:after="240" w:line="240" w:lineRule="auto"/>
      <w:outlineLvl w:val="0"/>
    </w:pPr>
    <w:rPr>
      <w:rFonts w:ascii="Calibri" w:eastAsiaTheme="majorEastAsia" w:hAnsi="Calibri" w:cs="Times New Roman"/>
      <w:b/>
      <w:lang w:val="en-US"/>
    </w:rPr>
  </w:style>
  <w:style w:type="character" w:customStyle="1" w:styleId="Stil1Char">
    <w:name w:val="Stil1 Char"/>
    <w:basedOn w:val="VarsaylanParagrafYazTipi"/>
    <w:link w:val="Stil1"/>
    <w:rsid w:val="00AC3112"/>
    <w:rPr>
      <w:rFonts w:ascii="Calibri" w:eastAsiaTheme="majorEastAsia" w:hAnsi="Calibri" w:cs="Times New Roman"/>
      <w:b/>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2.xml"/><Relationship Id="rId3" Type="http://schemas.openxmlformats.org/officeDocument/2006/relationships/settings" Target="settings.xml"/><Relationship Id="rId21" Type="http://schemas.openxmlformats.org/officeDocument/2006/relationships/hyperlink" Target="http://www.wiod.org/new_site/database/niots.htm" TargetMode="Externa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chart" Target="charts/chart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theme" Target="theme/theme1.xml"/><Relationship Id="rId10" Type="http://schemas.openxmlformats.org/officeDocument/2006/relationships/chart" Target="charts/chart4.xml"/><Relationship Id="rId19" Type="http://schemas.openxmlformats.org/officeDocument/2006/relationships/chart" Target="charts/chart13.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_al__ma_Sayfas_7.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_al__ma_Sayfas_8.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_al__ma_Sayfas_9.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al__ma_Sayfas_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_al__ma_Sayfas_6.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776849072803459E-2"/>
          <c:y val="9.0935287364172418E-2"/>
          <c:w val="0.94223785527637316"/>
          <c:h val="0.78927375999947136"/>
        </c:manualLayout>
      </c:layout>
      <c:lineChart>
        <c:grouping val="standard"/>
        <c:varyColors val="0"/>
        <c:ser>
          <c:idx val="0"/>
          <c:order val="0"/>
          <c:tx>
            <c:strRef>
              <c:f>Sayfa9!$C$78</c:f>
              <c:strCache>
                <c:ptCount val="1"/>
                <c:pt idx="0">
                  <c:v>Import Intensity</c:v>
                </c:pt>
              </c:strCache>
            </c:strRef>
          </c:tx>
          <c:spPr>
            <a:ln w="28575" cap="rnd">
              <a:solidFill>
                <a:schemeClr val="accent1">
                  <a:lumMod val="75000"/>
                </a:schemeClr>
              </a:solidFill>
              <a:round/>
            </a:ln>
            <a:effectLst/>
          </c:spPr>
          <c:marker>
            <c:symbol val="circle"/>
            <c:size val="5"/>
            <c:spPr>
              <a:solidFill>
                <a:schemeClr val="accent1"/>
              </a:solidFill>
              <a:ln w="9525">
                <a:solidFill>
                  <a:schemeClr val="accent1"/>
                </a:solidFill>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Lst>
            </c:dLbl>
            <c:dLbl>
              <c:idx val="12"/>
              <c:dLblPos val="t"/>
              <c:showLegendKey val="0"/>
              <c:showVal val="1"/>
              <c:showCatName val="0"/>
              <c:showSerName val="0"/>
              <c:showPercent val="0"/>
              <c:showBubbleSize val="0"/>
              <c:extLst>
                <c:ext xmlns:c15="http://schemas.microsoft.com/office/drawing/2012/chart" uri="{CE6537A1-D6FC-4f65-9D91-7224C49458BB}"/>
              </c:extLst>
            </c:dLbl>
            <c:dLbl>
              <c:idx val="16"/>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Sayfa9!$B$79:$B$95</c:f>
              <c:numCache>
                <c:formatCode>General</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Sayfa9!$C$79:$C$95</c:f>
              <c:numCache>
                <c:formatCode>#,##0.00</c:formatCode>
                <c:ptCount val="17"/>
                <c:pt idx="0">
                  <c:v>4.4841998997510131E-2</c:v>
                </c:pt>
                <c:pt idx="1">
                  <c:v>5.2631355646469806E-2</c:v>
                </c:pt>
                <c:pt idx="2">
                  <c:v>5.9645283626942207E-2</c:v>
                </c:pt>
                <c:pt idx="3">
                  <c:v>4.9499025277642765E-2</c:v>
                </c:pt>
                <c:pt idx="4">
                  <c:v>4.9917000941517825E-2</c:v>
                </c:pt>
                <c:pt idx="5">
                  <c:v>6.4505318696901029E-2</c:v>
                </c:pt>
                <c:pt idx="6">
                  <c:v>7.9562994273501678E-2</c:v>
                </c:pt>
                <c:pt idx="7">
                  <c:v>8.45124268157849E-2</c:v>
                </c:pt>
                <c:pt idx="8">
                  <c:v>8.7455202932135295E-2</c:v>
                </c:pt>
                <c:pt idx="9">
                  <c:v>9.2341355843710698E-2</c:v>
                </c:pt>
                <c:pt idx="10">
                  <c:v>9.6920382555779991E-2</c:v>
                </c:pt>
                <c:pt idx="11">
                  <c:v>0.11479503006831561</c:v>
                </c:pt>
                <c:pt idx="12">
                  <c:v>0.11486062157336588</c:v>
                </c:pt>
                <c:pt idx="13">
                  <c:v>6.6404022939150875E-2</c:v>
                </c:pt>
                <c:pt idx="14">
                  <c:v>5.0033032722788376E-2</c:v>
                </c:pt>
                <c:pt idx="15">
                  <c:v>5.2424525097325224E-2</c:v>
                </c:pt>
                <c:pt idx="16">
                  <c:v>6.6400439936629113E-2</c:v>
                </c:pt>
              </c:numCache>
            </c:numRef>
          </c:val>
          <c:smooth val="0"/>
        </c:ser>
        <c:ser>
          <c:idx val="1"/>
          <c:order val="1"/>
          <c:tx>
            <c:strRef>
              <c:f>Sayfa9!$D$78</c:f>
              <c:strCache>
                <c:ptCount val="1"/>
                <c:pt idx="0">
                  <c:v>Domestic Intermediate Intensity</c:v>
                </c:pt>
              </c:strCache>
            </c:strRef>
          </c:tx>
          <c:spPr>
            <a:ln w="28575" cap="rnd">
              <a:solidFill>
                <a:srgbClr val="C00000"/>
              </a:solidFill>
              <a:round/>
            </a:ln>
            <a:effectLst/>
          </c:spPr>
          <c:marker>
            <c:symbol val="circle"/>
            <c:size val="5"/>
            <c:spPr>
              <a:solidFill>
                <a:schemeClr val="accent2"/>
              </a:solidFill>
              <a:ln w="9525">
                <a:solidFill>
                  <a:schemeClr val="accent2"/>
                </a:solidFill>
              </a:ln>
              <a:effectLst/>
            </c:spPr>
          </c:marker>
          <c:dLbls>
            <c:dLbl>
              <c:idx val="0"/>
              <c:layout>
                <c:manualLayout>
                  <c:x val="-3.3826702087418531E-2"/>
                  <c:y val="-5.389306198635415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2.9519689387252957E-2"/>
                  <c:y val="-7.61601608309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6"/>
              <c:layout>
                <c:manualLayout>
                  <c:x val="-3.7478749722822474E-2"/>
                  <c:y val="-7.616016083095995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tr-T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Sayfa9!$B$79:$B$95</c:f>
              <c:numCache>
                <c:formatCode>General</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Sayfa9!$D$79:$D$95</c:f>
              <c:numCache>
                <c:formatCode>#,##0.00</c:formatCode>
                <c:ptCount val="17"/>
                <c:pt idx="0">
                  <c:v>0.36739165665868384</c:v>
                </c:pt>
                <c:pt idx="1">
                  <c:v>0.35343349139552427</c:v>
                </c:pt>
                <c:pt idx="2">
                  <c:v>0.35952914688734222</c:v>
                </c:pt>
                <c:pt idx="3">
                  <c:v>0.37268381737694767</c:v>
                </c:pt>
                <c:pt idx="4">
                  <c:v>0.41943927740669362</c:v>
                </c:pt>
                <c:pt idx="5">
                  <c:v>0.43111544569598903</c:v>
                </c:pt>
                <c:pt idx="6">
                  <c:v>0.43995116041515669</c:v>
                </c:pt>
                <c:pt idx="7">
                  <c:v>0.44814035113357825</c:v>
                </c:pt>
                <c:pt idx="8">
                  <c:v>0.44495674575071364</c:v>
                </c:pt>
                <c:pt idx="9">
                  <c:v>0.43619289823708279</c:v>
                </c:pt>
                <c:pt idx="10">
                  <c:v>0.4333402104374498</c:v>
                </c:pt>
                <c:pt idx="11">
                  <c:v>0.41717410782185727</c:v>
                </c:pt>
                <c:pt idx="12">
                  <c:v>0.41843123026307572</c:v>
                </c:pt>
                <c:pt idx="13">
                  <c:v>0.48357402350244622</c:v>
                </c:pt>
                <c:pt idx="14">
                  <c:v>0.49987852883910849</c:v>
                </c:pt>
                <c:pt idx="15">
                  <c:v>0.49490592243852177</c:v>
                </c:pt>
                <c:pt idx="16" formatCode="#,##0.000">
                  <c:v>0.4786775416829317</c:v>
                </c:pt>
              </c:numCache>
            </c:numRef>
          </c:val>
          <c:smooth val="0"/>
        </c:ser>
        <c:ser>
          <c:idx val="2"/>
          <c:order val="2"/>
          <c:tx>
            <c:strRef>
              <c:f>Sayfa9!$E$78</c:f>
              <c:strCache>
                <c:ptCount val="1"/>
                <c:pt idx="0">
                  <c:v>Value Added Intensity</c:v>
                </c:pt>
              </c:strCache>
            </c:strRef>
          </c:tx>
          <c:spPr>
            <a:ln w="28575" cap="rnd">
              <a:solidFill>
                <a:schemeClr val="bg2">
                  <a:lumMod val="50000"/>
                </a:schemeClr>
              </a:solidFill>
              <a:round/>
            </a:ln>
            <a:effectLst/>
          </c:spPr>
          <c:marker>
            <c:symbol val="circle"/>
            <c:size val="5"/>
            <c:spPr>
              <a:solidFill>
                <a:schemeClr val="accent3"/>
              </a:solidFill>
              <a:ln w="9525">
                <a:solidFill>
                  <a:schemeClr val="accent3"/>
                </a:solidFill>
              </a:ln>
              <a:effectLst/>
            </c:spPr>
          </c:marker>
          <c:dLbls>
            <c:dLbl>
              <c:idx val="0"/>
              <c:layout>
                <c:manualLayout>
                  <c:x val="-2.9409253164171718E-2"/>
                  <c:y val="3.816677690892780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2.9519689387252877E-2"/>
                  <c:y val="-6.648898094701413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6"/>
              <c:layout>
                <c:manualLayout>
                  <c:x val="-3.3061300799575644E-2"/>
                  <c:y val="6.890753742822766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tr-T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Sayfa9!$B$79:$B$95</c:f>
              <c:numCache>
                <c:formatCode>General</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Sayfa9!$E$79:$E$95</c:f>
              <c:numCache>
                <c:formatCode>#,##0.00</c:formatCode>
                <c:ptCount val="17"/>
                <c:pt idx="0">
                  <c:v>0.55959084897073075</c:v>
                </c:pt>
                <c:pt idx="1">
                  <c:v>0.55943900884780884</c:v>
                </c:pt>
                <c:pt idx="2">
                  <c:v>0.54948975030805081</c:v>
                </c:pt>
                <c:pt idx="3">
                  <c:v>0.5430513136593178</c:v>
                </c:pt>
                <c:pt idx="4">
                  <c:v>0.50014500949103302</c:v>
                </c:pt>
                <c:pt idx="5">
                  <c:v>0.47316814265489449</c:v>
                </c:pt>
                <c:pt idx="6">
                  <c:v>0.45158936825690915</c:v>
                </c:pt>
                <c:pt idx="7">
                  <c:v>0.43397671933683873</c:v>
                </c:pt>
                <c:pt idx="8">
                  <c:v>0.43466235377504148</c:v>
                </c:pt>
                <c:pt idx="9">
                  <c:v>0.43540908798731659</c:v>
                </c:pt>
                <c:pt idx="10">
                  <c:v>0.43529844513068267</c:v>
                </c:pt>
                <c:pt idx="11">
                  <c:v>0.43544196641029392</c:v>
                </c:pt>
                <c:pt idx="12">
                  <c:v>0.43419519304747045</c:v>
                </c:pt>
                <c:pt idx="13">
                  <c:v>0.43368061355537069</c:v>
                </c:pt>
                <c:pt idx="14">
                  <c:v>0.43382592820647159</c:v>
                </c:pt>
                <c:pt idx="15">
                  <c:v>0.43485672653967811</c:v>
                </c:pt>
                <c:pt idx="16" formatCode="#,##0.000">
                  <c:v>0.43500531174980661</c:v>
                </c:pt>
              </c:numCache>
            </c:numRef>
          </c:val>
          <c:smooth val="0"/>
        </c:ser>
        <c:dLbls>
          <c:showLegendKey val="0"/>
          <c:showVal val="0"/>
          <c:showCatName val="0"/>
          <c:showSerName val="0"/>
          <c:showPercent val="0"/>
          <c:showBubbleSize val="0"/>
        </c:dLbls>
        <c:marker val="1"/>
        <c:smooth val="0"/>
        <c:axId val="373541392"/>
        <c:axId val="373543024"/>
      </c:lineChart>
      <c:catAx>
        <c:axId val="37354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tr-TR"/>
          </a:p>
        </c:txPr>
        <c:crossAx val="373543024"/>
        <c:crosses val="autoZero"/>
        <c:auto val="1"/>
        <c:lblAlgn val="ctr"/>
        <c:lblOffset val="100"/>
        <c:noMultiLvlLbl val="0"/>
      </c:catAx>
      <c:valAx>
        <c:axId val="3735430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tr-TR"/>
          </a:p>
        </c:txPr>
        <c:crossAx val="373541392"/>
        <c:crosses val="autoZero"/>
        <c:crossBetween val="between"/>
      </c:valAx>
      <c:spPr>
        <a:solidFill>
          <a:schemeClr val="bg2"/>
        </a:solidFill>
        <a:ln>
          <a:noFill/>
        </a:ln>
        <a:effectLst/>
        <a:scene3d>
          <a:camera prst="orthographicFront"/>
          <a:lightRig rig="threePt" dir="t"/>
        </a:scene3d>
        <a:sp3d>
          <a:bevelT/>
        </a:sp3d>
      </c:spPr>
    </c:plotArea>
    <c:legend>
      <c:legendPos val="t"/>
      <c:legendEntry>
        <c:idx val="0"/>
        <c:txPr>
          <a:bodyPr rot="0" vert="horz"/>
          <a:lstStyle/>
          <a:p>
            <a:pPr>
              <a:defRPr/>
            </a:pPr>
            <a:endParaRPr lang="tr-TR"/>
          </a:p>
        </c:txPr>
      </c:legendEntry>
      <c:layout>
        <c:manualLayout>
          <c:xMode val="edge"/>
          <c:yMode val="edge"/>
          <c:x val="0.11429436036122211"/>
          <c:y val="0"/>
          <c:w val="0.7581589325078153"/>
          <c:h val="9.4214806804855389E-2"/>
        </c:manualLayout>
      </c:layout>
      <c:overlay val="0"/>
      <c:spPr>
        <a:noFill/>
        <a:ln>
          <a:noFill/>
        </a:ln>
        <a:effectLst/>
      </c:spPr>
      <c:txPr>
        <a:bodyPr rot="0" vert="horz"/>
        <a:lstStyle/>
        <a:p>
          <a:pPr>
            <a:defRPr/>
          </a:pPr>
          <a:endParaRPr lang="tr-TR"/>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sz="900" baseline="0">
          <a:latin typeface="Calibri" panose="020F0502020204030204" pitchFamily="34" charset="0"/>
        </a:defRPr>
      </a:pPr>
      <a:endParaRPr lang="tr-TR"/>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028353850134933E-2"/>
          <c:y val="0.22965256551411639"/>
          <c:w val="0.93115004990573358"/>
          <c:h val="0.56542667148938541"/>
        </c:manualLayout>
      </c:layout>
      <c:lineChart>
        <c:grouping val="standard"/>
        <c:varyColors val="0"/>
        <c:ser>
          <c:idx val="0"/>
          <c:order val="0"/>
          <c:tx>
            <c:strRef>
              <c:f>'[Microsoft Word uygulamasında grafik]Sayfa8'!$B$3</c:f>
              <c:strCache>
                <c:ptCount val="1"/>
                <c:pt idx="0">
                  <c:v>Agriculture </c:v>
                </c:pt>
              </c:strCache>
            </c:strRef>
          </c:tx>
          <c:spPr>
            <a:ln w="28575" cap="rnd">
              <a:solidFill>
                <a:srgbClr val="7030A0"/>
              </a:solidFill>
              <a:round/>
            </a:ln>
            <a:effectLst/>
          </c:spPr>
          <c:marker>
            <c:symbol val="circle"/>
            <c:size val="5"/>
            <c:spPr>
              <a:solidFill>
                <a:schemeClr val="accent1"/>
              </a:solidFill>
              <a:ln w="9525">
                <a:solidFill>
                  <a:schemeClr val="accent1"/>
                </a:solidFill>
              </a:ln>
              <a:effectLst/>
            </c:spPr>
          </c:marker>
          <c:cat>
            <c:numRef>
              <c:f>'[Microsoft Word uygulamasında grafik]Sayfa8'!$C$2:$S$2</c:f>
              <c:numCache>
                <c:formatCode>General</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'[Microsoft Word uygulamasında grafik]Sayfa8'!$C$3:$S$3</c:f>
              <c:numCache>
                <c:formatCode>General</c:formatCode>
                <c:ptCount val="17"/>
                <c:pt idx="0">
                  <c:v>9.14</c:v>
                </c:pt>
                <c:pt idx="1">
                  <c:v>10</c:v>
                </c:pt>
                <c:pt idx="2">
                  <c:v>8.23</c:v>
                </c:pt>
                <c:pt idx="3">
                  <c:v>9.85</c:v>
                </c:pt>
                <c:pt idx="4">
                  <c:v>7.83</c:v>
                </c:pt>
                <c:pt idx="5">
                  <c:v>7.43</c:v>
                </c:pt>
                <c:pt idx="6">
                  <c:v>6.24</c:v>
                </c:pt>
                <c:pt idx="7">
                  <c:v>7.29</c:v>
                </c:pt>
                <c:pt idx="8">
                  <c:v>7.12</c:v>
                </c:pt>
                <c:pt idx="9">
                  <c:v>6.85</c:v>
                </c:pt>
                <c:pt idx="10">
                  <c:v>6.79</c:v>
                </c:pt>
                <c:pt idx="11">
                  <c:v>5.98</c:v>
                </c:pt>
                <c:pt idx="12">
                  <c:v>5.5</c:v>
                </c:pt>
                <c:pt idx="13">
                  <c:v>5.5</c:v>
                </c:pt>
                <c:pt idx="14">
                  <c:v>6.1</c:v>
                </c:pt>
                <c:pt idx="15">
                  <c:v>6.27</c:v>
                </c:pt>
                <c:pt idx="16">
                  <c:v>5.97</c:v>
                </c:pt>
              </c:numCache>
            </c:numRef>
          </c:val>
          <c:smooth val="0"/>
        </c:ser>
        <c:ser>
          <c:idx val="1"/>
          <c:order val="1"/>
          <c:tx>
            <c:strRef>
              <c:f>'[Microsoft Word uygulamasında grafik]Sayfa8'!$B$4</c:f>
              <c:strCache>
                <c:ptCount val="1"/>
                <c:pt idx="0">
                  <c:v>Food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'[Microsoft Word uygulamasında grafik]Sayfa8'!$C$2:$S$2</c:f>
              <c:numCache>
                <c:formatCode>General</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'[Microsoft Word uygulamasında grafik]Sayfa8'!$C$4:$S$4</c:f>
              <c:numCache>
                <c:formatCode>General</c:formatCode>
                <c:ptCount val="17"/>
                <c:pt idx="0">
                  <c:v>7.12</c:v>
                </c:pt>
                <c:pt idx="1">
                  <c:v>6.49</c:v>
                </c:pt>
                <c:pt idx="2">
                  <c:v>6.77</c:v>
                </c:pt>
                <c:pt idx="3">
                  <c:v>6.37</c:v>
                </c:pt>
                <c:pt idx="4">
                  <c:v>6.13</c:v>
                </c:pt>
                <c:pt idx="5">
                  <c:v>6.12</c:v>
                </c:pt>
                <c:pt idx="6">
                  <c:v>6.09</c:v>
                </c:pt>
                <c:pt idx="7">
                  <c:v>6.21</c:v>
                </c:pt>
                <c:pt idx="8">
                  <c:v>6.27</c:v>
                </c:pt>
                <c:pt idx="9">
                  <c:v>6.2</c:v>
                </c:pt>
                <c:pt idx="10">
                  <c:v>6.2</c:v>
                </c:pt>
                <c:pt idx="11">
                  <c:v>6.17</c:v>
                </c:pt>
                <c:pt idx="12">
                  <c:v>6</c:v>
                </c:pt>
                <c:pt idx="13">
                  <c:v>5.76</c:v>
                </c:pt>
                <c:pt idx="14">
                  <c:v>5.52</c:v>
                </c:pt>
                <c:pt idx="15">
                  <c:v>5.73</c:v>
                </c:pt>
                <c:pt idx="16">
                  <c:v>5.92</c:v>
                </c:pt>
              </c:numCache>
            </c:numRef>
          </c:val>
          <c:smooth val="0"/>
        </c:ser>
        <c:ser>
          <c:idx val="2"/>
          <c:order val="2"/>
          <c:tx>
            <c:strRef>
              <c:f>'[Microsoft Word uygulamasında grafik]Sayfa8'!$B$5</c:f>
              <c:strCache>
                <c:ptCount val="1"/>
                <c:pt idx="0">
                  <c:v>Textile</c:v>
                </c:pt>
              </c:strCache>
            </c:strRef>
          </c:tx>
          <c:spPr>
            <a:ln w="28575" cap="rnd">
              <a:solidFill>
                <a:schemeClr val="accent3">
                  <a:lumMod val="50000"/>
                </a:schemeClr>
              </a:solidFill>
              <a:round/>
            </a:ln>
            <a:effectLst/>
          </c:spPr>
          <c:marker>
            <c:symbol val="circle"/>
            <c:size val="5"/>
            <c:spPr>
              <a:solidFill>
                <a:schemeClr val="accent3"/>
              </a:solidFill>
              <a:ln w="9525">
                <a:solidFill>
                  <a:schemeClr val="accent3"/>
                </a:solidFill>
              </a:ln>
              <a:effectLst/>
            </c:spPr>
          </c:marker>
          <c:cat>
            <c:numRef>
              <c:f>'[Microsoft Word uygulamasında grafik]Sayfa8'!$C$2:$S$2</c:f>
              <c:numCache>
                <c:formatCode>General</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'[Microsoft Word uygulamasında grafik]Sayfa8'!$C$5:$S$5</c:f>
              <c:numCache>
                <c:formatCode>General</c:formatCode>
                <c:ptCount val="17"/>
                <c:pt idx="0">
                  <c:v>6.27</c:v>
                </c:pt>
                <c:pt idx="1">
                  <c:v>5.63</c:v>
                </c:pt>
                <c:pt idx="2">
                  <c:v>5.75</c:v>
                </c:pt>
                <c:pt idx="3">
                  <c:v>5.3</c:v>
                </c:pt>
                <c:pt idx="4">
                  <c:v>5.85</c:v>
                </c:pt>
                <c:pt idx="5">
                  <c:v>6.58</c:v>
                </c:pt>
                <c:pt idx="6">
                  <c:v>7.26</c:v>
                </c:pt>
                <c:pt idx="7">
                  <c:v>8.08</c:v>
                </c:pt>
                <c:pt idx="8">
                  <c:v>8.17</c:v>
                </c:pt>
                <c:pt idx="9">
                  <c:v>8.08</c:v>
                </c:pt>
                <c:pt idx="10">
                  <c:v>8.08</c:v>
                </c:pt>
                <c:pt idx="11">
                  <c:v>8.0500000000000007</c:v>
                </c:pt>
                <c:pt idx="12">
                  <c:v>7.84</c:v>
                </c:pt>
                <c:pt idx="13">
                  <c:v>7.54</c:v>
                </c:pt>
                <c:pt idx="14">
                  <c:v>7.23</c:v>
                </c:pt>
                <c:pt idx="15">
                  <c:v>7.48</c:v>
                </c:pt>
                <c:pt idx="16">
                  <c:v>7.74</c:v>
                </c:pt>
              </c:numCache>
            </c:numRef>
          </c:val>
          <c:smooth val="0"/>
        </c:ser>
        <c:ser>
          <c:idx val="3"/>
          <c:order val="3"/>
          <c:tx>
            <c:strRef>
              <c:f>'[Microsoft Word uygulamasında grafik]Sayfa8'!$B$6</c:f>
              <c:strCache>
                <c:ptCount val="1"/>
                <c:pt idx="0">
                  <c:v>Metal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'[Microsoft Word uygulamasında grafik]Sayfa8'!$C$2:$S$2</c:f>
              <c:numCache>
                <c:formatCode>General</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'[Microsoft Word uygulamasında grafik]Sayfa8'!$C$6:$S$6</c:f>
              <c:numCache>
                <c:formatCode>General</c:formatCode>
                <c:ptCount val="17"/>
                <c:pt idx="0">
                  <c:v>4.3600000000000003</c:v>
                </c:pt>
                <c:pt idx="1">
                  <c:v>3.92</c:v>
                </c:pt>
                <c:pt idx="2">
                  <c:v>4.12</c:v>
                </c:pt>
                <c:pt idx="3">
                  <c:v>3.84</c:v>
                </c:pt>
                <c:pt idx="4">
                  <c:v>3.47</c:v>
                </c:pt>
                <c:pt idx="5">
                  <c:v>3.26</c:v>
                </c:pt>
                <c:pt idx="6">
                  <c:v>3.07</c:v>
                </c:pt>
                <c:pt idx="7">
                  <c:v>2.96</c:v>
                </c:pt>
                <c:pt idx="8">
                  <c:v>3</c:v>
                </c:pt>
                <c:pt idx="9">
                  <c:v>2.95</c:v>
                </c:pt>
                <c:pt idx="10">
                  <c:v>2.96</c:v>
                </c:pt>
                <c:pt idx="11">
                  <c:v>2.94</c:v>
                </c:pt>
                <c:pt idx="12">
                  <c:v>2.85</c:v>
                </c:pt>
                <c:pt idx="13">
                  <c:v>2.74</c:v>
                </c:pt>
                <c:pt idx="14">
                  <c:v>2.64</c:v>
                </c:pt>
                <c:pt idx="15">
                  <c:v>2.74</c:v>
                </c:pt>
                <c:pt idx="16">
                  <c:v>2.82</c:v>
                </c:pt>
              </c:numCache>
            </c:numRef>
          </c:val>
          <c:smooth val="0"/>
        </c:ser>
        <c:ser>
          <c:idx val="4"/>
          <c:order val="4"/>
          <c:tx>
            <c:strRef>
              <c:f>'[Microsoft Word uygulamasında grafik]Sayfa8'!$B$7</c:f>
              <c:strCache>
                <c:ptCount val="1"/>
                <c:pt idx="0">
                  <c:v>Machinery</c:v>
                </c:pt>
              </c:strCache>
            </c:strRef>
          </c:tx>
          <c:spPr>
            <a:ln w="28575" cap="rnd">
              <a:solidFill>
                <a:srgbClr val="C00000"/>
              </a:solidFill>
              <a:round/>
            </a:ln>
            <a:effectLst/>
          </c:spPr>
          <c:marker>
            <c:symbol val="circle"/>
            <c:size val="5"/>
            <c:spPr>
              <a:solidFill>
                <a:schemeClr val="accent5"/>
              </a:solidFill>
              <a:ln w="9525">
                <a:solidFill>
                  <a:schemeClr val="accent5"/>
                </a:solidFill>
              </a:ln>
              <a:effectLst/>
            </c:spPr>
          </c:marker>
          <c:cat>
            <c:numRef>
              <c:f>'[Microsoft Word uygulamasında grafik]Sayfa8'!$C$2:$S$2</c:f>
              <c:numCache>
                <c:formatCode>General</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'[Microsoft Word uygulamasında grafik]Sayfa8'!$C$7:$S$7</c:f>
              <c:numCache>
                <c:formatCode>General</c:formatCode>
                <c:ptCount val="17"/>
                <c:pt idx="0">
                  <c:v>6.93</c:v>
                </c:pt>
                <c:pt idx="1">
                  <c:v>6.5</c:v>
                </c:pt>
                <c:pt idx="2">
                  <c:v>6.94</c:v>
                </c:pt>
                <c:pt idx="3">
                  <c:v>6.71</c:v>
                </c:pt>
                <c:pt idx="4">
                  <c:v>6.26</c:v>
                </c:pt>
                <c:pt idx="5">
                  <c:v>6.03</c:v>
                </c:pt>
                <c:pt idx="6">
                  <c:v>5.75</c:v>
                </c:pt>
                <c:pt idx="7">
                  <c:v>5.58</c:v>
                </c:pt>
                <c:pt idx="8">
                  <c:v>5.63</c:v>
                </c:pt>
                <c:pt idx="9">
                  <c:v>5.55</c:v>
                </c:pt>
                <c:pt idx="10">
                  <c:v>5.56</c:v>
                </c:pt>
                <c:pt idx="11">
                  <c:v>5.53</c:v>
                </c:pt>
                <c:pt idx="12">
                  <c:v>5.37</c:v>
                </c:pt>
                <c:pt idx="13">
                  <c:v>5.17</c:v>
                </c:pt>
                <c:pt idx="14">
                  <c:v>4.97</c:v>
                </c:pt>
                <c:pt idx="15">
                  <c:v>5.15</c:v>
                </c:pt>
                <c:pt idx="16">
                  <c:v>5.32</c:v>
                </c:pt>
              </c:numCache>
            </c:numRef>
          </c:val>
          <c:smooth val="0"/>
        </c:ser>
        <c:ser>
          <c:idx val="5"/>
          <c:order val="5"/>
          <c:tx>
            <c:strRef>
              <c:f>'[Microsoft Word uygulamasında grafik]Sayfa8'!$B$8</c:f>
              <c:strCache>
                <c:ptCount val="1"/>
                <c:pt idx="0">
                  <c:v>Construction</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'[Microsoft Word uygulamasında grafik]Sayfa8'!$C$2:$S$2</c:f>
              <c:numCache>
                <c:formatCode>General</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'[Microsoft Word uygulamasında grafik]Sayfa8'!$C$8:$S$8</c:f>
              <c:numCache>
                <c:formatCode>General</c:formatCode>
                <c:ptCount val="17"/>
                <c:pt idx="0">
                  <c:v>6.2</c:v>
                </c:pt>
                <c:pt idx="1">
                  <c:v>6.55</c:v>
                </c:pt>
                <c:pt idx="2">
                  <c:v>6.43</c:v>
                </c:pt>
                <c:pt idx="3">
                  <c:v>6.16</c:v>
                </c:pt>
                <c:pt idx="4">
                  <c:v>5.56</c:v>
                </c:pt>
                <c:pt idx="5">
                  <c:v>5.2</c:v>
                </c:pt>
                <c:pt idx="6">
                  <c:v>4.5</c:v>
                </c:pt>
                <c:pt idx="7">
                  <c:v>4.34</c:v>
                </c:pt>
                <c:pt idx="8">
                  <c:v>4.24</c:v>
                </c:pt>
                <c:pt idx="9">
                  <c:v>4.6500000000000004</c:v>
                </c:pt>
                <c:pt idx="10">
                  <c:v>4.6900000000000004</c:v>
                </c:pt>
                <c:pt idx="11">
                  <c:v>5.01</c:v>
                </c:pt>
                <c:pt idx="12">
                  <c:v>5.12</c:v>
                </c:pt>
                <c:pt idx="13">
                  <c:v>4.95</c:v>
                </c:pt>
                <c:pt idx="14">
                  <c:v>4.12</c:v>
                </c:pt>
                <c:pt idx="15">
                  <c:v>4.49</c:v>
                </c:pt>
                <c:pt idx="16">
                  <c:v>4.78</c:v>
                </c:pt>
              </c:numCache>
            </c:numRef>
          </c:val>
          <c:smooth val="0"/>
        </c:ser>
        <c:ser>
          <c:idx val="6"/>
          <c:order val="6"/>
          <c:tx>
            <c:strRef>
              <c:f>'[Microsoft Word uygulamasında grafik]Sayfa8'!$B$9</c:f>
              <c:strCache>
                <c:ptCount val="1"/>
                <c:pt idx="0">
                  <c:v>Trade</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'[Microsoft Word uygulamasında grafik]Sayfa8'!$C$2:$S$2</c:f>
              <c:numCache>
                <c:formatCode>General</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'[Microsoft Word uygulamasında grafik]Sayfa8'!$C$9:$S$9</c:f>
              <c:numCache>
                <c:formatCode>General</c:formatCode>
                <c:ptCount val="17"/>
                <c:pt idx="0">
                  <c:v>10.42</c:v>
                </c:pt>
                <c:pt idx="1">
                  <c:v>10.46</c:v>
                </c:pt>
                <c:pt idx="2">
                  <c:v>9.82</c:v>
                </c:pt>
                <c:pt idx="3">
                  <c:v>9.01</c:v>
                </c:pt>
                <c:pt idx="4">
                  <c:v>7.96</c:v>
                </c:pt>
                <c:pt idx="5">
                  <c:v>8.42</c:v>
                </c:pt>
                <c:pt idx="6">
                  <c:v>8.1</c:v>
                </c:pt>
                <c:pt idx="7">
                  <c:v>8.5299999999999994</c:v>
                </c:pt>
                <c:pt idx="8">
                  <c:v>8.68</c:v>
                </c:pt>
                <c:pt idx="9">
                  <c:v>9.0399999999999991</c:v>
                </c:pt>
                <c:pt idx="10">
                  <c:v>8.89</c:v>
                </c:pt>
                <c:pt idx="11">
                  <c:v>8.99</c:v>
                </c:pt>
                <c:pt idx="12">
                  <c:v>8.75</c:v>
                </c:pt>
                <c:pt idx="13">
                  <c:v>8.77</c:v>
                </c:pt>
                <c:pt idx="14">
                  <c:v>7.94</c:v>
                </c:pt>
                <c:pt idx="15">
                  <c:v>8.1</c:v>
                </c:pt>
                <c:pt idx="16">
                  <c:v>8.57</c:v>
                </c:pt>
              </c:numCache>
            </c:numRef>
          </c:val>
          <c:smooth val="0"/>
        </c:ser>
        <c:ser>
          <c:idx val="7"/>
          <c:order val="7"/>
          <c:tx>
            <c:strRef>
              <c:f>'[Microsoft Word uygulamasında grafik]Sayfa8'!$B$10</c:f>
              <c:strCache>
                <c:ptCount val="1"/>
                <c:pt idx="0">
                  <c:v>Transport</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'[Microsoft Word uygulamasında grafik]Sayfa8'!$C$2:$S$2</c:f>
              <c:numCache>
                <c:formatCode>General</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'[Microsoft Word uygulamasında grafik]Sayfa8'!$C$10:$S$10</c:f>
              <c:numCache>
                <c:formatCode>General</c:formatCode>
                <c:ptCount val="17"/>
                <c:pt idx="0">
                  <c:v>7.41</c:v>
                </c:pt>
                <c:pt idx="1">
                  <c:v>7.82</c:v>
                </c:pt>
                <c:pt idx="2">
                  <c:v>8.27</c:v>
                </c:pt>
                <c:pt idx="3">
                  <c:v>8.1199999999999992</c:v>
                </c:pt>
                <c:pt idx="4">
                  <c:v>8.44</c:v>
                </c:pt>
                <c:pt idx="5">
                  <c:v>8.98</c:v>
                </c:pt>
                <c:pt idx="6">
                  <c:v>9.6</c:v>
                </c:pt>
                <c:pt idx="7">
                  <c:v>10.24</c:v>
                </c:pt>
                <c:pt idx="8">
                  <c:v>10.23</c:v>
                </c:pt>
                <c:pt idx="9">
                  <c:v>10.119999999999999</c:v>
                </c:pt>
                <c:pt idx="10">
                  <c:v>10.26</c:v>
                </c:pt>
                <c:pt idx="11">
                  <c:v>10.26</c:v>
                </c:pt>
                <c:pt idx="12">
                  <c:v>10.4</c:v>
                </c:pt>
                <c:pt idx="13">
                  <c:v>10.68</c:v>
                </c:pt>
                <c:pt idx="14">
                  <c:v>10.220000000000001</c:v>
                </c:pt>
                <c:pt idx="15">
                  <c:v>10.1</c:v>
                </c:pt>
                <c:pt idx="16">
                  <c:v>10.15</c:v>
                </c:pt>
              </c:numCache>
            </c:numRef>
          </c:val>
          <c:smooth val="0"/>
        </c:ser>
        <c:dLbls>
          <c:showLegendKey val="0"/>
          <c:showVal val="0"/>
          <c:showCatName val="0"/>
          <c:showSerName val="0"/>
          <c:showPercent val="0"/>
          <c:showBubbleSize val="0"/>
        </c:dLbls>
        <c:marker val="1"/>
        <c:smooth val="0"/>
        <c:axId val="455676272"/>
        <c:axId val="455673008"/>
      </c:lineChart>
      <c:catAx>
        <c:axId val="45567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tr-TR"/>
          </a:p>
        </c:txPr>
        <c:crossAx val="455673008"/>
        <c:crosses val="autoZero"/>
        <c:auto val="1"/>
        <c:lblAlgn val="ctr"/>
        <c:lblOffset val="100"/>
        <c:noMultiLvlLbl val="0"/>
      </c:catAx>
      <c:valAx>
        <c:axId val="455673008"/>
        <c:scaling>
          <c:orientation val="minMax"/>
          <c:max val="11"/>
          <c:min val="2"/>
        </c:scaling>
        <c:delete val="0"/>
        <c:axPos val="l"/>
        <c:majorGridlines>
          <c:spPr>
            <a:ln w="127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tr-TR"/>
          </a:p>
        </c:txPr>
        <c:crossAx val="455676272"/>
        <c:crosses val="autoZero"/>
        <c:crossBetween val="between"/>
      </c:valAx>
      <c:spPr>
        <a:noFill/>
        <a:ln>
          <a:noFill/>
        </a:ln>
        <a:effectLst/>
        <a:scene3d>
          <a:camera prst="orthographicFront"/>
          <a:lightRig rig="threePt" dir="t"/>
        </a:scene3d>
        <a:sp3d>
          <a:bevelT/>
        </a:sp3d>
      </c:spPr>
    </c:plotArea>
    <c:legend>
      <c:legendPos val="t"/>
      <c:layout>
        <c:manualLayout>
          <c:xMode val="edge"/>
          <c:yMode val="edge"/>
          <c:x val="2.1082517413005972E-2"/>
          <c:y val="5.2989539038626333E-2"/>
          <c:w val="0.9"/>
          <c:h val="0.10094280564110469"/>
        </c:manualLayout>
      </c:layout>
      <c:overlay val="0"/>
      <c:spPr>
        <a:noFill/>
        <a:ln>
          <a:noFill/>
        </a:ln>
        <a:effectLst/>
      </c:spPr>
      <c:txPr>
        <a:bodyPr rot="0" vert="horz"/>
        <a:lstStyle/>
        <a:p>
          <a:pPr>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latin typeface="Calibri" panose="020F0502020204030204" pitchFamily="34" charset="0"/>
        </a:defRPr>
      </a:pPr>
      <a:endParaRPr lang="tr-TR"/>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330678369459647E-2"/>
          <c:y val="4.9770842864825388E-2"/>
          <c:w val="0.90093547606890434"/>
          <c:h val="0.9008562415502479"/>
        </c:manualLayout>
      </c:layout>
      <c:barChart>
        <c:barDir val="col"/>
        <c:grouping val="clustered"/>
        <c:varyColors val="0"/>
        <c:ser>
          <c:idx val="0"/>
          <c:order val="0"/>
          <c:tx>
            <c:strRef>
              <c:f>Sayfa1!$B$1</c:f>
              <c:strCache>
                <c:ptCount val="1"/>
                <c:pt idx="0">
                  <c:v>Change İn Output Share</c:v>
                </c:pt>
              </c:strCache>
            </c:strRef>
          </c:tx>
          <c:spPr>
            <a:solidFill>
              <a:srgbClr val="4472C4">
                <a:lumMod val="75000"/>
              </a:srgbClr>
            </a:solidFill>
            <a:ln>
              <a:noFill/>
            </a:ln>
            <a:effectLst/>
            <a:scene3d>
              <a:camera prst="orthographicFront"/>
              <a:lightRig rig="threePt" dir="t"/>
            </a:scene3d>
            <a:sp3d>
              <a:bevelT/>
            </a:sp3d>
          </c:spPr>
          <c:invertIfNegative val="0"/>
          <c:dPt>
            <c:idx val="0"/>
            <c:invertIfNegative val="0"/>
            <c:bubble3D val="0"/>
            <c:spPr>
              <a:solidFill>
                <a:srgbClr val="C00000"/>
              </a:solidFill>
              <a:ln>
                <a:noFill/>
              </a:ln>
              <a:effectLst/>
              <a:scene3d>
                <a:camera prst="orthographicFront"/>
                <a:lightRig rig="threePt" dir="t"/>
              </a:scene3d>
              <a:sp3d>
                <a:bevelT/>
              </a:sp3d>
            </c:spPr>
          </c:dPt>
          <c:dPt>
            <c:idx val="1"/>
            <c:invertIfNegative val="0"/>
            <c:bubble3D val="0"/>
            <c:spPr>
              <a:solidFill>
                <a:srgbClr val="C00000"/>
              </a:solidFill>
              <a:ln>
                <a:noFill/>
              </a:ln>
              <a:effectLst/>
              <a:scene3d>
                <a:camera prst="orthographicFront"/>
                <a:lightRig rig="threePt" dir="t"/>
              </a:scene3d>
              <a:sp3d>
                <a:bevelT/>
              </a:sp3d>
            </c:spPr>
          </c:dPt>
          <c:dLbls>
            <c:dLbl>
              <c:idx val="0"/>
              <c:layout>
                <c:manualLayout>
                  <c:x val="0"/>
                  <c:y val="0.17768382798304058"/>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2544714273175811E-3"/>
                  <c:y val="0.19036952277517036"/>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3.9710863263995866E-3"/>
                  <c:y val="0.17783637137100991"/>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8.816120003630098E-17"/>
                  <c:y val="5.207365134404080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5.179753906908425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2.4044241404183697E-3"/>
                  <c:y val="3.18933757133568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2.4044241404184582E-3"/>
                  <c:y val="2.128552738247177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4.166879018763431E-3"/>
                  <c:y val="0.15322330398355377"/>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Sayfa1!$A$2:$A$9</c:f>
              <c:strCache>
                <c:ptCount val="8"/>
                <c:pt idx="0">
                  <c:v>Textile</c:v>
                </c:pt>
                <c:pt idx="1">
                  <c:v>Transport</c:v>
                </c:pt>
                <c:pt idx="2">
                  <c:v>Metal</c:v>
                </c:pt>
                <c:pt idx="3">
                  <c:v>Construction</c:v>
                </c:pt>
                <c:pt idx="4">
                  <c:v>Food</c:v>
                </c:pt>
                <c:pt idx="5">
                  <c:v>Machinery</c:v>
                </c:pt>
                <c:pt idx="6">
                  <c:v>Trade</c:v>
                </c:pt>
                <c:pt idx="7">
                  <c:v>Agriculture </c:v>
                </c:pt>
              </c:strCache>
            </c:strRef>
          </c:cat>
          <c:val>
            <c:numRef>
              <c:f>Sayfa1!$B$2:$B$9</c:f>
              <c:numCache>
                <c:formatCode>#,##0</c:formatCode>
                <c:ptCount val="8"/>
                <c:pt idx="0">
                  <c:v>23.57015361559759</c:v>
                </c:pt>
                <c:pt idx="1">
                  <c:v>37.074539334364417</c:v>
                </c:pt>
                <c:pt idx="2">
                  <c:v>-34.9</c:v>
                </c:pt>
                <c:pt idx="3">
                  <c:v>-22.88518309950431</c:v>
                </c:pt>
                <c:pt idx="4">
                  <c:v>-16.832785257905691</c:v>
                </c:pt>
                <c:pt idx="5">
                  <c:v>-23.187130559771969</c:v>
                </c:pt>
                <c:pt idx="6">
                  <c:v>-17.805921106909768</c:v>
                </c:pt>
                <c:pt idx="7">
                  <c:v>-34.703395151358002</c:v>
                </c:pt>
              </c:numCache>
            </c:numRef>
          </c:val>
        </c:ser>
        <c:dLbls>
          <c:dLblPos val="outEnd"/>
          <c:showLegendKey val="0"/>
          <c:showVal val="1"/>
          <c:showCatName val="0"/>
          <c:showSerName val="0"/>
          <c:showPercent val="0"/>
          <c:showBubbleSize val="0"/>
        </c:dLbls>
        <c:gapWidth val="46"/>
        <c:overlap val="-1"/>
        <c:axId val="455674096"/>
        <c:axId val="455677360"/>
      </c:barChart>
      <c:catAx>
        <c:axId val="45567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tr-TR"/>
          </a:p>
        </c:txPr>
        <c:crossAx val="455677360"/>
        <c:crosses val="autoZero"/>
        <c:auto val="1"/>
        <c:lblAlgn val="ctr"/>
        <c:lblOffset val="100"/>
        <c:noMultiLvlLbl val="0"/>
      </c:catAx>
      <c:valAx>
        <c:axId val="455677360"/>
        <c:scaling>
          <c:orientation val="minMax"/>
          <c:max val="40"/>
          <c:min val="-35"/>
        </c:scaling>
        <c:delete val="0"/>
        <c:axPos val="l"/>
        <c:majorGridlines>
          <c:spPr>
            <a:ln w="1270"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tr-TR"/>
          </a:p>
        </c:txPr>
        <c:crossAx val="455674096"/>
        <c:crosses val="autoZero"/>
        <c:crossBetween val="between"/>
      </c:valAx>
      <c:spPr>
        <a:noFill/>
        <a:ln>
          <a:noFill/>
        </a:ln>
        <a:effectLst/>
        <a:scene3d>
          <a:camera prst="orthographicFront"/>
          <a:lightRig rig="threePt" dir="t"/>
        </a:scene3d>
        <a:sp3d>
          <a:bevelT/>
        </a:sp3d>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sz="900" baseline="0">
          <a:solidFill>
            <a:schemeClr val="tx1">
              <a:lumMod val="95000"/>
              <a:lumOff val="5000"/>
            </a:schemeClr>
          </a:solidFill>
          <a:latin typeface="Calibri" panose="020F0502020204030204" pitchFamily="34" charset="0"/>
        </a:defRPr>
      </a:pPr>
      <a:endParaRPr lang="tr-TR"/>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701224846894141E-2"/>
          <c:y val="4.7824007651841222E-2"/>
          <c:w val="0.91874321959755034"/>
          <c:h val="0.75415605531907115"/>
        </c:manualLayout>
      </c:layout>
      <c:barChart>
        <c:barDir val="col"/>
        <c:grouping val="clustered"/>
        <c:varyColors val="0"/>
        <c:ser>
          <c:idx val="0"/>
          <c:order val="0"/>
          <c:tx>
            <c:strRef>
              <c:f>'[Microsoft Word uygulamasında grafik]Sayfa12'!$F$1</c:f>
              <c:strCache>
                <c:ptCount val="1"/>
                <c:pt idx="0">
                  <c:v>Growth (%)</c:v>
                </c:pt>
              </c:strCache>
            </c:strRef>
          </c:tx>
          <c:spPr>
            <a:solidFill>
              <a:srgbClr val="C00000"/>
            </a:solidFill>
            <a:ln>
              <a:noFill/>
            </a:ln>
            <a:effectLst/>
            <a:scene3d>
              <a:camera prst="orthographicFront"/>
              <a:lightRig rig="threePt" dir="t"/>
            </a:scene3d>
            <a:sp3d>
              <a:bevelT/>
            </a:sp3d>
          </c:spPr>
          <c:invertIfNegative val="0"/>
          <c:dLbls>
            <c:dLbl>
              <c:idx val="0"/>
              <c:layout>
                <c:manualLayout>
                  <c:x val="-9.0777051561365292E-3"/>
                  <c:y val="0.1466803256735765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3.6566354450791689E-3"/>
                  <c:y val="0.2030083293159783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5388525780682646E-3"/>
                  <c:y val="0.14455782312925178"/>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uygulamasında grafik]Sayfa12'!$E$2:$E$9</c:f>
              <c:strCache>
                <c:ptCount val="8"/>
                <c:pt idx="0">
                  <c:v>Textile</c:v>
                </c:pt>
                <c:pt idx="1">
                  <c:v>Transport</c:v>
                </c:pt>
                <c:pt idx="2">
                  <c:v>Metal</c:v>
                </c:pt>
                <c:pt idx="3">
                  <c:v>Construction</c:v>
                </c:pt>
                <c:pt idx="4">
                  <c:v>Food</c:v>
                </c:pt>
                <c:pt idx="5">
                  <c:v>Machinery</c:v>
                </c:pt>
                <c:pt idx="6">
                  <c:v>Trade</c:v>
                </c:pt>
                <c:pt idx="7">
                  <c:v>Agriculture </c:v>
                </c:pt>
              </c:strCache>
            </c:strRef>
          </c:cat>
          <c:val>
            <c:numRef>
              <c:f>'[Microsoft Word uygulamasında grafik]Sayfa12'!$F$2:$F$9</c:f>
              <c:numCache>
                <c:formatCode>#,##0</c:formatCode>
                <c:ptCount val="8"/>
                <c:pt idx="0">
                  <c:v>366.55675634746081</c:v>
                </c:pt>
                <c:pt idx="1">
                  <c:v>417.54449256904581</c:v>
                </c:pt>
                <c:pt idx="2">
                  <c:v>144.47877678263504</c:v>
                </c:pt>
                <c:pt idx="3">
                  <c:v>191.15800042901512</c:v>
                </c:pt>
                <c:pt idx="4">
                  <c:v>214.00969254461182</c:v>
                </c:pt>
                <c:pt idx="5">
                  <c:v>190.01795468554158</c:v>
                </c:pt>
                <c:pt idx="6">
                  <c:v>210.33547921791197</c:v>
                </c:pt>
                <c:pt idx="7">
                  <c:v>146.53665361179037</c:v>
                </c:pt>
              </c:numCache>
            </c:numRef>
          </c:val>
        </c:ser>
        <c:dLbls>
          <c:showLegendKey val="0"/>
          <c:showVal val="0"/>
          <c:showCatName val="0"/>
          <c:showSerName val="0"/>
          <c:showPercent val="0"/>
          <c:showBubbleSize val="0"/>
        </c:dLbls>
        <c:gapWidth val="39"/>
        <c:overlap val="-27"/>
        <c:axId val="455674640"/>
        <c:axId val="455678992"/>
      </c:barChart>
      <c:catAx>
        <c:axId val="45567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tr-TR"/>
          </a:p>
        </c:txPr>
        <c:crossAx val="455678992"/>
        <c:crosses val="autoZero"/>
        <c:auto val="1"/>
        <c:lblAlgn val="ctr"/>
        <c:lblOffset val="100"/>
        <c:noMultiLvlLbl val="0"/>
      </c:catAx>
      <c:valAx>
        <c:axId val="455678992"/>
        <c:scaling>
          <c:orientation val="minMax"/>
          <c:max val="420"/>
          <c:min val="0"/>
        </c:scaling>
        <c:delete val="0"/>
        <c:axPos val="l"/>
        <c:majorGridlines>
          <c:spPr>
            <a:ln w="1270"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tr-TR"/>
          </a:p>
        </c:txPr>
        <c:crossAx val="455674640"/>
        <c:crosses val="autoZero"/>
        <c:crossBetween val="between"/>
      </c:valAx>
      <c:spPr>
        <a:noFill/>
        <a:ln>
          <a:noFill/>
        </a:ln>
        <a:effectLst/>
        <a:scene3d>
          <a:camera prst="orthographicFront"/>
          <a:lightRig rig="threePt" dir="t"/>
        </a:scene3d>
        <a:sp3d>
          <a:bevelT/>
        </a:sp3d>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latin typeface="Calibri" panose="020F0502020204030204" pitchFamily="34" charset="0"/>
        </a:defRPr>
      </a:pPr>
      <a:endParaRPr lang="tr-TR"/>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575081602029609E-2"/>
          <c:y val="4.6534449215613463E-2"/>
          <c:w val="0.91241426071741027"/>
          <c:h val="0.66510646265951956"/>
        </c:manualLayout>
      </c:layout>
      <c:lineChart>
        <c:grouping val="standard"/>
        <c:varyColors val="0"/>
        <c:ser>
          <c:idx val="0"/>
          <c:order val="0"/>
          <c:tx>
            <c:strRef>
              <c:f>TMA!$Y$153</c:f>
              <c:strCache>
                <c:ptCount val="1"/>
                <c:pt idx="0">
                  <c:v>Textile</c:v>
                </c:pt>
              </c:strCache>
            </c:strRef>
          </c:tx>
          <c:spPr>
            <a:ln w="28575" cap="rnd">
              <a:solidFill>
                <a:srgbClr val="7030A0"/>
              </a:solidFill>
              <a:round/>
            </a:ln>
            <a:effectLst/>
          </c:spPr>
          <c:marker>
            <c:symbol val="circle"/>
            <c:size val="5"/>
            <c:spPr>
              <a:solidFill>
                <a:schemeClr val="accent1"/>
              </a:solidFill>
              <a:ln w="9525">
                <a:solidFill>
                  <a:schemeClr val="accent1"/>
                </a:solidFill>
              </a:ln>
              <a:effectLst/>
            </c:spPr>
          </c:marker>
          <c:dLbls>
            <c:dLbl>
              <c:idx val="16"/>
              <c:layout>
                <c:manualLayout>
                  <c:x val="-2.8545577467062665E-2"/>
                  <c:y val="-5.317061585399272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tr-T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TMA!$Z$152:$AP$152</c:f>
              <c:numCache>
                <c:formatCode>0</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TMA!$Z$153:$AP$153</c:f>
              <c:numCache>
                <c:formatCode>#,##0.00</c:formatCode>
                <c:ptCount val="17"/>
                <c:pt idx="0">
                  <c:v>1.8740863467547102</c:v>
                </c:pt>
                <c:pt idx="1">
                  <c:v>1.7955121298698149</c:v>
                </c:pt>
                <c:pt idx="2">
                  <c:v>1.8072115176670942</c:v>
                </c:pt>
                <c:pt idx="3">
                  <c:v>1.8081497787004659</c:v>
                </c:pt>
                <c:pt idx="4">
                  <c:v>1.9270330660062318</c:v>
                </c:pt>
                <c:pt idx="5">
                  <c:v>2.0279607275341629</c:v>
                </c:pt>
                <c:pt idx="6">
                  <c:v>2.0456372338853699</c:v>
                </c:pt>
                <c:pt idx="7">
                  <c:v>2.1630444664135577</c:v>
                </c:pt>
                <c:pt idx="8">
                  <c:v>1.7955121298698149</c:v>
                </c:pt>
                <c:pt idx="9">
                  <c:v>2.1929424777192197</c:v>
                </c:pt>
                <c:pt idx="10">
                  <c:v>2.2351199725353843</c:v>
                </c:pt>
                <c:pt idx="11">
                  <c:v>2.2198454123978517</c:v>
                </c:pt>
                <c:pt idx="12">
                  <c:v>2.2204705622580998</c:v>
                </c:pt>
                <c:pt idx="13">
                  <c:v>2.2190383068657926</c:v>
                </c:pt>
                <c:pt idx="14">
                  <c:v>2.2583148387761725</c:v>
                </c:pt>
                <c:pt idx="15">
                  <c:v>2.2135668912426718</c:v>
                </c:pt>
                <c:pt idx="16">
                  <c:v>2.1665946820915329</c:v>
                </c:pt>
              </c:numCache>
            </c:numRef>
          </c:val>
          <c:smooth val="0"/>
        </c:ser>
        <c:ser>
          <c:idx val="1"/>
          <c:order val="1"/>
          <c:tx>
            <c:strRef>
              <c:f>TMA!$Y$154</c:f>
              <c:strCache>
                <c:ptCount val="1"/>
                <c:pt idx="0">
                  <c:v>Transport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TMA!$Z$152:$AP$152</c:f>
              <c:numCache>
                <c:formatCode>0</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TMA!$Z$154:$AP$154</c:f>
              <c:numCache>
                <c:formatCode>#,##0.00</c:formatCode>
                <c:ptCount val="17"/>
                <c:pt idx="0">
                  <c:v>1.4099890608588201</c:v>
                </c:pt>
                <c:pt idx="1">
                  <c:v>1.4100220763191946</c:v>
                </c:pt>
                <c:pt idx="2">
                  <c:v>1.4552481350701179</c:v>
                </c:pt>
                <c:pt idx="3">
                  <c:v>1.4993658037040201</c:v>
                </c:pt>
                <c:pt idx="4">
                  <c:v>1.6427940035622015</c:v>
                </c:pt>
                <c:pt idx="5">
                  <c:v>1.6545117925279045</c:v>
                </c:pt>
                <c:pt idx="6">
                  <c:v>1.672801235325418</c:v>
                </c:pt>
                <c:pt idx="7">
                  <c:v>1.6958233238981968</c:v>
                </c:pt>
                <c:pt idx="8">
                  <c:v>1.4100220763191946</c:v>
                </c:pt>
                <c:pt idx="9">
                  <c:v>1.6581032650153882</c:v>
                </c:pt>
                <c:pt idx="10">
                  <c:v>1.6581255285040293</c:v>
                </c:pt>
                <c:pt idx="11">
                  <c:v>1.6364336791721636</c:v>
                </c:pt>
                <c:pt idx="12">
                  <c:v>1.6470775352108395</c:v>
                </c:pt>
                <c:pt idx="13">
                  <c:v>1.6423840823515405</c:v>
                </c:pt>
                <c:pt idx="14">
                  <c:v>1.6742732626442536</c:v>
                </c:pt>
                <c:pt idx="15">
                  <c:v>1.6558225484437143</c:v>
                </c:pt>
                <c:pt idx="16">
                  <c:v>1.6160125256342437</c:v>
                </c:pt>
              </c:numCache>
            </c:numRef>
          </c:val>
          <c:smooth val="0"/>
        </c:ser>
        <c:ser>
          <c:idx val="2"/>
          <c:order val="2"/>
          <c:tx>
            <c:strRef>
              <c:f>TMA!$Y$155</c:f>
              <c:strCache>
                <c:ptCount val="1"/>
                <c:pt idx="0">
                  <c:v>Metal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TMA!$Z$152:$AP$152</c:f>
              <c:numCache>
                <c:formatCode>0</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TMA!$Z$155:$AP$155</c:f>
              <c:numCache>
                <c:formatCode>#,##0.00</c:formatCode>
                <c:ptCount val="17"/>
                <c:pt idx="0">
                  <c:v>1.8385528189657996</c:v>
                </c:pt>
                <c:pt idx="1">
                  <c:v>1.7600615872658505</c:v>
                </c:pt>
                <c:pt idx="2">
                  <c:v>1.8317702773207938</c:v>
                </c:pt>
                <c:pt idx="3">
                  <c:v>1.9135961798680614</c:v>
                </c:pt>
                <c:pt idx="4">
                  <c:v>2.0724305606003579</c:v>
                </c:pt>
                <c:pt idx="5">
                  <c:v>2.0460831341353578</c:v>
                </c:pt>
                <c:pt idx="6">
                  <c:v>1.9762733322319181</c:v>
                </c:pt>
                <c:pt idx="7">
                  <c:v>2.0001918128794363</c:v>
                </c:pt>
                <c:pt idx="8">
                  <c:v>1.7600615872658505</c:v>
                </c:pt>
                <c:pt idx="9">
                  <c:v>1.8565160643004772</c:v>
                </c:pt>
                <c:pt idx="10">
                  <c:v>1.8577632319180351</c:v>
                </c:pt>
                <c:pt idx="11">
                  <c:v>1.7623905889559386</c:v>
                </c:pt>
                <c:pt idx="12">
                  <c:v>1.7184008614679962</c:v>
                </c:pt>
                <c:pt idx="13">
                  <c:v>1.8145653593323339</c:v>
                </c:pt>
                <c:pt idx="14">
                  <c:v>2.0098478136175659</c:v>
                </c:pt>
                <c:pt idx="15">
                  <c:v>1.9951440495768733</c:v>
                </c:pt>
                <c:pt idx="16">
                  <c:v>1.8694809415792613</c:v>
                </c:pt>
              </c:numCache>
            </c:numRef>
          </c:val>
          <c:smooth val="0"/>
        </c:ser>
        <c:ser>
          <c:idx val="3"/>
          <c:order val="3"/>
          <c:tx>
            <c:strRef>
              <c:f>TMA!$Y$156</c:f>
              <c:strCache>
                <c:ptCount val="1"/>
                <c:pt idx="0">
                  <c:v>Construction</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TMA!$Z$152:$AP$152</c:f>
              <c:numCache>
                <c:formatCode>0</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TMA!$Z$156:$AP$156</c:f>
              <c:numCache>
                <c:formatCode>#,##0.00</c:formatCode>
                <c:ptCount val="17"/>
                <c:pt idx="0">
                  <c:v>1.7600151356554676</c:v>
                </c:pt>
                <c:pt idx="1">
                  <c:v>1.7228551094415092</c:v>
                </c:pt>
                <c:pt idx="2">
                  <c:v>1.7102843329263884</c:v>
                </c:pt>
                <c:pt idx="3">
                  <c:v>1.7074208287057182</c:v>
                </c:pt>
                <c:pt idx="4">
                  <c:v>1.7980659665237817</c:v>
                </c:pt>
                <c:pt idx="5">
                  <c:v>1.8104745072724697</c:v>
                </c:pt>
                <c:pt idx="6">
                  <c:v>1.8036283908008583</c:v>
                </c:pt>
                <c:pt idx="7">
                  <c:v>1.8366092181959788</c:v>
                </c:pt>
                <c:pt idx="8">
                  <c:v>1.7228551094415092</c:v>
                </c:pt>
                <c:pt idx="9">
                  <c:v>1.7791575696536515</c:v>
                </c:pt>
                <c:pt idx="10">
                  <c:v>1.7757036279860527</c:v>
                </c:pt>
                <c:pt idx="11">
                  <c:v>1.727233988746653</c:v>
                </c:pt>
                <c:pt idx="12">
                  <c:v>1.7184696516548246</c:v>
                </c:pt>
                <c:pt idx="13">
                  <c:v>1.7566340298842265</c:v>
                </c:pt>
                <c:pt idx="14">
                  <c:v>1.827721539670834</c:v>
                </c:pt>
                <c:pt idx="15">
                  <c:v>1.8156354423261962</c:v>
                </c:pt>
                <c:pt idx="16">
                  <c:v>1.7533175047651606</c:v>
                </c:pt>
              </c:numCache>
            </c:numRef>
          </c:val>
          <c:smooth val="0"/>
        </c:ser>
        <c:ser>
          <c:idx val="4"/>
          <c:order val="4"/>
          <c:tx>
            <c:strRef>
              <c:f>TMA!$Y$157</c:f>
              <c:strCache>
                <c:ptCount val="1"/>
                <c:pt idx="0">
                  <c:v>Food</c:v>
                </c:pt>
              </c:strCache>
            </c:strRef>
          </c:tx>
          <c:spPr>
            <a:ln w="28575" cap="rnd">
              <a:solidFill>
                <a:schemeClr val="accent1">
                  <a:lumMod val="75000"/>
                </a:schemeClr>
              </a:solidFill>
              <a:round/>
            </a:ln>
            <a:effectLst/>
          </c:spPr>
          <c:marker>
            <c:symbol val="circle"/>
            <c:size val="5"/>
            <c:spPr>
              <a:solidFill>
                <a:schemeClr val="accent5"/>
              </a:solidFill>
              <a:ln w="9525">
                <a:solidFill>
                  <a:schemeClr val="accent5"/>
                </a:solidFill>
              </a:ln>
              <a:effectLst/>
            </c:spPr>
          </c:marker>
          <c:dLbls>
            <c:dLbl>
              <c:idx val="0"/>
              <c:layout>
                <c:manualLayout>
                  <c:x val="3.4920133061111915E-3"/>
                  <c:y val="-6.090456790349001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tr-T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TMA!$Z$152:$AP$152</c:f>
              <c:numCache>
                <c:formatCode>0</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TMA!$Z$157:$AP$157</c:f>
              <c:numCache>
                <c:formatCode>#,##0.00</c:formatCode>
                <c:ptCount val="17"/>
                <c:pt idx="0">
                  <c:v>1.9059822252343652</c:v>
                </c:pt>
                <c:pt idx="1">
                  <c:v>1.8562355369639492</c:v>
                </c:pt>
                <c:pt idx="2">
                  <c:v>1.8596123047384452</c:v>
                </c:pt>
                <c:pt idx="3">
                  <c:v>1.9308659710876892</c:v>
                </c:pt>
                <c:pt idx="4">
                  <c:v>2.0223944878461069</c:v>
                </c:pt>
                <c:pt idx="5">
                  <c:v>2.0583982330795774</c:v>
                </c:pt>
                <c:pt idx="6">
                  <c:v>1.7363795069847547</c:v>
                </c:pt>
                <c:pt idx="7">
                  <c:v>2.15420745725811</c:v>
                </c:pt>
                <c:pt idx="8">
                  <c:v>1.8562355369639492</c:v>
                </c:pt>
                <c:pt idx="9">
                  <c:v>2.1454839623228401</c:v>
                </c:pt>
                <c:pt idx="10">
                  <c:v>2.1614920248871545</c:v>
                </c:pt>
                <c:pt idx="11">
                  <c:v>2.1448131903804599</c:v>
                </c:pt>
                <c:pt idx="12">
                  <c:v>2.1365300306767669</c:v>
                </c:pt>
                <c:pt idx="13">
                  <c:v>2.1259634104402445</c:v>
                </c:pt>
                <c:pt idx="14">
                  <c:v>2.1699446654483991</c:v>
                </c:pt>
                <c:pt idx="15">
                  <c:v>2.192674317752108</c:v>
                </c:pt>
                <c:pt idx="16">
                  <c:v>2.1277319793578742</c:v>
                </c:pt>
              </c:numCache>
            </c:numRef>
          </c:val>
          <c:smooth val="0"/>
        </c:ser>
        <c:ser>
          <c:idx val="5"/>
          <c:order val="5"/>
          <c:tx>
            <c:strRef>
              <c:f>TMA!$Y$158</c:f>
              <c:strCache>
                <c:ptCount val="1"/>
                <c:pt idx="0">
                  <c:v>Machinery</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TMA!$Z$152:$AP$152</c:f>
              <c:numCache>
                <c:formatCode>0</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TMA!$Z$158:$AP$158</c:f>
              <c:numCache>
                <c:formatCode>#,##0.00</c:formatCode>
                <c:ptCount val="17"/>
                <c:pt idx="0">
                  <c:v>1.6997959260702979</c:v>
                </c:pt>
                <c:pt idx="1">
                  <c:v>1.6334986818603652</c:v>
                </c:pt>
                <c:pt idx="2">
                  <c:v>1.6488824200533752</c:v>
                </c:pt>
                <c:pt idx="3">
                  <c:v>1.7344022604382072</c:v>
                </c:pt>
                <c:pt idx="4">
                  <c:v>1.8465300190119429</c:v>
                </c:pt>
                <c:pt idx="5">
                  <c:v>1.8616787548111164</c:v>
                </c:pt>
                <c:pt idx="6">
                  <c:v>1.8710807339061031</c:v>
                </c:pt>
                <c:pt idx="7">
                  <c:v>1.9239858242077486</c:v>
                </c:pt>
                <c:pt idx="8">
                  <c:v>1.6334986818603652</c:v>
                </c:pt>
                <c:pt idx="9">
                  <c:v>1.8127159614406401</c:v>
                </c:pt>
                <c:pt idx="10">
                  <c:v>1.8442250342911954</c:v>
                </c:pt>
                <c:pt idx="11">
                  <c:v>1.7845313860184435</c:v>
                </c:pt>
                <c:pt idx="12">
                  <c:v>1.7644370154671605</c:v>
                </c:pt>
                <c:pt idx="13">
                  <c:v>1.8522123128254095</c:v>
                </c:pt>
                <c:pt idx="14">
                  <c:v>1.9667153770501047</c:v>
                </c:pt>
                <c:pt idx="15">
                  <c:v>1.9491877334988825</c:v>
                </c:pt>
                <c:pt idx="16">
                  <c:v>1.8542227899549197</c:v>
                </c:pt>
              </c:numCache>
            </c:numRef>
          </c:val>
          <c:smooth val="0"/>
        </c:ser>
        <c:ser>
          <c:idx val="6"/>
          <c:order val="6"/>
          <c:tx>
            <c:strRef>
              <c:f>TMA!$Y$159</c:f>
              <c:strCache>
                <c:ptCount val="1"/>
                <c:pt idx="0">
                  <c:v>Trade</c:v>
                </c:pt>
              </c:strCache>
            </c:strRef>
          </c:tx>
          <c:spPr>
            <a:ln w="28575" cap="rnd">
              <a:solidFill>
                <a:srgbClr val="C00000"/>
              </a:solidFill>
              <a:round/>
            </a:ln>
            <a:effectLst/>
          </c:spPr>
          <c:marker>
            <c:symbol val="circle"/>
            <c:size val="5"/>
            <c:spPr>
              <a:solidFill>
                <a:schemeClr val="accent1">
                  <a:lumMod val="60000"/>
                </a:schemeClr>
              </a:solidFill>
              <a:ln w="9525">
                <a:solidFill>
                  <a:schemeClr val="accent1">
                    <a:lumMod val="60000"/>
                  </a:schemeClr>
                </a:solidFill>
              </a:ln>
              <a:effectLst/>
            </c:spPr>
          </c:marker>
          <c:dLbls>
            <c:dLbl>
              <c:idx val="0"/>
              <c:layout>
                <c:manualLayout>
                  <c:x val="-2.6409738082184407E-2"/>
                  <c:y val="-0.14597804044796026"/>
                </c:manualLayout>
              </c:layout>
              <c:dLblPos val="r"/>
              <c:showLegendKey val="0"/>
              <c:showVal val="1"/>
              <c:showCatName val="0"/>
              <c:showSerName val="0"/>
              <c:showPercent val="0"/>
              <c:showBubbleSize val="0"/>
              <c:extLst>
                <c:ext xmlns:c15="http://schemas.microsoft.com/office/drawing/2012/chart" uri="{CE6537A1-D6FC-4f65-9D91-7224C49458BB}"/>
              </c:extLst>
            </c:dLbl>
            <c:dLbl>
              <c:idx val="16"/>
              <c:layout>
                <c:manualLayout>
                  <c:x val="-3.2817256236819178E-2"/>
                  <c:y val="7.057261693796382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tr-T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TMA!$Z$152:$AP$152</c:f>
              <c:numCache>
                <c:formatCode>0</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TMA!$Z$159:$AP$159</c:f>
              <c:numCache>
                <c:formatCode>#,##0.00</c:formatCode>
                <c:ptCount val="17"/>
                <c:pt idx="0">
                  <c:v>1.3342246974741097</c:v>
                </c:pt>
                <c:pt idx="1">
                  <c:v>1.34888247698255</c:v>
                </c:pt>
                <c:pt idx="2">
                  <c:v>1.3116853072008723</c:v>
                </c:pt>
                <c:pt idx="3">
                  <c:v>1.2760643863697774</c:v>
                </c:pt>
                <c:pt idx="4">
                  <c:v>1.3490905401219973</c:v>
                </c:pt>
                <c:pt idx="5">
                  <c:v>1.3974561137719688</c:v>
                </c:pt>
                <c:pt idx="6">
                  <c:v>1.4559465080607688</c:v>
                </c:pt>
                <c:pt idx="7">
                  <c:v>1.5043291860507109</c:v>
                </c:pt>
                <c:pt idx="8">
                  <c:v>1.34888247698255</c:v>
                </c:pt>
                <c:pt idx="9">
                  <c:v>1.4789712175986838</c:v>
                </c:pt>
                <c:pt idx="10">
                  <c:v>1.4800269774929868</c:v>
                </c:pt>
                <c:pt idx="11">
                  <c:v>1.4673116718255832</c:v>
                </c:pt>
                <c:pt idx="12">
                  <c:v>1.4708358347047601</c:v>
                </c:pt>
                <c:pt idx="13">
                  <c:v>1.4859399811417822</c:v>
                </c:pt>
                <c:pt idx="14">
                  <c:v>1.5040084845708321</c:v>
                </c:pt>
                <c:pt idx="15">
                  <c:v>1.4938567413406383</c:v>
                </c:pt>
                <c:pt idx="16">
                  <c:v>1.4744002497541604</c:v>
                </c:pt>
              </c:numCache>
            </c:numRef>
          </c:val>
          <c:smooth val="0"/>
        </c:ser>
        <c:ser>
          <c:idx val="7"/>
          <c:order val="7"/>
          <c:tx>
            <c:strRef>
              <c:f>TMA!$Y$160</c:f>
              <c:strCache>
                <c:ptCount val="1"/>
                <c:pt idx="0">
                  <c:v>Agriculture </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TMA!$Z$152:$AP$152</c:f>
              <c:numCache>
                <c:formatCode>0</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TMA!$Z$160:$AP$160</c:f>
              <c:numCache>
                <c:formatCode>#,##0.00</c:formatCode>
                <c:ptCount val="17"/>
                <c:pt idx="0">
                  <c:v>1.4658999233290155</c:v>
                </c:pt>
                <c:pt idx="1">
                  <c:v>1.4767772929189691</c:v>
                </c:pt>
                <c:pt idx="2">
                  <c:v>1.427859509526926</c:v>
                </c:pt>
                <c:pt idx="3">
                  <c:v>1.4349471313097679</c:v>
                </c:pt>
                <c:pt idx="4">
                  <c:v>1.4791820147880494</c:v>
                </c:pt>
                <c:pt idx="5">
                  <c:v>1.4767014599112782</c:v>
                </c:pt>
                <c:pt idx="6">
                  <c:v>1.3674172365186701</c:v>
                </c:pt>
                <c:pt idx="7">
                  <c:v>1.4926563222873805</c:v>
                </c:pt>
                <c:pt idx="8">
                  <c:v>1.4767772929189691</c:v>
                </c:pt>
                <c:pt idx="9">
                  <c:v>1.476025608562086</c:v>
                </c:pt>
                <c:pt idx="10">
                  <c:v>1.4767216181259164</c:v>
                </c:pt>
                <c:pt idx="11">
                  <c:v>1.4611639947705723</c:v>
                </c:pt>
                <c:pt idx="12">
                  <c:v>1.4609911346781186</c:v>
                </c:pt>
                <c:pt idx="13">
                  <c:v>1.5107436335852089</c:v>
                </c:pt>
                <c:pt idx="14">
                  <c:v>1.5325439783048254</c:v>
                </c:pt>
                <c:pt idx="15">
                  <c:v>1.5337316010632334</c:v>
                </c:pt>
                <c:pt idx="16">
                  <c:v>1.5047929169302474</c:v>
                </c:pt>
              </c:numCache>
            </c:numRef>
          </c:val>
          <c:smooth val="0"/>
        </c:ser>
        <c:dLbls>
          <c:showLegendKey val="0"/>
          <c:showVal val="0"/>
          <c:showCatName val="0"/>
          <c:showSerName val="0"/>
          <c:showPercent val="0"/>
          <c:showBubbleSize val="0"/>
        </c:dLbls>
        <c:marker val="1"/>
        <c:smooth val="0"/>
        <c:axId val="370049840"/>
        <c:axId val="370048752"/>
      </c:lineChart>
      <c:catAx>
        <c:axId val="370049840"/>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tr-TR"/>
          </a:p>
        </c:txPr>
        <c:crossAx val="370048752"/>
        <c:crosses val="autoZero"/>
        <c:auto val="1"/>
        <c:lblAlgn val="ctr"/>
        <c:lblOffset val="100"/>
        <c:noMultiLvlLbl val="0"/>
      </c:catAx>
      <c:valAx>
        <c:axId val="370048752"/>
        <c:scaling>
          <c:orientation val="minMax"/>
          <c:max val="2.25"/>
          <c:min val="1.25"/>
        </c:scaling>
        <c:delete val="0"/>
        <c:axPos val="l"/>
        <c:majorGridlines>
          <c:spPr>
            <a:ln w="1270"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tr-TR"/>
          </a:p>
        </c:txPr>
        <c:crossAx val="370049840"/>
        <c:crosses val="autoZero"/>
        <c:crossBetween val="between"/>
      </c:valAx>
      <c:spPr>
        <a:solidFill>
          <a:schemeClr val="bg2"/>
        </a:solidFill>
        <a:ln>
          <a:noFill/>
        </a:ln>
        <a:effectLst/>
        <a:scene3d>
          <a:camera prst="orthographicFront"/>
          <a:lightRig rig="threePt" dir="t"/>
        </a:scene3d>
        <a:sp3d>
          <a:bevelT/>
        </a:sp3d>
      </c:spPr>
    </c:plotArea>
    <c:legend>
      <c:legendPos val="b"/>
      <c:layout>
        <c:manualLayout>
          <c:xMode val="edge"/>
          <c:yMode val="edge"/>
          <c:x val="3.8112788701019452E-2"/>
          <c:y val="0.84582734292433515"/>
          <c:w val="0.92377442259796116"/>
          <c:h val="0.12998886021955841"/>
        </c:manualLayout>
      </c:layout>
      <c:overlay val="0"/>
      <c:spPr>
        <a:noFill/>
        <a:ln>
          <a:noFill/>
        </a:ln>
        <a:effectLst/>
      </c:spPr>
      <c:txPr>
        <a:bodyPr rot="0" vert="horz"/>
        <a:lstStyle/>
        <a:p>
          <a:pPr>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latin typeface="Calibri" panose="020F0502020204030204" pitchFamily="34" charset="0"/>
        </a:defRPr>
      </a:pPr>
      <a:endParaRPr lang="tr-TR"/>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060433492387326E-2"/>
          <c:y val="7.2541648942173298E-2"/>
          <c:w val="0.95392392980644458"/>
          <c:h val="0.88894497728419986"/>
        </c:manualLayout>
      </c:layout>
      <c:barChart>
        <c:barDir val="col"/>
        <c:grouping val="clustered"/>
        <c:varyColors val="0"/>
        <c:ser>
          <c:idx val="0"/>
          <c:order val="0"/>
          <c:tx>
            <c:strRef>
              <c:f>TMA!$Z$162</c:f>
              <c:strCache>
                <c:ptCount val="1"/>
                <c:pt idx="0">
                  <c:v>Change in Backward Linkage</c:v>
                </c:pt>
              </c:strCache>
            </c:strRef>
          </c:tx>
          <c:spPr>
            <a:solidFill>
              <a:srgbClr val="C00000"/>
            </a:solidFill>
            <a:ln>
              <a:noFill/>
            </a:ln>
            <a:effectLst/>
            <a:scene3d>
              <a:camera prst="orthographicFront"/>
              <a:lightRig rig="threePt" dir="t"/>
            </a:scene3d>
            <a:sp3d>
              <a:bevelT/>
            </a:sp3d>
          </c:spPr>
          <c:invertIfNegative val="0"/>
          <c:dLbls>
            <c:dLbl>
              <c:idx val="0"/>
              <c:layout>
                <c:manualLayout>
                  <c:x val="-2.2329403358342264E-3"/>
                  <c:y val="0.23148148148148148"/>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6.6934404283801874E-3"/>
                  <c:y val="0.26460859977949286"/>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0.2094356261022927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0"/>
                  <c:y val="0.2094356261022927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0"/>
                  <c:y val="0.2755731922398589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TMA!$Y$163:$Y$170</c:f>
              <c:strCache>
                <c:ptCount val="8"/>
                <c:pt idx="0">
                  <c:v>Textile</c:v>
                </c:pt>
                <c:pt idx="1">
                  <c:v>Transport</c:v>
                </c:pt>
                <c:pt idx="2">
                  <c:v>Metal</c:v>
                </c:pt>
                <c:pt idx="3">
                  <c:v>Construction</c:v>
                </c:pt>
                <c:pt idx="4">
                  <c:v>Food</c:v>
                </c:pt>
                <c:pt idx="5">
                  <c:v>Machinery</c:v>
                </c:pt>
                <c:pt idx="6">
                  <c:v>Trade</c:v>
                </c:pt>
                <c:pt idx="7">
                  <c:v>Agriculture </c:v>
                </c:pt>
              </c:strCache>
            </c:strRef>
          </c:cat>
          <c:val>
            <c:numRef>
              <c:f>TMA!$Z$163:$Z$170</c:f>
              <c:numCache>
                <c:formatCode>#,##0</c:formatCode>
                <c:ptCount val="8"/>
                <c:pt idx="0">
                  <c:v>15.608050068949556</c:v>
                </c:pt>
                <c:pt idx="1">
                  <c:v>14.611706607846678</c:v>
                </c:pt>
                <c:pt idx="2">
                  <c:v>1.6821992979706171</c:v>
                </c:pt>
                <c:pt idx="3">
                  <c:v>-0.3805439370731728</c:v>
                </c:pt>
                <c:pt idx="4">
                  <c:v>11.634408295504537</c:v>
                </c:pt>
                <c:pt idx="5">
                  <c:v>9.0850237676258097</c:v>
                </c:pt>
                <c:pt idx="6">
                  <c:v>10.506142821776901</c:v>
                </c:pt>
                <c:pt idx="7">
                  <c:v>2.6531820475784627</c:v>
                </c:pt>
              </c:numCache>
            </c:numRef>
          </c:val>
        </c:ser>
        <c:dLbls>
          <c:dLblPos val="outEnd"/>
          <c:showLegendKey val="0"/>
          <c:showVal val="1"/>
          <c:showCatName val="0"/>
          <c:showSerName val="0"/>
          <c:showPercent val="0"/>
          <c:showBubbleSize val="0"/>
        </c:dLbls>
        <c:gapWidth val="24"/>
        <c:overlap val="-27"/>
        <c:axId val="370048208"/>
        <c:axId val="370051472"/>
      </c:barChart>
      <c:catAx>
        <c:axId val="37004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tr-TR"/>
          </a:p>
        </c:txPr>
        <c:crossAx val="370051472"/>
        <c:crosses val="autoZero"/>
        <c:auto val="1"/>
        <c:lblAlgn val="ctr"/>
        <c:lblOffset val="100"/>
        <c:noMultiLvlLbl val="0"/>
      </c:catAx>
      <c:valAx>
        <c:axId val="370051472"/>
        <c:scaling>
          <c:orientation val="minMax"/>
          <c:max val="16"/>
        </c:scaling>
        <c:delete val="0"/>
        <c:axPos val="l"/>
        <c:majorGridlines>
          <c:spPr>
            <a:ln w="1270"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tr-TR"/>
          </a:p>
        </c:txPr>
        <c:crossAx val="370048208"/>
        <c:crosses val="autoZero"/>
        <c:crossBetween val="between"/>
      </c:valAx>
      <c:spPr>
        <a:noFill/>
        <a:ln>
          <a:noFill/>
        </a:ln>
        <a:effectLst/>
        <a:scene3d>
          <a:camera prst="orthographicFront"/>
          <a:lightRig rig="threePt" dir="t"/>
        </a:scene3d>
        <a:sp3d>
          <a:bevelT/>
        </a:sp3d>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latin typeface="Calibri" panose="020F0502020204030204" pitchFamily="34" charset="0"/>
          <a:cs typeface="Times New Roman" panose="02020603050405020304" pitchFamily="18" charset="0"/>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788110537906902E-2"/>
          <c:y val="3.6249999999999998E-2"/>
          <c:w val="0.92131524758121719"/>
          <c:h val="0.83931901094446693"/>
        </c:manualLayout>
      </c:layout>
      <c:barChart>
        <c:barDir val="col"/>
        <c:grouping val="clustered"/>
        <c:varyColors val="0"/>
        <c:ser>
          <c:idx val="0"/>
          <c:order val="0"/>
          <c:spPr>
            <a:solidFill>
              <a:srgbClr val="C00000"/>
            </a:solidFill>
            <a:ln>
              <a:noFill/>
            </a:ln>
            <a:effectLst/>
            <a:scene3d>
              <a:camera prst="orthographicFront"/>
              <a:lightRig rig="threePt" dir="t"/>
            </a:scene3d>
            <a:sp3d>
              <a:bevelT/>
            </a:sp3d>
          </c:spPr>
          <c:invertIfNegative val="0"/>
          <c:dLbls>
            <c:spPr>
              <a:noFill/>
              <a:ln>
                <a:noFill/>
              </a:ln>
              <a:effectLst/>
            </c:spPr>
            <c:txPr>
              <a:bodyPr rot="0" vert="horz"/>
              <a:lstStyle/>
              <a:p>
                <a:pPr>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'TAGK 95-2011'!$W$28:$W$39</c:f>
              <c:strCache>
                <c:ptCount val="12"/>
                <c:pt idx="0">
                  <c:v>Food</c:v>
                </c:pt>
                <c:pt idx="1">
                  <c:v>Petrol</c:v>
                </c:pt>
                <c:pt idx="2">
                  <c:v>Cork</c:v>
                </c:pt>
                <c:pt idx="3">
                  <c:v>Metal</c:v>
                </c:pt>
                <c:pt idx="4">
                  <c:v>Plastic</c:v>
                </c:pt>
                <c:pt idx="5">
                  <c:v>Textile</c:v>
                </c:pt>
                <c:pt idx="6">
                  <c:v>Chemistry</c:v>
                </c:pt>
                <c:pt idx="7">
                  <c:v>Machine</c:v>
                </c:pt>
                <c:pt idx="8">
                  <c:v>Paper</c:v>
                </c:pt>
                <c:pt idx="9">
                  <c:v>Mineral</c:v>
                </c:pt>
                <c:pt idx="10">
                  <c:v>Construction</c:v>
                </c:pt>
                <c:pt idx="11">
                  <c:v>Energy</c:v>
                </c:pt>
              </c:strCache>
            </c:strRef>
          </c:cat>
          <c:val>
            <c:numRef>
              <c:f>'TAGK 95-2011'!$X$28:$X$39</c:f>
              <c:numCache>
                <c:formatCode>#,##0.00</c:formatCode>
                <c:ptCount val="12"/>
                <c:pt idx="0">
                  <c:v>0.73130326413238145</c:v>
                </c:pt>
                <c:pt idx="1">
                  <c:v>0.72557750368278617</c:v>
                </c:pt>
                <c:pt idx="2">
                  <c:v>0.7233185024554748</c:v>
                </c:pt>
                <c:pt idx="3">
                  <c:v>0.71806222743398207</c:v>
                </c:pt>
                <c:pt idx="4">
                  <c:v>0.70469665739629295</c:v>
                </c:pt>
                <c:pt idx="5">
                  <c:v>0.69802230226785877</c:v>
                </c:pt>
                <c:pt idx="6">
                  <c:v>0.67951506296893038</c:v>
                </c:pt>
                <c:pt idx="7">
                  <c:v>0.65879622099779089</c:v>
                </c:pt>
                <c:pt idx="8">
                  <c:v>0.62747671564631979</c:v>
                </c:pt>
                <c:pt idx="9">
                  <c:v>0.57994890518694076</c:v>
                </c:pt>
                <c:pt idx="10">
                  <c:v>0.54310826097280296</c:v>
                </c:pt>
                <c:pt idx="11">
                  <c:v>0.52839418766177015</c:v>
                </c:pt>
              </c:numCache>
            </c:numRef>
          </c:val>
        </c:ser>
        <c:dLbls>
          <c:dLblPos val="outEnd"/>
          <c:showLegendKey val="0"/>
          <c:showVal val="1"/>
          <c:showCatName val="0"/>
          <c:showSerName val="0"/>
          <c:showPercent val="0"/>
          <c:showBubbleSize val="0"/>
        </c:dLbls>
        <c:gapWidth val="25"/>
        <c:overlap val="3"/>
        <c:axId val="370339632"/>
        <c:axId val="239252144"/>
      </c:barChart>
      <c:catAx>
        <c:axId val="37033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tr-TR"/>
          </a:p>
        </c:txPr>
        <c:crossAx val="239252144"/>
        <c:crosses val="autoZero"/>
        <c:auto val="1"/>
        <c:lblAlgn val="ctr"/>
        <c:lblOffset val="100"/>
        <c:noMultiLvlLbl val="0"/>
      </c:catAx>
      <c:valAx>
        <c:axId val="239252144"/>
        <c:scaling>
          <c:orientation val="minMax"/>
        </c:scaling>
        <c:delete val="0"/>
        <c:axPos val="l"/>
        <c:majorGridlines>
          <c:spPr>
            <a:ln w="2540"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tr-TR"/>
          </a:p>
        </c:txPr>
        <c:crossAx val="370339632"/>
        <c:crosses val="autoZero"/>
        <c:crossBetween val="between"/>
      </c:valAx>
      <c:spPr>
        <a:solidFill>
          <a:sysClr val="window" lastClr="FFFFFF"/>
        </a:solidFill>
        <a:ln>
          <a:noFill/>
        </a:ln>
        <a:effectLst/>
        <a:scene3d>
          <a:camera prst="orthographicFront"/>
          <a:lightRig rig="threePt" dir="t"/>
        </a:scene3d>
        <a:sp3d>
          <a:bevelT/>
        </a:sp3d>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latin typeface="Calibri" panose="020F0502020204030204" pitchFamily="34" charset="0"/>
          <a:cs typeface="Arial" panose="020B0604020202020204" pitchFamily="34" charset="0"/>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533080648117633E-2"/>
          <c:y val="5.2935205665792802E-2"/>
          <c:w val="0.90765624807090872"/>
          <c:h val="0.74172814045715785"/>
        </c:manualLayout>
      </c:layout>
      <c:barChart>
        <c:barDir val="col"/>
        <c:grouping val="clustered"/>
        <c:varyColors val="0"/>
        <c:ser>
          <c:idx val="0"/>
          <c:order val="0"/>
          <c:spPr>
            <a:solidFill>
              <a:srgbClr val="C00000"/>
            </a:solidFill>
            <a:ln>
              <a:noFill/>
            </a:ln>
            <a:effectLst/>
            <a:scene3d>
              <a:camera prst="orthographicFront"/>
              <a:lightRig rig="threePt" dir="t"/>
            </a:scene3d>
            <a:sp3d>
              <a:bevelT/>
            </a:sp3d>
          </c:spPr>
          <c:invertIfNegative val="0"/>
          <c:dLbls>
            <c:dLbl>
              <c:idx val="0"/>
              <c:layout>
                <c:manualLayout>
                  <c:x val="0.1426717735291535"/>
                  <c:y val="0.18297290889351986"/>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7.3497671671545611E-2"/>
                  <c:y val="0.107334314985587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'TAGT 95-2011'!$B$26:$B$39</c:f>
              <c:strCache>
                <c:ptCount val="14"/>
                <c:pt idx="0">
                  <c:v>Trade</c:v>
                </c:pt>
                <c:pt idx="1">
                  <c:v>Transport</c:v>
                </c:pt>
                <c:pt idx="2">
                  <c:v>Agriculture</c:v>
                </c:pt>
                <c:pt idx="3">
                  <c:v>Finans</c:v>
                </c:pt>
                <c:pt idx="4">
                  <c:v>Real Estate</c:v>
                </c:pt>
                <c:pt idx="5">
                  <c:v>Energy</c:v>
                </c:pt>
                <c:pt idx="6">
                  <c:v>Chemistry</c:v>
                </c:pt>
                <c:pt idx="7">
                  <c:v>Metal</c:v>
                </c:pt>
                <c:pt idx="8">
                  <c:v>Textile</c:v>
                </c:pt>
                <c:pt idx="9">
                  <c:v>Paper</c:v>
                </c:pt>
                <c:pt idx="10">
                  <c:v>Petrol</c:v>
                </c:pt>
                <c:pt idx="11">
                  <c:v>Mining</c:v>
                </c:pt>
                <c:pt idx="12">
                  <c:v>Mineral</c:v>
                </c:pt>
                <c:pt idx="13">
                  <c:v>Machine</c:v>
                </c:pt>
              </c:strCache>
            </c:strRef>
          </c:cat>
          <c:val>
            <c:numRef>
              <c:f>'TAGT 95-2011'!$C$26:$C$39</c:f>
              <c:numCache>
                <c:formatCode>#,##0.00</c:formatCode>
                <c:ptCount val="14"/>
                <c:pt idx="0">
                  <c:v>1</c:v>
                </c:pt>
                <c:pt idx="1">
                  <c:v>1</c:v>
                </c:pt>
                <c:pt idx="2">
                  <c:v>0.60749570480876258</c:v>
                </c:pt>
                <c:pt idx="3">
                  <c:v>0.60253413522966703</c:v>
                </c:pt>
                <c:pt idx="4">
                  <c:v>0.5984708836714645</c:v>
                </c:pt>
                <c:pt idx="5">
                  <c:v>0.5915147842550188</c:v>
                </c:pt>
                <c:pt idx="6">
                  <c:v>0.46524672179798932</c:v>
                </c:pt>
                <c:pt idx="7">
                  <c:v>0.44917503821497329</c:v>
                </c:pt>
                <c:pt idx="8">
                  <c:v>0.43196688920529308</c:v>
                </c:pt>
                <c:pt idx="9">
                  <c:v>0.35183627085408786</c:v>
                </c:pt>
                <c:pt idx="10">
                  <c:v>0.34471758697681165</c:v>
                </c:pt>
                <c:pt idx="11">
                  <c:v>0.29918412546447831</c:v>
                </c:pt>
                <c:pt idx="12">
                  <c:v>0.29619746868906105</c:v>
                </c:pt>
                <c:pt idx="13">
                  <c:v>0.26278101950587079</c:v>
                </c:pt>
              </c:numCache>
            </c:numRef>
          </c:val>
        </c:ser>
        <c:dLbls>
          <c:showLegendKey val="0"/>
          <c:showVal val="0"/>
          <c:showCatName val="0"/>
          <c:showSerName val="0"/>
          <c:showPercent val="0"/>
          <c:showBubbleSize val="0"/>
        </c:dLbls>
        <c:gapWidth val="25"/>
        <c:overlap val="-3"/>
        <c:axId val="239249424"/>
        <c:axId val="239249968"/>
      </c:barChart>
      <c:catAx>
        <c:axId val="23924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tr-TR"/>
          </a:p>
        </c:txPr>
        <c:crossAx val="239249968"/>
        <c:crosses val="autoZero"/>
        <c:auto val="1"/>
        <c:lblAlgn val="ctr"/>
        <c:lblOffset val="100"/>
        <c:noMultiLvlLbl val="0"/>
      </c:catAx>
      <c:valAx>
        <c:axId val="239249968"/>
        <c:scaling>
          <c:orientation val="minMax"/>
          <c:max val="1"/>
        </c:scaling>
        <c:delete val="0"/>
        <c:axPos val="l"/>
        <c:majorGridlines>
          <c:spPr>
            <a:ln w="2540"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tr-TR"/>
          </a:p>
        </c:txPr>
        <c:crossAx val="239249424"/>
        <c:crosses val="autoZero"/>
        <c:crossBetween val="between"/>
      </c:valAx>
      <c:spPr>
        <a:solidFill>
          <a:schemeClr val="bg2"/>
        </a:solidFill>
        <a:ln>
          <a:noFill/>
        </a:ln>
        <a:effectLst/>
        <a:scene3d>
          <a:camera prst="orthographicFront"/>
          <a:lightRig rig="threePt" dir="t"/>
        </a:scene3d>
        <a:sp3d>
          <a:bevelT/>
        </a:sp3d>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latin typeface="Calibri" panose="020F0502020204030204" pitchFamily="34" charset="0"/>
        </a:defRPr>
      </a:pPr>
      <a:endParaRPr lang="tr-T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963688451330284E-2"/>
          <c:y val="0.28462969854856718"/>
          <c:w val="0.91129871983524713"/>
          <c:h val="0.67448813036814759"/>
        </c:manualLayout>
      </c:layout>
      <c:lineChart>
        <c:grouping val="standard"/>
        <c:varyColors val="0"/>
        <c:ser>
          <c:idx val="0"/>
          <c:order val="0"/>
          <c:tx>
            <c:strRef>
              <c:f>'[Microsoft Word uygulamasında grafik]Sayfa2'!$B$23</c:f>
              <c:strCache>
                <c:ptCount val="1"/>
                <c:pt idx="0">
                  <c:v>Agriculture </c:v>
                </c:pt>
              </c:strCache>
            </c:strRef>
          </c:tx>
          <c:spPr>
            <a:ln w="28575" cap="rnd">
              <a:solidFill>
                <a:schemeClr val="accent1"/>
              </a:solidFill>
              <a:round/>
            </a:ln>
            <a:effectLst/>
          </c:spPr>
          <c:marker>
            <c:symbol val="none"/>
          </c:marker>
          <c:cat>
            <c:numRef>
              <c:f>'[Microsoft Word uygulamasında grafik]Sayfa2'!$C$22:$S$22</c:f>
              <c:numCache>
                <c:formatCode>General</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'[Microsoft Word uygulamasında grafik]Sayfa2'!$C$23:$S$23</c:f>
              <c:numCache>
                <c:formatCode>0.0000</c:formatCode>
                <c:ptCount val="17"/>
                <c:pt idx="0">
                  <c:v>4.5999999999999999E-3</c:v>
                </c:pt>
                <c:pt idx="1">
                  <c:v>5.5999999999999999E-3</c:v>
                </c:pt>
                <c:pt idx="2">
                  <c:v>6.8999999999999999E-3</c:v>
                </c:pt>
                <c:pt idx="3">
                  <c:v>7.4000000000000003E-3</c:v>
                </c:pt>
                <c:pt idx="4">
                  <c:v>5.5999999999999999E-3</c:v>
                </c:pt>
                <c:pt idx="5">
                  <c:v>5.8999999999999999E-3</c:v>
                </c:pt>
                <c:pt idx="6">
                  <c:v>5.1000000000000004E-3</c:v>
                </c:pt>
                <c:pt idx="7">
                  <c:v>5.8999999999999999E-3</c:v>
                </c:pt>
                <c:pt idx="8">
                  <c:v>5.1000000000000004E-3</c:v>
                </c:pt>
                <c:pt idx="9">
                  <c:v>5.7000000000000002E-3</c:v>
                </c:pt>
                <c:pt idx="10">
                  <c:v>5.3E-3</c:v>
                </c:pt>
                <c:pt idx="11">
                  <c:v>4.5999999999999999E-3</c:v>
                </c:pt>
                <c:pt idx="12">
                  <c:v>4.8999999999999998E-3</c:v>
                </c:pt>
                <c:pt idx="13">
                  <c:v>4.4999999999999997E-3</c:v>
                </c:pt>
                <c:pt idx="14">
                  <c:v>4.1000000000000003E-3</c:v>
                </c:pt>
                <c:pt idx="15">
                  <c:v>4.0000000000000001E-3</c:v>
                </c:pt>
                <c:pt idx="16">
                  <c:v>4.7999999999999996E-3</c:v>
                </c:pt>
              </c:numCache>
            </c:numRef>
          </c:val>
          <c:smooth val="0"/>
        </c:ser>
        <c:ser>
          <c:idx val="1"/>
          <c:order val="1"/>
          <c:tx>
            <c:strRef>
              <c:f>'[Microsoft Word uygulamasında grafik]Sayfa2'!$B$24</c:f>
              <c:strCache>
                <c:ptCount val="1"/>
                <c:pt idx="0">
                  <c:v>Food</c:v>
                </c:pt>
              </c:strCache>
            </c:strRef>
          </c:tx>
          <c:spPr>
            <a:ln w="28575" cap="rnd">
              <a:solidFill>
                <a:schemeClr val="accent2"/>
              </a:solidFill>
              <a:round/>
            </a:ln>
            <a:effectLst/>
          </c:spPr>
          <c:marker>
            <c:symbol val="none"/>
          </c:marker>
          <c:cat>
            <c:numRef>
              <c:f>'[Microsoft Word uygulamasında grafik]Sayfa2'!$C$22:$S$22</c:f>
              <c:numCache>
                <c:formatCode>General</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'[Microsoft Word uygulamasında grafik]Sayfa2'!$C$24:$S$24</c:f>
              <c:numCache>
                <c:formatCode>0.0000</c:formatCode>
                <c:ptCount val="17"/>
                <c:pt idx="0">
                  <c:v>5.7000000000000002E-3</c:v>
                </c:pt>
                <c:pt idx="1">
                  <c:v>5.4999999999999997E-3</c:v>
                </c:pt>
                <c:pt idx="2">
                  <c:v>8.6999999999999994E-3</c:v>
                </c:pt>
                <c:pt idx="3">
                  <c:v>6.6E-3</c:v>
                </c:pt>
                <c:pt idx="4">
                  <c:v>6.4000000000000003E-3</c:v>
                </c:pt>
                <c:pt idx="5">
                  <c:v>6.8999999999999999E-3</c:v>
                </c:pt>
                <c:pt idx="6">
                  <c:v>8.0000000000000002E-3</c:v>
                </c:pt>
                <c:pt idx="7">
                  <c:v>7.3000000000000001E-3</c:v>
                </c:pt>
                <c:pt idx="8">
                  <c:v>6.8999999999999999E-3</c:v>
                </c:pt>
                <c:pt idx="9">
                  <c:v>7.0000000000000001E-3</c:v>
                </c:pt>
                <c:pt idx="10">
                  <c:v>6.3E-3</c:v>
                </c:pt>
                <c:pt idx="11">
                  <c:v>6.1000000000000004E-3</c:v>
                </c:pt>
                <c:pt idx="12">
                  <c:v>7.7999999999999996E-3</c:v>
                </c:pt>
                <c:pt idx="13">
                  <c:v>1.0200000000000001E-2</c:v>
                </c:pt>
                <c:pt idx="14">
                  <c:v>7.4999999999999997E-3</c:v>
                </c:pt>
                <c:pt idx="15">
                  <c:v>6.6E-3</c:v>
                </c:pt>
                <c:pt idx="16">
                  <c:v>9.4000000000000004E-3</c:v>
                </c:pt>
              </c:numCache>
            </c:numRef>
          </c:val>
          <c:smooth val="0"/>
        </c:ser>
        <c:ser>
          <c:idx val="2"/>
          <c:order val="2"/>
          <c:tx>
            <c:strRef>
              <c:f>'[Microsoft Word uygulamasında grafik]Sayfa2'!$B$25</c:f>
              <c:strCache>
                <c:ptCount val="1"/>
                <c:pt idx="0">
                  <c:v>Textile</c:v>
                </c:pt>
              </c:strCache>
            </c:strRef>
          </c:tx>
          <c:spPr>
            <a:ln w="28575" cap="rnd">
              <a:solidFill>
                <a:srgbClr val="C00000"/>
              </a:solidFill>
              <a:round/>
            </a:ln>
            <a:effectLst/>
          </c:spPr>
          <c:marker>
            <c:symbol val="none"/>
          </c:marker>
          <c:cat>
            <c:numRef>
              <c:f>'[Microsoft Word uygulamasında grafik]Sayfa2'!$C$22:$S$22</c:f>
              <c:numCache>
                <c:formatCode>General</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'[Microsoft Word uygulamasında grafik]Sayfa2'!$C$25:$S$25</c:f>
              <c:numCache>
                <c:formatCode>0.0000</c:formatCode>
                <c:ptCount val="17"/>
                <c:pt idx="0">
                  <c:v>7.9000000000000008E-3</c:v>
                </c:pt>
                <c:pt idx="1">
                  <c:v>7.0000000000000001E-3</c:v>
                </c:pt>
                <c:pt idx="2">
                  <c:v>8.6999999999999994E-3</c:v>
                </c:pt>
                <c:pt idx="3">
                  <c:v>6.3E-3</c:v>
                </c:pt>
                <c:pt idx="4">
                  <c:v>9.4999999999999998E-3</c:v>
                </c:pt>
                <c:pt idx="5">
                  <c:v>1.21E-2</c:v>
                </c:pt>
                <c:pt idx="6">
                  <c:v>1.8700000000000001E-2</c:v>
                </c:pt>
                <c:pt idx="7">
                  <c:v>2.0899999999999998E-2</c:v>
                </c:pt>
                <c:pt idx="8">
                  <c:v>1.6899999999999998E-2</c:v>
                </c:pt>
                <c:pt idx="9">
                  <c:v>2.0199999999999999E-2</c:v>
                </c:pt>
                <c:pt idx="10">
                  <c:v>1.83E-2</c:v>
                </c:pt>
                <c:pt idx="11">
                  <c:v>1.7899999999999999E-2</c:v>
                </c:pt>
                <c:pt idx="12">
                  <c:v>2.1399999999999999E-2</c:v>
                </c:pt>
                <c:pt idx="13">
                  <c:v>2.8199999999999999E-2</c:v>
                </c:pt>
                <c:pt idx="14">
                  <c:v>2.23E-2</c:v>
                </c:pt>
                <c:pt idx="15">
                  <c:v>2.5499999999999998E-2</c:v>
                </c:pt>
                <c:pt idx="16">
                  <c:v>3.0499999999999999E-2</c:v>
                </c:pt>
              </c:numCache>
            </c:numRef>
          </c:val>
          <c:smooth val="0"/>
        </c:ser>
        <c:ser>
          <c:idx val="3"/>
          <c:order val="3"/>
          <c:tx>
            <c:strRef>
              <c:f>'[Microsoft Word uygulamasında grafik]Sayfa2'!$B$26</c:f>
              <c:strCache>
                <c:ptCount val="1"/>
                <c:pt idx="0">
                  <c:v>Petrol</c:v>
                </c:pt>
              </c:strCache>
            </c:strRef>
          </c:tx>
          <c:spPr>
            <a:ln w="28575" cap="rnd">
              <a:solidFill>
                <a:schemeClr val="accent4"/>
              </a:solidFill>
              <a:round/>
            </a:ln>
            <a:effectLst/>
          </c:spPr>
          <c:marker>
            <c:symbol val="none"/>
          </c:marker>
          <c:cat>
            <c:numRef>
              <c:f>'[Microsoft Word uygulamasında grafik]Sayfa2'!$C$22:$S$22</c:f>
              <c:numCache>
                <c:formatCode>General</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'[Microsoft Word uygulamasında grafik]Sayfa2'!$C$26:$S$26</c:f>
              <c:numCache>
                <c:formatCode>0.0000</c:formatCode>
                <c:ptCount val="17"/>
                <c:pt idx="0">
                  <c:v>8.8000000000000005E-3</c:v>
                </c:pt>
                <c:pt idx="1">
                  <c:v>9.5999999999999992E-3</c:v>
                </c:pt>
                <c:pt idx="2">
                  <c:v>9.2999999999999992E-3</c:v>
                </c:pt>
                <c:pt idx="3">
                  <c:v>6.1999999999999998E-3</c:v>
                </c:pt>
                <c:pt idx="4">
                  <c:v>1.12E-2</c:v>
                </c:pt>
                <c:pt idx="5">
                  <c:v>1.77E-2</c:v>
                </c:pt>
                <c:pt idx="6">
                  <c:v>1.89E-2</c:v>
                </c:pt>
                <c:pt idx="7">
                  <c:v>1.04E-2</c:v>
                </c:pt>
                <c:pt idx="8">
                  <c:v>8.6E-3</c:v>
                </c:pt>
                <c:pt idx="9">
                  <c:v>1.01E-2</c:v>
                </c:pt>
                <c:pt idx="10">
                  <c:v>1.1599999999999999E-2</c:v>
                </c:pt>
                <c:pt idx="11">
                  <c:v>1.15E-2</c:v>
                </c:pt>
                <c:pt idx="12">
                  <c:v>1.1900000000000001E-2</c:v>
                </c:pt>
                <c:pt idx="13">
                  <c:v>1E-3</c:v>
                </c:pt>
                <c:pt idx="14">
                  <c:v>8.0000000000000004E-4</c:v>
                </c:pt>
                <c:pt idx="15">
                  <c:v>8.9999999999999998E-4</c:v>
                </c:pt>
                <c:pt idx="16">
                  <c:v>1.1999999999999999E-3</c:v>
                </c:pt>
              </c:numCache>
            </c:numRef>
          </c:val>
          <c:smooth val="0"/>
        </c:ser>
        <c:ser>
          <c:idx val="4"/>
          <c:order val="4"/>
          <c:tx>
            <c:strRef>
              <c:f>'[Microsoft Word uygulamasında grafik]Sayfa2'!$B$27</c:f>
              <c:strCache>
                <c:ptCount val="1"/>
                <c:pt idx="0">
                  <c:v>Metal</c:v>
                </c:pt>
              </c:strCache>
            </c:strRef>
          </c:tx>
          <c:spPr>
            <a:ln w="28575" cap="rnd">
              <a:solidFill>
                <a:srgbClr val="002060"/>
              </a:solidFill>
              <a:round/>
            </a:ln>
            <a:effectLst/>
          </c:spPr>
          <c:marker>
            <c:symbol val="none"/>
          </c:marker>
          <c:cat>
            <c:numRef>
              <c:f>'[Microsoft Word uygulamasında grafik]Sayfa2'!$C$22:$S$22</c:f>
              <c:numCache>
                <c:formatCode>General</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'[Microsoft Word uygulamasında grafik]Sayfa2'!$C$27:$S$27</c:f>
              <c:numCache>
                <c:formatCode>0.0000</c:formatCode>
                <c:ptCount val="17"/>
                <c:pt idx="0">
                  <c:v>6.7999999999999996E-3</c:v>
                </c:pt>
                <c:pt idx="1">
                  <c:v>6.7999999999999996E-3</c:v>
                </c:pt>
                <c:pt idx="2">
                  <c:v>8.5000000000000006E-3</c:v>
                </c:pt>
                <c:pt idx="3">
                  <c:v>8.0999999999999996E-3</c:v>
                </c:pt>
                <c:pt idx="4">
                  <c:v>6.8999999999999999E-3</c:v>
                </c:pt>
                <c:pt idx="5">
                  <c:v>8.2000000000000007E-3</c:v>
                </c:pt>
                <c:pt idx="6">
                  <c:v>9.9000000000000008E-3</c:v>
                </c:pt>
                <c:pt idx="7">
                  <c:v>1.0200000000000001E-2</c:v>
                </c:pt>
                <c:pt idx="8">
                  <c:v>0.01</c:v>
                </c:pt>
                <c:pt idx="9">
                  <c:v>1.24E-2</c:v>
                </c:pt>
                <c:pt idx="10">
                  <c:v>1.24E-2</c:v>
                </c:pt>
                <c:pt idx="11">
                  <c:v>1.17E-2</c:v>
                </c:pt>
                <c:pt idx="12">
                  <c:v>1.4E-2</c:v>
                </c:pt>
                <c:pt idx="13">
                  <c:v>1.3100000000000001E-2</c:v>
                </c:pt>
                <c:pt idx="14">
                  <c:v>9.1000000000000004E-3</c:v>
                </c:pt>
                <c:pt idx="15">
                  <c:v>1.01E-2</c:v>
                </c:pt>
                <c:pt idx="16">
                  <c:v>1.24E-2</c:v>
                </c:pt>
              </c:numCache>
            </c:numRef>
          </c:val>
          <c:smooth val="0"/>
        </c:ser>
        <c:ser>
          <c:idx val="5"/>
          <c:order val="5"/>
          <c:tx>
            <c:strRef>
              <c:f>'[Microsoft Word uygulamasında grafik]Sayfa2'!$B$28</c:f>
              <c:strCache>
                <c:ptCount val="1"/>
                <c:pt idx="0">
                  <c:v>Machinery</c:v>
                </c:pt>
              </c:strCache>
            </c:strRef>
          </c:tx>
          <c:spPr>
            <a:ln w="28575" cap="rnd">
              <a:solidFill>
                <a:schemeClr val="accent6">
                  <a:lumMod val="75000"/>
                </a:schemeClr>
              </a:solidFill>
              <a:round/>
            </a:ln>
            <a:effectLst/>
          </c:spPr>
          <c:marker>
            <c:symbol val="none"/>
          </c:marker>
          <c:cat>
            <c:numRef>
              <c:f>'[Microsoft Word uygulamasında grafik]Sayfa2'!$C$22:$S$22</c:f>
              <c:numCache>
                <c:formatCode>General</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'[Microsoft Word uygulamasında grafik]Sayfa2'!$C$28:$S$28</c:f>
              <c:numCache>
                <c:formatCode>0.0000</c:formatCode>
                <c:ptCount val="17"/>
                <c:pt idx="0">
                  <c:v>5.7000000000000002E-3</c:v>
                </c:pt>
                <c:pt idx="1">
                  <c:v>5.4999999999999997E-3</c:v>
                </c:pt>
                <c:pt idx="2">
                  <c:v>9.1999999999999998E-3</c:v>
                </c:pt>
                <c:pt idx="3">
                  <c:v>7.0000000000000001E-3</c:v>
                </c:pt>
                <c:pt idx="4">
                  <c:v>8.2000000000000007E-3</c:v>
                </c:pt>
                <c:pt idx="5">
                  <c:v>8.9999999999999993E-3</c:v>
                </c:pt>
                <c:pt idx="6">
                  <c:v>1.03E-2</c:v>
                </c:pt>
                <c:pt idx="7">
                  <c:v>9.2999999999999992E-3</c:v>
                </c:pt>
                <c:pt idx="8">
                  <c:v>8.3000000000000001E-3</c:v>
                </c:pt>
                <c:pt idx="9">
                  <c:v>1.04E-2</c:v>
                </c:pt>
                <c:pt idx="10">
                  <c:v>0.01</c:v>
                </c:pt>
                <c:pt idx="11">
                  <c:v>9.4999999999999998E-3</c:v>
                </c:pt>
                <c:pt idx="12">
                  <c:v>1.1599999999999999E-2</c:v>
                </c:pt>
                <c:pt idx="13">
                  <c:v>8.5000000000000006E-3</c:v>
                </c:pt>
                <c:pt idx="14">
                  <c:v>6.4000000000000003E-3</c:v>
                </c:pt>
                <c:pt idx="15">
                  <c:v>6.7999999999999996E-3</c:v>
                </c:pt>
                <c:pt idx="16">
                  <c:v>8.5000000000000006E-3</c:v>
                </c:pt>
              </c:numCache>
            </c:numRef>
          </c:val>
          <c:smooth val="0"/>
        </c:ser>
        <c:ser>
          <c:idx val="6"/>
          <c:order val="6"/>
          <c:tx>
            <c:strRef>
              <c:f>'[Microsoft Word uygulamasında grafik]Sayfa2'!$B$29</c:f>
              <c:strCache>
                <c:ptCount val="1"/>
                <c:pt idx="0">
                  <c:v>Energy</c:v>
                </c:pt>
              </c:strCache>
            </c:strRef>
          </c:tx>
          <c:spPr>
            <a:ln w="28575" cap="rnd">
              <a:solidFill>
                <a:schemeClr val="accent1">
                  <a:lumMod val="60000"/>
                </a:schemeClr>
              </a:solidFill>
              <a:round/>
            </a:ln>
            <a:effectLst/>
          </c:spPr>
          <c:marker>
            <c:symbol val="none"/>
          </c:marker>
          <c:cat>
            <c:numRef>
              <c:f>'[Microsoft Word uygulamasında grafik]Sayfa2'!$C$22:$S$22</c:f>
              <c:numCache>
                <c:formatCode>General</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'[Microsoft Word uygulamasında grafik]Sayfa2'!$C$29:$S$29</c:f>
              <c:numCache>
                <c:formatCode>0.0000</c:formatCode>
                <c:ptCount val="17"/>
                <c:pt idx="0">
                  <c:v>1.1999999999999999E-3</c:v>
                </c:pt>
                <c:pt idx="1">
                  <c:v>2E-3</c:v>
                </c:pt>
                <c:pt idx="2">
                  <c:v>2.5999999999999999E-3</c:v>
                </c:pt>
                <c:pt idx="3">
                  <c:v>2.3999999999999998E-3</c:v>
                </c:pt>
                <c:pt idx="4">
                  <c:v>1.5E-3</c:v>
                </c:pt>
                <c:pt idx="5">
                  <c:v>2.7000000000000001E-3</c:v>
                </c:pt>
                <c:pt idx="6">
                  <c:v>4.7999999999999996E-3</c:v>
                </c:pt>
                <c:pt idx="7">
                  <c:v>6.7999999999999996E-3</c:v>
                </c:pt>
                <c:pt idx="8">
                  <c:v>5.4999999999999997E-3</c:v>
                </c:pt>
                <c:pt idx="9">
                  <c:v>6.3E-3</c:v>
                </c:pt>
                <c:pt idx="10">
                  <c:v>7.7999999999999996E-3</c:v>
                </c:pt>
                <c:pt idx="11">
                  <c:v>7.4000000000000003E-3</c:v>
                </c:pt>
                <c:pt idx="12">
                  <c:v>9.4999999999999998E-3</c:v>
                </c:pt>
                <c:pt idx="13">
                  <c:v>6.9999999999999999E-4</c:v>
                </c:pt>
                <c:pt idx="14">
                  <c:v>5.9999999999999995E-4</c:v>
                </c:pt>
                <c:pt idx="15">
                  <c:v>6.9999999999999999E-4</c:v>
                </c:pt>
                <c:pt idx="16">
                  <c:v>8.0000000000000004E-4</c:v>
                </c:pt>
              </c:numCache>
            </c:numRef>
          </c:val>
          <c:smooth val="0"/>
        </c:ser>
        <c:ser>
          <c:idx val="7"/>
          <c:order val="7"/>
          <c:tx>
            <c:strRef>
              <c:f>'[Microsoft Word uygulamasında grafik]Sayfa2'!$B$30</c:f>
              <c:strCache>
                <c:ptCount val="1"/>
                <c:pt idx="0">
                  <c:v>Construction</c:v>
                </c:pt>
              </c:strCache>
            </c:strRef>
          </c:tx>
          <c:spPr>
            <a:ln w="28575" cap="rnd">
              <a:solidFill>
                <a:schemeClr val="accent2">
                  <a:lumMod val="60000"/>
                </a:schemeClr>
              </a:solidFill>
              <a:round/>
            </a:ln>
            <a:effectLst/>
          </c:spPr>
          <c:marker>
            <c:symbol val="none"/>
          </c:marker>
          <c:cat>
            <c:numRef>
              <c:f>'[Microsoft Word uygulamasında grafik]Sayfa2'!$C$22:$S$22</c:f>
              <c:numCache>
                <c:formatCode>General</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'[Microsoft Word uygulamasında grafik]Sayfa2'!$C$30:$S$30</c:f>
              <c:numCache>
                <c:formatCode>0.0000</c:formatCode>
                <c:ptCount val="17"/>
                <c:pt idx="0">
                  <c:v>5.4999999999999997E-3</c:v>
                </c:pt>
                <c:pt idx="1">
                  <c:v>6.7000000000000002E-3</c:v>
                </c:pt>
                <c:pt idx="2">
                  <c:v>7.0000000000000001E-3</c:v>
                </c:pt>
                <c:pt idx="3">
                  <c:v>6.3E-3</c:v>
                </c:pt>
                <c:pt idx="4">
                  <c:v>5.7000000000000002E-3</c:v>
                </c:pt>
                <c:pt idx="5">
                  <c:v>5.8999999999999999E-3</c:v>
                </c:pt>
                <c:pt idx="6">
                  <c:v>6.1000000000000004E-3</c:v>
                </c:pt>
                <c:pt idx="7">
                  <c:v>6.1000000000000004E-3</c:v>
                </c:pt>
                <c:pt idx="8">
                  <c:v>5.3E-3</c:v>
                </c:pt>
                <c:pt idx="9">
                  <c:v>7.4999999999999997E-3</c:v>
                </c:pt>
                <c:pt idx="10">
                  <c:v>7.6E-3</c:v>
                </c:pt>
                <c:pt idx="11">
                  <c:v>7.7999999999999996E-3</c:v>
                </c:pt>
                <c:pt idx="12">
                  <c:v>1.01E-2</c:v>
                </c:pt>
                <c:pt idx="13">
                  <c:v>1.12E-2</c:v>
                </c:pt>
                <c:pt idx="14">
                  <c:v>7.3000000000000001E-3</c:v>
                </c:pt>
                <c:pt idx="15">
                  <c:v>8.5000000000000006E-3</c:v>
                </c:pt>
                <c:pt idx="16">
                  <c:v>1.0800000000000001E-2</c:v>
                </c:pt>
              </c:numCache>
            </c:numRef>
          </c:val>
          <c:smooth val="0"/>
        </c:ser>
        <c:ser>
          <c:idx val="8"/>
          <c:order val="8"/>
          <c:tx>
            <c:strRef>
              <c:f>'[Microsoft Word uygulamasında grafik]Sayfa2'!$B$31</c:f>
              <c:strCache>
                <c:ptCount val="1"/>
                <c:pt idx="0">
                  <c:v>Trade</c:v>
                </c:pt>
              </c:strCache>
            </c:strRef>
          </c:tx>
          <c:spPr>
            <a:ln w="28575" cap="rnd">
              <a:solidFill>
                <a:schemeClr val="accent3">
                  <a:lumMod val="60000"/>
                </a:schemeClr>
              </a:solidFill>
              <a:round/>
            </a:ln>
            <a:effectLst/>
          </c:spPr>
          <c:marker>
            <c:symbol val="none"/>
          </c:marker>
          <c:cat>
            <c:numRef>
              <c:f>'[Microsoft Word uygulamasında grafik]Sayfa2'!$C$22:$S$22</c:f>
              <c:numCache>
                <c:formatCode>General</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'[Microsoft Word uygulamasında grafik]Sayfa2'!$C$31:$S$31</c:f>
              <c:numCache>
                <c:formatCode>0.0000</c:formatCode>
                <c:ptCount val="17"/>
                <c:pt idx="0">
                  <c:v>2.7000000000000001E-3</c:v>
                </c:pt>
                <c:pt idx="1">
                  <c:v>2.5000000000000001E-3</c:v>
                </c:pt>
                <c:pt idx="2">
                  <c:v>1.8E-3</c:v>
                </c:pt>
                <c:pt idx="3">
                  <c:v>8.9999999999999998E-4</c:v>
                </c:pt>
                <c:pt idx="4">
                  <c:v>1.6999999999999999E-3</c:v>
                </c:pt>
                <c:pt idx="5">
                  <c:v>3.0000000000000001E-3</c:v>
                </c:pt>
                <c:pt idx="6">
                  <c:v>3.0000000000000001E-3</c:v>
                </c:pt>
                <c:pt idx="7">
                  <c:v>4.0000000000000001E-3</c:v>
                </c:pt>
                <c:pt idx="8">
                  <c:v>4.0000000000000001E-3</c:v>
                </c:pt>
                <c:pt idx="9">
                  <c:v>5.7000000000000002E-3</c:v>
                </c:pt>
                <c:pt idx="10">
                  <c:v>5.0000000000000001E-3</c:v>
                </c:pt>
                <c:pt idx="11">
                  <c:v>4.8999999999999998E-3</c:v>
                </c:pt>
                <c:pt idx="12">
                  <c:v>5.7000000000000002E-3</c:v>
                </c:pt>
                <c:pt idx="13">
                  <c:v>7.7000000000000002E-3</c:v>
                </c:pt>
                <c:pt idx="14">
                  <c:v>5.0000000000000001E-3</c:v>
                </c:pt>
                <c:pt idx="15">
                  <c:v>5.5999999999999999E-3</c:v>
                </c:pt>
                <c:pt idx="16">
                  <c:v>7.7000000000000002E-3</c:v>
                </c:pt>
              </c:numCache>
            </c:numRef>
          </c:val>
          <c:smooth val="0"/>
        </c:ser>
        <c:ser>
          <c:idx val="9"/>
          <c:order val="9"/>
          <c:tx>
            <c:strRef>
              <c:f>'[Microsoft Word uygulamasında grafik]Sayfa2'!$B$32</c:f>
              <c:strCache>
                <c:ptCount val="1"/>
                <c:pt idx="0">
                  <c:v>Transport</c:v>
                </c:pt>
              </c:strCache>
            </c:strRef>
          </c:tx>
          <c:spPr>
            <a:ln w="28575" cap="rnd">
              <a:solidFill>
                <a:srgbClr val="FF0000"/>
              </a:solidFill>
              <a:round/>
            </a:ln>
            <a:effectLst/>
          </c:spPr>
          <c:marker>
            <c:symbol val="none"/>
          </c:marker>
          <c:cat>
            <c:numRef>
              <c:f>'[Microsoft Word uygulamasında grafik]Sayfa2'!$C$22:$S$22</c:f>
              <c:numCache>
                <c:formatCode>General</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'[Microsoft Word uygulamasında grafik]Sayfa2'!$C$32:$S$32</c:f>
              <c:numCache>
                <c:formatCode>0.0000</c:formatCode>
                <c:ptCount val="17"/>
                <c:pt idx="0">
                  <c:v>3.7000000000000002E-3</c:v>
                </c:pt>
                <c:pt idx="1">
                  <c:v>4.1000000000000003E-3</c:v>
                </c:pt>
                <c:pt idx="2">
                  <c:v>4.7000000000000002E-3</c:v>
                </c:pt>
                <c:pt idx="3">
                  <c:v>4.1000000000000003E-3</c:v>
                </c:pt>
                <c:pt idx="4">
                  <c:v>4.7999999999999996E-3</c:v>
                </c:pt>
                <c:pt idx="5">
                  <c:v>6.7000000000000002E-3</c:v>
                </c:pt>
                <c:pt idx="6">
                  <c:v>7.4000000000000003E-3</c:v>
                </c:pt>
                <c:pt idx="7">
                  <c:v>7.7000000000000002E-3</c:v>
                </c:pt>
                <c:pt idx="8">
                  <c:v>7.4000000000000003E-3</c:v>
                </c:pt>
                <c:pt idx="9">
                  <c:v>9.7999999999999997E-3</c:v>
                </c:pt>
                <c:pt idx="10">
                  <c:v>8.9999999999999993E-3</c:v>
                </c:pt>
                <c:pt idx="11">
                  <c:v>8.6E-3</c:v>
                </c:pt>
                <c:pt idx="12">
                  <c:v>1.12E-2</c:v>
                </c:pt>
                <c:pt idx="13">
                  <c:v>2.3099999999999999E-2</c:v>
                </c:pt>
                <c:pt idx="14">
                  <c:v>1.72E-2</c:v>
                </c:pt>
                <c:pt idx="15">
                  <c:v>1.7899999999999999E-2</c:v>
                </c:pt>
                <c:pt idx="16">
                  <c:v>2.2200000000000001E-2</c:v>
                </c:pt>
              </c:numCache>
            </c:numRef>
          </c:val>
          <c:smooth val="0"/>
        </c:ser>
        <c:dLbls>
          <c:showLegendKey val="0"/>
          <c:showVal val="0"/>
          <c:showCatName val="0"/>
          <c:showSerName val="0"/>
          <c:showPercent val="0"/>
          <c:showBubbleSize val="0"/>
        </c:dLbls>
        <c:smooth val="0"/>
        <c:axId val="239248336"/>
        <c:axId val="239250512"/>
      </c:lineChart>
      <c:catAx>
        <c:axId val="23924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tr-TR"/>
          </a:p>
        </c:txPr>
        <c:crossAx val="239250512"/>
        <c:crosses val="autoZero"/>
        <c:auto val="1"/>
        <c:lblAlgn val="ctr"/>
        <c:lblOffset val="100"/>
        <c:noMultiLvlLbl val="0"/>
      </c:catAx>
      <c:valAx>
        <c:axId val="239250512"/>
        <c:scaling>
          <c:orientation val="minMax"/>
          <c:max val="3.1000000000000007E-2"/>
        </c:scaling>
        <c:delete val="0"/>
        <c:axPos val="l"/>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noFill/>
          <a:ln>
            <a:noFill/>
          </a:ln>
          <a:effectLst/>
        </c:spPr>
        <c:txPr>
          <a:bodyPr rot="-60000000" vert="horz"/>
          <a:lstStyle/>
          <a:p>
            <a:pPr>
              <a:defRPr/>
            </a:pPr>
            <a:endParaRPr lang="tr-TR"/>
          </a:p>
        </c:txPr>
        <c:crossAx val="239248336"/>
        <c:crosses val="autoZero"/>
        <c:crossBetween val="between"/>
      </c:valAx>
      <c:spPr>
        <a:noFill/>
        <a:ln>
          <a:noFill/>
        </a:ln>
        <a:effectLst/>
      </c:spPr>
    </c:plotArea>
    <c:legend>
      <c:legendPos val="t"/>
      <c:layout>
        <c:manualLayout>
          <c:xMode val="edge"/>
          <c:yMode val="edge"/>
          <c:x val="2.4025266072510171E-2"/>
          <c:y val="4.9400291282904865E-2"/>
          <c:w val="0.95794852566506106"/>
          <c:h val="0.16561396516912871"/>
        </c:manualLayout>
      </c:layout>
      <c:overlay val="0"/>
      <c:spPr>
        <a:noFill/>
        <a:ln>
          <a:noFill/>
        </a:ln>
        <a:effectLst/>
      </c:spPr>
      <c:txPr>
        <a:bodyPr rot="0" vert="horz"/>
        <a:lstStyle/>
        <a:p>
          <a:pPr>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latin typeface="Calibri" panose="020F0502020204030204" pitchFamily="34" charset="0"/>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62554680664917E-2"/>
          <c:y val="2.7777777777777776E-2"/>
          <c:w val="0.89537445319335085"/>
          <c:h val="0.56588899028724382"/>
        </c:manualLayout>
      </c:layout>
      <c:barChart>
        <c:barDir val="col"/>
        <c:grouping val="clustered"/>
        <c:varyColors val="0"/>
        <c:ser>
          <c:idx val="0"/>
          <c:order val="0"/>
          <c:tx>
            <c:strRef>
              <c:f>'[Microsoft Word uygulamasında grafik]Sayfa4'!$C$2</c:f>
              <c:strCache>
                <c:ptCount val="1"/>
                <c:pt idx="0">
                  <c:v>1995</c:v>
                </c:pt>
              </c:strCache>
            </c:strRef>
          </c:tx>
          <c:spPr>
            <a:solidFill>
              <a:srgbClr val="5B9BD5">
                <a:lumMod val="75000"/>
              </a:srgbClr>
            </a:solidFill>
            <a:ln>
              <a:noFill/>
            </a:ln>
            <a:effectLst/>
            <a:scene3d>
              <a:camera prst="orthographicFront"/>
              <a:lightRig rig="threePt" dir="t"/>
            </a:scene3d>
            <a:sp3d>
              <a:bevelT/>
            </a:sp3d>
          </c:spPr>
          <c:invertIfNegative val="0"/>
          <c:cat>
            <c:strRef>
              <c:f>'[Microsoft Word uygulamasında grafik]Sayfa4'!$B$3:$B$23</c:f>
              <c:strCache>
                <c:ptCount val="21"/>
                <c:pt idx="0">
                  <c:v>Agriculture </c:v>
                </c:pt>
                <c:pt idx="1">
                  <c:v>Mining</c:v>
                </c:pt>
                <c:pt idx="2">
                  <c:v>Food</c:v>
                </c:pt>
                <c:pt idx="3">
                  <c:v>Textile</c:v>
                </c:pt>
                <c:pt idx="4">
                  <c:v>Cork</c:v>
                </c:pt>
                <c:pt idx="5">
                  <c:v>Paper</c:v>
                </c:pt>
                <c:pt idx="6">
                  <c:v>Petrol</c:v>
                </c:pt>
                <c:pt idx="7">
                  <c:v>Chemistry</c:v>
                </c:pt>
                <c:pt idx="8">
                  <c:v>Plastic</c:v>
                </c:pt>
                <c:pt idx="9">
                  <c:v>Mineral</c:v>
                </c:pt>
                <c:pt idx="10">
                  <c:v>Metal</c:v>
                </c:pt>
                <c:pt idx="11">
                  <c:v>Machinery</c:v>
                </c:pt>
                <c:pt idx="12">
                  <c:v>Energy</c:v>
                </c:pt>
                <c:pt idx="13">
                  <c:v>Construction</c:v>
                </c:pt>
                <c:pt idx="14">
                  <c:v>Trade</c:v>
                </c:pt>
                <c:pt idx="15">
                  <c:v>Tourism</c:v>
                </c:pt>
                <c:pt idx="16">
                  <c:v>Transport</c:v>
                </c:pt>
                <c:pt idx="17">
                  <c:v>Comunication</c:v>
                </c:pt>
                <c:pt idx="18">
                  <c:v>Finans</c:v>
                </c:pt>
                <c:pt idx="19">
                  <c:v>Real Estate</c:v>
                </c:pt>
                <c:pt idx="20">
                  <c:v>Other Service</c:v>
                </c:pt>
              </c:strCache>
            </c:strRef>
          </c:cat>
          <c:val>
            <c:numRef>
              <c:f>'[Microsoft Word uygulamasında grafik]Sayfa4'!$C$3:$C$23</c:f>
              <c:numCache>
                <c:formatCode>#,##0.000</c:formatCode>
                <c:ptCount val="21"/>
                <c:pt idx="0">
                  <c:v>4.5999999999999999E-3</c:v>
                </c:pt>
                <c:pt idx="1">
                  <c:v>1E-4</c:v>
                </c:pt>
                <c:pt idx="2">
                  <c:v>5.7000000000000002E-3</c:v>
                </c:pt>
                <c:pt idx="3">
                  <c:v>7.9000000000000008E-3</c:v>
                </c:pt>
                <c:pt idx="4">
                  <c:v>2.0000000000000001E-4</c:v>
                </c:pt>
                <c:pt idx="5">
                  <c:v>1.1000000000000001E-3</c:v>
                </c:pt>
                <c:pt idx="6">
                  <c:v>8.8000000000000005E-3</c:v>
                </c:pt>
                <c:pt idx="7">
                  <c:v>2.3E-3</c:v>
                </c:pt>
                <c:pt idx="8">
                  <c:v>5.9999999999999995E-4</c:v>
                </c:pt>
                <c:pt idx="9">
                  <c:v>8.9999999999999998E-4</c:v>
                </c:pt>
                <c:pt idx="10">
                  <c:v>6.7999999999999996E-3</c:v>
                </c:pt>
                <c:pt idx="11">
                  <c:v>5.7000000000000002E-3</c:v>
                </c:pt>
                <c:pt idx="12">
                  <c:v>1.1999999999999999E-3</c:v>
                </c:pt>
                <c:pt idx="13">
                  <c:v>5.4999999999999997E-3</c:v>
                </c:pt>
                <c:pt idx="14">
                  <c:v>2.7000000000000001E-3</c:v>
                </c:pt>
                <c:pt idx="15">
                  <c:v>1.8E-3</c:v>
                </c:pt>
                <c:pt idx="16">
                  <c:v>3.7000000000000002E-3</c:v>
                </c:pt>
                <c:pt idx="17">
                  <c:v>2.0000000000000001E-4</c:v>
                </c:pt>
                <c:pt idx="18">
                  <c:v>5.0000000000000001E-4</c:v>
                </c:pt>
                <c:pt idx="19">
                  <c:v>2.0999999999999999E-3</c:v>
                </c:pt>
                <c:pt idx="20">
                  <c:v>2E-3</c:v>
                </c:pt>
              </c:numCache>
            </c:numRef>
          </c:val>
        </c:ser>
        <c:ser>
          <c:idx val="1"/>
          <c:order val="1"/>
          <c:tx>
            <c:strRef>
              <c:f>'[Microsoft Word uygulamasında grafik]Sayfa4'!$D$2</c:f>
              <c:strCache>
                <c:ptCount val="1"/>
                <c:pt idx="0">
                  <c:v>2011</c:v>
                </c:pt>
              </c:strCache>
            </c:strRef>
          </c:tx>
          <c:spPr>
            <a:solidFill>
              <a:srgbClr val="FF0000"/>
            </a:solidFill>
            <a:ln>
              <a:noFill/>
            </a:ln>
            <a:effectLst/>
            <a:scene3d>
              <a:camera prst="orthographicFront"/>
              <a:lightRig rig="threePt" dir="t"/>
            </a:scene3d>
            <a:sp3d>
              <a:bevelT/>
            </a:sp3d>
          </c:spPr>
          <c:invertIfNegative val="0"/>
          <c:cat>
            <c:strRef>
              <c:f>'[Microsoft Word uygulamasında grafik]Sayfa4'!$B$3:$B$23</c:f>
              <c:strCache>
                <c:ptCount val="21"/>
                <c:pt idx="0">
                  <c:v>Agriculture </c:v>
                </c:pt>
                <c:pt idx="1">
                  <c:v>Mining</c:v>
                </c:pt>
                <c:pt idx="2">
                  <c:v>Food</c:v>
                </c:pt>
                <c:pt idx="3">
                  <c:v>Textile</c:v>
                </c:pt>
                <c:pt idx="4">
                  <c:v>Cork</c:v>
                </c:pt>
                <c:pt idx="5">
                  <c:v>Paper</c:v>
                </c:pt>
                <c:pt idx="6">
                  <c:v>Petrol</c:v>
                </c:pt>
                <c:pt idx="7">
                  <c:v>Chemistry</c:v>
                </c:pt>
                <c:pt idx="8">
                  <c:v>Plastic</c:v>
                </c:pt>
                <c:pt idx="9">
                  <c:v>Mineral</c:v>
                </c:pt>
                <c:pt idx="10">
                  <c:v>Metal</c:v>
                </c:pt>
                <c:pt idx="11">
                  <c:v>Machinery</c:v>
                </c:pt>
                <c:pt idx="12">
                  <c:v>Energy</c:v>
                </c:pt>
                <c:pt idx="13">
                  <c:v>Construction</c:v>
                </c:pt>
                <c:pt idx="14">
                  <c:v>Trade</c:v>
                </c:pt>
                <c:pt idx="15">
                  <c:v>Tourism</c:v>
                </c:pt>
                <c:pt idx="16">
                  <c:v>Transport</c:v>
                </c:pt>
                <c:pt idx="17">
                  <c:v>Comunication</c:v>
                </c:pt>
                <c:pt idx="18">
                  <c:v>Finans</c:v>
                </c:pt>
                <c:pt idx="19">
                  <c:v>Real Estate</c:v>
                </c:pt>
                <c:pt idx="20">
                  <c:v>Other Service</c:v>
                </c:pt>
              </c:strCache>
            </c:strRef>
          </c:cat>
          <c:val>
            <c:numRef>
              <c:f>'[Microsoft Word uygulamasında grafik]Sayfa4'!$D$3:$D$23</c:f>
              <c:numCache>
                <c:formatCode>#,##0.000</c:formatCode>
                <c:ptCount val="21"/>
                <c:pt idx="0">
                  <c:v>4.7999999999999996E-3</c:v>
                </c:pt>
                <c:pt idx="1">
                  <c:v>6.9999999999999999E-4</c:v>
                </c:pt>
                <c:pt idx="2">
                  <c:v>9.4000000000000004E-3</c:v>
                </c:pt>
                <c:pt idx="3">
                  <c:v>0.03</c:v>
                </c:pt>
                <c:pt idx="4">
                  <c:v>1E-4</c:v>
                </c:pt>
                <c:pt idx="5">
                  <c:v>1E-3</c:v>
                </c:pt>
                <c:pt idx="6">
                  <c:v>1.1999999999999999E-3</c:v>
                </c:pt>
                <c:pt idx="7">
                  <c:v>2E-3</c:v>
                </c:pt>
                <c:pt idx="8">
                  <c:v>8.9999999999999998E-4</c:v>
                </c:pt>
                <c:pt idx="9">
                  <c:v>1.9E-3</c:v>
                </c:pt>
                <c:pt idx="10">
                  <c:v>1.24E-2</c:v>
                </c:pt>
                <c:pt idx="11">
                  <c:v>8.5000000000000006E-3</c:v>
                </c:pt>
                <c:pt idx="12">
                  <c:v>8.0000000000000004E-4</c:v>
                </c:pt>
                <c:pt idx="13">
                  <c:v>1.0800000000000001E-2</c:v>
                </c:pt>
                <c:pt idx="14">
                  <c:v>7.7000000000000002E-3</c:v>
                </c:pt>
                <c:pt idx="15">
                  <c:v>4.0000000000000001E-3</c:v>
                </c:pt>
                <c:pt idx="16">
                  <c:v>2.2200000000000001E-2</c:v>
                </c:pt>
                <c:pt idx="17">
                  <c:v>8.9999999999999998E-4</c:v>
                </c:pt>
                <c:pt idx="18">
                  <c:v>1E-3</c:v>
                </c:pt>
                <c:pt idx="19">
                  <c:v>5.8999999999999999E-3</c:v>
                </c:pt>
                <c:pt idx="20">
                  <c:v>7.6E-3</c:v>
                </c:pt>
              </c:numCache>
            </c:numRef>
          </c:val>
        </c:ser>
        <c:dLbls>
          <c:showLegendKey val="0"/>
          <c:showVal val="0"/>
          <c:showCatName val="0"/>
          <c:showSerName val="0"/>
          <c:showPercent val="0"/>
          <c:showBubbleSize val="0"/>
        </c:dLbls>
        <c:gapWidth val="42"/>
        <c:overlap val="-1"/>
        <c:axId val="239245616"/>
        <c:axId val="239246704"/>
      </c:barChart>
      <c:catAx>
        <c:axId val="23924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tr-TR"/>
          </a:p>
        </c:txPr>
        <c:crossAx val="239246704"/>
        <c:crosses val="autoZero"/>
        <c:auto val="1"/>
        <c:lblAlgn val="ctr"/>
        <c:lblOffset val="100"/>
        <c:noMultiLvlLbl val="0"/>
      </c:catAx>
      <c:valAx>
        <c:axId val="239246704"/>
        <c:scaling>
          <c:orientation val="minMax"/>
          <c:max val="3.0000000000000006E-2"/>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vert="horz"/>
          <a:lstStyle/>
          <a:p>
            <a:pPr>
              <a:defRPr/>
            </a:pPr>
            <a:endParaRPr lang="tr-TR"/>
          </a:p>
        </c:txPr>
        <c:crossAx val="239245616"/>
        <c:crosses val="autoZero"/>
        <c:crossBetween val="between"/>
      </c:valAx>
      <c:spPr>
        <a:noFill/>
        <a:ln>
          <a:noFill/>
        </a:ln>
        <a:effectLst/>
        <a:scene3d>
          <a:camera prst="orthographicFront"/>
          <a:lightRig rig="threePt" dir="t"/>
        </a:scene3d>
        <a:sp3d>
          <a:bevelT/>
        </a:sp3d>
      </c:spPr>
    </c:plotArea>
    <c:legend>
      <c:legendPos val="t"/>
      <c:overlay val="0"/>
      <c:spPr>
        <a:noFill/>
        <a:ln>
          <a:noFill/>
        </a:ln>
        <a:effectLst/>
      </c:spPr>
      <c:txPr>
        <a:bodyPr rot="0" vert="horz"/>
        <a:lstStyle/>
        <a:p>
          <a:pPr>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latin typeface="Calibri" panose="020F0502020204030204" pitchFamily="34" charset="0"/>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187969654478125E-2"/>
          <c:y val="7.8232522071104746E-2"/>
          <c:w val="0.94731675584196451"/>
          <c:h val="0.77202159389167269"/>
        </c:manualLayout>
      </c:layout>
      <c:barChart>
        <c:barDir val="col"/>
        <c:grouping val="clustered"/>
        <c:varyColors val="0"/>
        <c:ser>
          <c:idx val="0"/>
          <c:order val="0"/>
          <c:tx>
            <c:strRef>
              <c:f>Sayfa7!$K$58</c:f>
              <c:strCache>
                <c:ptCount val="1"/>
                <c:pt idx="0">
                  <c:v>1995-2011</c:v>
                </c:pt>
              </c:strCache>
            </c:strRef>
          </c:tx>
          <c:spPr>
            <a:solidFill>
              <a:srgbClr val="C00000"/>
            </a:solidFill>
            <a:ln>
              <a:noFill/>
            </a:ln>
            <a:effectLst/>
            <a:scene3d>
              <a:camera prst="orthographicFront"/>
              <a:lightRig rig="threePt" dir="t"/>
            </a:scene3d>
            <a:sp3d>
              <a:bevelT/>
            </a:sp3d>
          </c:spPr>
          <c:invertIfNegative val="0"/>
          <c:dPt>
            <c:idx val="1"/>
            <c:invertIfNegative val="0"/>
            <c:bubble3D val="0"/>
          </c:dPt>
          <c:dPt>
            <c:idx val="2"/>
            <c:invertIfNegative val="0"/>
            <c:bubble3D val="0"/>
          </c:dPt>
          <c:dPt>
            <c:idx val="3"/>
            <c:invertIfNegative val="0"/>
            <c:bubble3D val="0"/>
          </c:dPt>
          <c:dPt>
            <c:idx val="4"/>
            <c:invertIfNegative val="0"/>
            <c:bubble3D val="0"/>
            <c:spPr>
              <a:solidFill>
                <a:srgbClr val="4472C4">
                  <a:lumMod val="75000"/>
                </a:srgbClr>
              </a:solidFill>
              <a:ln>
                <a:noFill/>
              </a:ln>
              <a:effectLst/>
              <a:scene3d>
                <a:camera prst="orthographicFront"/>
                <a:lightRig rig="threePt" dir="t"/>
              </a:scene3d>
              <a:sp3d>
                <a:bevelT/>
              </a:sp3d>
            </c:spPr>
          </c:dPt>
          <c:dPt>
            <c:idx val="5"/>
            <c:invertIfNegative val="0"/>
            <c:bubble3D val="0"/>
            <c:spPr>
              <a:solidFill>
                <a:srgbClr val="4472C4">
                  <a:lumMod val="75000"/>
                </a:srgbClr>
              </a:solidFill>
              <a:ln>
                <a:noFill/>
              </a:ln>
              <a:effectLst/>
              <a:scene3d>
                <a:camera prst="orthographicFront"/>
                <a:lightRig rig="threePt" dir="t"/>
              </a:scene3d>
              <a:sp3d>
                <a:bevelT/>
              </a:sp3d>
            </c:spPr>
          </c:dPt>
          <c:dPt>
            <c:idx val="6"/>
            <c:invertIfNegative val="0"/>
            <c:bubble3D val="0"/>
            <c:spPr>
              <a:solidFill>
                <a:srgbClr val="5B9BD5">
                  <a:lumMod val="75000"/>
                </a:srgbClr>
              </a:solidFill>
              <a:ln>
                <a:noFill/>
              </a:ln>
              <a:effectLst/>
              <a:scene3d>
                <a:camera prst="orthographicFront"/>
                <a:lightRig rig="threePt" dir="t"/>
              </a:scene3d>
              <a:sp3d>
                <a:bevelT/>
              </a:sp3d>
            </c:spPr>
          </c:dPt>
          <c:dPt>
            <c:idx val="7"/>
            <c:invertIfNegative val="0"/>
            <c:bubble3D val="0"/>
            <c:spPr>
              <a:solidFill>
                <a:srgbClr val="4472C4">
                  <a:lumMod val="75000"/>
                </a:srgbClr>
              </a:solidFill>
              <a:ln>
                <a:noFill/>
              </a:ln>
              <a:effectLst/>
              <a:scene3d>
                <a:camera prst="orthographicFront"/>
                <a:lightRig rig="threePt" dir="t"/>
              </a:scene3d>
              <a:sp3d>
                <a:bevelT/>
              </a:sp3d>
            </c:spPr>
          </c:dPt>
          <c:dPt>
            <c:idx val="8"/>
            <c:invertIfNegative val="0"/>
            <c:bubble3D val="0"/>
          </c:dPt>
          <c:dPt>
            <c:idx val="9"/>
            <c:invertIfNegative val="0"/>
            <c:bubble3D val="0"/>
          </c:dPt>
          <c:dPt>
            <c:idx val="10"/>
            <c:invertIfNegative val="0"/>
            <c:bubble3D val="0"/>
          </c:dPt>
          <c:dPt>
            <c:idx val="11"/>
            <c:invertIfNegative val="0"/>
            <c:bubble3D val="0"/>
          </c:dPt>
          <c:dPt>
            <c:idx val="12"/>
            <c:invertIfNegative val="0"/>
            <c:bubble3D val="0"/>
            <c:spPr>
              <a:solidFill>
                <a:srgbClr val="0070C0"/>
              </a:solidFill>
              <a:ln>
                <a:noFill/>
              </a:ln>
              <a:effectLst/>
              <a:scene3d>
                <a:camera prst="orthographicFront"/>
                <a:lightRig rig="threePt" dir="t"/>
              </a:scene3d>
              <a:sp3d>
                <a:bevelT/>
              </a:sp3d>
            </c:spPr>
          </c:dPt>
          <c:dPt>
            <c:idx val="13"/>
            <c:invertIfNegative val="0"/>
            <c:bubble3D val="0"/>
          </c:dPt>
          <c:dPt>
            <c:idx val="14"/>
            <c:invertIfNegative val="0"/>
            <c:bubble3D val="0"/>
          </c:dPt>
          <c:dPt>
            <c:idx val="15"/>
            <c:invertIfNegative val="0"/>
            <c:bubble3D val="0"/>
          </c:dPt>
          <c:dPt>
            <c:idx val="16"/>
            <c:invertIfNegative val="0"/>
            <c:bubble3D val="0"/>
          </c:dPt>
          <c:dPt>
            <c:idx val="17"/>
            <c:invertIfNegative val="0"/>
            <c:bubble3D val="0"/>
          </c:dPt>
          <c:dPt>
            <c:idx val="18"/>
            <c:invertIfNegative val="0"/>
            <c:bubble3D val="0"/>
          </c:dPt>
          <c:dPt>
            <c:idx val="19"/>
            <c:invertIfNegative val="0"/>
            <c:bubble3D val="0"/>
          </c:dPt>
          <c:dPt>
            <c:idx val="20"/>
            <c:invertIfNegative val="0"/>
            <c:bubble3D val="0"/>
          </c:dPt>
          <c:dLbls>
            <c:dLbl>
              <c:idx val="4"/>
              <c:layout>
                <c:manualLayout>
                  <c:x val="-4.0595929024687311E-17"/>
                  <c:y val="0.16441005802707939"/>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0.13539651837524178"/>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2143489813995091E-3"/>
                  <c:y val="0.2127659574468086"/>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2143489813995091E-3"/>
                  <c:y val="0.14506769825918761"/>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0.1740812379110251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Sayfa7!$J$59:$J$79</c:f>
              <c:strCache>
                <c:ptCount val="21"/>
                <c:pt idx="0">
                  <c:v>Agriculture </c:v>
                </c:pt>
                <c:pt idx="1">
                  <c:v>Mining</c:v>
                </c:pt>
                <c:pt idx="2">
                  <c:v>Food</c:v>
                </c:pt>
                <c:pt idx="3">
                  <c:v>Textile</c:v>
                </c:pt>
                <c:pt idx="4">
                  <c:v>Cork</c:v>
                </c:pt>
                <c:pt idx="5">
                  <c:v>Paper</c:v>
                </c:pt>
                <c:pt idx="6">
                  <c:v>Petrol</c:v>
                </c:pt>
                <c:pt idx="7">
                  <c:v>Chemistry</c:v>
                </c:pt>
                <c:pt idx="8">
                  <c:v>Plastic</c:v>
                </c:pt>
                <c:pt idx="9">
                  <c:v>Mineral</c:v>
                </c:pt>
                <c:pt idx="10">
                  <c:v>Metal</c:v>
                </c:pt>
                <c:pt idx="11">
                  <c:v>Machinery</c:v>
                </c:pt>
                <c:pt idx="12">
                  <c:v>Energy</c:v>
                </c:pt>
                <c:pt idx="13">
                  <c:v>Construction</c:v>
                </c:pt>
                <c:pt idx="14">
                  <c:v>Trade</c:v>
                </c:pt>
                <c:pt idx="15">
                  <c:v>Tourism</c:v>
                </c:pt>
                <c:pt idx="16">
                  <c:v>Transport</c:v>
                </c:pt>
                <c:pt idx="17">
                  <c:v>Comunication</c:v>
                </c:pt>
                <c:pt idx="18">
                  <c:v>Finans</c:v>
                </c:pt>
                <c:pt idx="19">
                  <c:v>Real Estate</c:v>
                </c:pt>
                <c:pt idx="20">
                  <c:v>Other Service</c:v>
                </c:pt>
              </c:strCache>
            </c:strRef>
          </c:cat>
          <c:val>
            <c:numRef>
              <c:f>Sayfa7!$K$59:$K$79</c:f>
              <c:numCache>
                <c:formatCode>#,##0</c:formatCode>
                <c:ptCount val="21"/>
                <c:pt idx="0">
                  <c:v>3.7244157687701542</c:v>
                </c:pt>
                <c:pt idx="1">
                  <c:v>793.70133605420256</c:v>
                </c:pt>
                <c:pt idx="2">
                  <c:v>66.945488259506732</c:v>
                </c:pt>
                <c:pt idx="3">
                  <c:v>285.05246552056838</c:v>
                </c:pt>
                <c:pt idx="4">
                  <c:v>-24.870345656750189</c:v>
                </c:pt>
                <c:pt idx="5">
                  <c:v>-12.647759039803431</c:v>
                </c:pt>
                <c:pt idx="6">
                  <c:v>-85.867069403727953</c:v>
                </c:pt>
                <c:pt idx="7">
                  <c:v>-15.138752548800646</c:v>
                </c:pt>
                <c:pt idx="8">
                  <c:v>41.324225680964972</c:v>
                </c:pt>
                <c:pt idx="9">
                  <c:v>114.34777750529162</c:v>
                </c:pt>
                <c:pt idx="10">
                  <c:v>84.089403882578765</c:v>
                </c:pt>
                <c:pt idx="11">
                  <c:v>48.748250219443904</c:v>
                </c:pt>
                <c:pt idx="12">
                  <c:v>-37.356409915568896</c:v>
                </c:pt>
                <c:pt idx="13">
                  <c:v>97.493553946883083</c:v>
                </c:pt>
                <c:pt idx="14">
                  <c:v>189.24008941084841</c:v>
                </c:pt>
                <c:pt idx="15">
                  <c:v>116.04606412664056</c:v>
                </c:pt>
                <c:pt idx="16">
                  <c:v>508.17284524005623</c:v>
                </c:pt>
                <c:pt idx="17">
                  <c:v>385.08425998135067</c:v>
                </c:pt>
                <c:pt idx="18">
                  <c:v>109.73057474763689</c:v>
                </c:pt>
                <c:pt idx="19">
                  <c:v>186.93106426457388</c:v>
                </c:pt>
                <c:pt idx="20">
                  <c:v>286.94505828143781</c:v>
                </c:pt>
              </c:numCache>
            </c:numRef>
          </c:val>
        </c:ser>
        <c:dLbls>
          <c:showLegendKey val="0"/>
          <c:showVal val="0"/>
          <c:showCatName val="0"/>
          <c:showSerName val="0"/>
          <c:showPercent val="0"/>
          <c:showBubbleSize val="0"/>
        </c:dLbls>
        <c:gapWidth val="27"/>
        <c:overlap val="-27"/>
        <c:axId val="557352128"/>
        <c:axId val="557353216"/>
      </c:barChart>
      <c:catAx>
        <c:axId val="557352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tr-TR"/>
          </a:p>
        </c:txPr>
        <c:crossAx val="557353216"/>
        <c:crosses val="autoZero"/>
        <c:auto val="0"/>
        <c:lblAlgn val="ctr"/>
        <c:lblOffset val="100"/>
        <c:noMultiLvlLbl val="0"/>
      </c:catAx>
      <c:valAx>
        <c:axId val="557353216"/>
        <c:scaling>
          <c:orientation val="minMax"/>
          <c:max val="850"/>
        </c:scaling>
        <c:delete val="0"/>
        <c:axPos val="l"/>
        <c:majorGridlines>
          <c:spPr>
            <a:ln w="1270" cap="flat" cmpd="sng" algn="ctr">
              <a:solidFill>
                <a:sysClr val="windowText" lastClr="000000">
                  <a:lumMod val="15000"/>
                  <a:lumOff val="85000"/>
                </a:sys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tr-TR"/>
          </a:p>
        </c:txPr>
        <c:crossAx val="557352128"/>
        <c:crosses val="autoZero"/>
        <c:crossBetween val="between"/>
      </c:valAx>
      <c:spPr>
        <a:noFill/>
        <a:ln>
          <a:noFill/>
        </a:ln>
        <a:effectLst/>
        <a:scene3d>
          <a:camera prst="orthographicFront"/>
          <a:lightRig rig="threePt" dir="t"/>
        </a:scene3d>
        <a:sp3d>
          <a:bevelT/>
        </a:sp3d>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latin typeface="Calibri" panose="020F0502020204030204" pitchFamily="34" charset="0"/>
        </a:defRPr>
      </a:pPr>
      <a:endParaRPr lang="tr-T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08328129394971E-2"/>
          <c:y val="4.6652281445588535E-2"/>
          <c:w val="0.91537812435319321"/>
          <c:h val="0.73907606501110434"/>
        </c:manualLayout>
      </c:layout>
      <c:barChart>
        <c:barDir val="col"/>
        <c:grouping val="clustered"/>
        <c:varyColors val="0"/>
        <c:ser>
          <c:idx val="0"/>
          <c:order val="0"/>
          <c:tx>
            <c:strRef>
              <c:f>'Beş sektör'!$D$28</c:f>
              <c:strCache>
                <c:ptCount val="1"/>
                <c:pt idx="0">
                  <c:v>2011</c:v>
                </c:pt>
              </c:strCache>
            </c:strRef>
          </c:tx>
          <c:spPr>
            <a:solidFill>
              <a:srgbClr val="C00000"/>
            </a:solidFill>
            <a:ln>
              <a:noFill/>
            </a:ln>
            <a:effectLst/>
            <a:scene3d>
              <a:camera prst="orthographicFront"/>
              <a:lightRig rig="threePt" dir="t"/>
            </a:scene3d>
            <a:sp3d>
              <a:bevelT/>
            </a:sp3d>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Lst>
            </c:dLbl>
            <c:dLbl>
              <c:idx val="1"/>
              <c:dLblPos val="outEnd"/>
              <c:showLegendKey val="0"/>
              <c:showVal val="1"/>
              <c:showCatName val="0"/>
              <c:showSerName val="0"/>
              <c:showPercent val="0"/>
              <c:showBubbleSize val="0"/>
              <c:extLst>
                <c:ext xmlns:c15="http://schemas.microsoft.com/office/drawing/2012/chart" uri="{CE6537A1-D6FC-4f65-9D91-7224C49458BB}"/>
              </c:extLst>
            </c:dLbl>
            <c:dLbl>
              <c:idx val="2"/>
              <c:dLblPos val="outEnd"/>
              <c:showLegendKey val="0"/>
              <c:showVal val="1"/>
              <c:showCatName val="0"/>
              <c:showSerName val="0"/>
              <c:showPercent val="0"/>
              <c:showBubbleSize val="0"/>
              <c:extLst>
                <c:ext xmlns:c15="http://schemas.microsoft.com/office/drawing/2012/chart" uri="{CE6537A1-D6FC-4f65-9D91-7224C49458BB}"/>
              </c:extLst>
            </c:dLbl>
            <c:dLbl>
              <c:idx val="10"/>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'Beş sektör'!$C$29:$C$49</c:f>
              <c:strCache>
                <c:ptCount val="21"/>
                <c:pt idx="0">
                  <c:v>Textile</c:v>
                </c:pt>
                <c:pt idx="1">
                  <c:v>Transport</c:v>
                </c:pt>
                <c:pt idx="2">
                  <c:v>Metal</c:v>
                </c:pt>
                <c:pt idx="3">
                  <c:v>Construction</c:v>
                </c:pt>
                <c:pt idx="4">
                  <c:v>Food</c:v>
                </c:pt>
                <c:pt idx="5">
                  <c:v>Machinery</c:v>
                </c:pt>
                <c:pt idx="6">
                  <c:v>Trade</c:v>
                </c:pt>
                <c:pt idx="7">
                  <c:v>Other Service</c:v>
                </c:pt>
                <c:pt idx="8">
                  <c:v>Real Estate</c:v>
                </c:pt>
                <c:pt idx="9">
                  <c:v>Agriculture </c:v>
                </c:pt>
                <c:pt idx="10">
                  <c:v>Tourism</c:v>
                </c:pt>
                <c:pt idx="11">
                  <c:v>Chemistry</c:v>
                </c:pt>
                <c:pt idx="12">
                  <c:v>Mineral</c:v>
                </c:pt>
                <c:pt idx="13">
                  <c:v>Petrol</c:v>
                </c:pt>
                <c:pt idx="14">
                  <c:v>Finans</c:v>
                </c:pt>
                <c:pt idx="15">
                  <c:v>Paper</c:v>
                </c:pt>
                <c:pt idx="16">
                  <c:v>Comunication</c:v>
                </c:pt>
                <c:pt idx="17">
                  <c:v>Plastic</c:v>
                </c:pt>
                <c:pt idx="18">
                  <c:v>Energy</c:v>
                </c:pt>
                <c:pt idx="19">
                  <c:v>Mining</c:v>
                </c:pt>
                <c:pt idx="20">
                  <c:v>Cork</c:v>
                </c:pt>
              </c:strCache>
            </c:strRef>
          </c:cat>
          <c:val>
            <c:numRef>
              <c:f>'Beş sektör'!$D$29:$D$49</c:f>
              <c:numCache>
                <c:formatCode>#,##0.000</c:formatCode>
                <c:ptCount val="21"/>
                <c:pt idx="0">
                  <c:v>3.052686978419912E-2</c:v>
                </c:pt>
                <c:pt idx="1">
                  <c:v>2.2227652328140616E-2</c:v>
                </c:pt>
                <c:pt idx="2">
                  <c:v>1.244754959372585E-2</c:v>
                </c:pt>
                <c:pt idx="3">
                  <c:v>1.0823872225460291E-2</c:v>
                </c:pt>
                <c:pt idx="4">
                  <c:v>9.4428567451434377E-3</c:v>
                </c:pt>
                <c:pt idx="5">
                  <c:v>8.5340347579149593E-3</c:v>
                </c:pt>
                <c:pt idx="6">
                  <c:v>7.7147537883961864E-3</c:v>
                </c:pt>
                <c:pt idx="7">
                  <c:v>7.6294292162769695E-3</c:v>
                </c:pt>
                <c:pt idx="8">
                  <c:v>5.8851017150362683E-3</c:v>
                </c:pt>
                <c:pt idx="9">
                  <c:v>4.8121307484091961E-3</c:v>
                </c:pt>
                <c:pt idx="10">
                  <c:v>3.9706618703896834E-3</c:v>
                </c:pt>
                <c:pt idx="11">
                  <c:v>1.970583284096758E-3</c:v>
                </c:pt>
                <c:pt idx="12">
                  <c:v>1.9176463701288823E-3</c:v>
                </c:pt>
                <c:pt idx="13">
                  <c:v>1.2496109091218583E-3</c:v>
                </c:pt>
                <c:pt idx="14">
                  <c:v>1.0090321756330773E-3</c:v>
                </c:pt>
                <c:pt idx="15">
                  <c:v>9.5270941235808002E-4</c:v>
                </c:pt>
                <c:pt idx="16">
                  <c:v>9.080007652103538E-4</c:v>
                </c:pt>
                <c:pt idx="17">
                  <c:v>9.0476927412476806E-4</c:v>
                </c:pt>
                <c:pt idx="18">
                  <c:v>7.6955003014498441E-4</c:v>
                </c:pt>
                <c:pt idx="19">
                  <c:v>7.1944088862558805E-4</c:v>
                </c:pt>
                <c:pt idx="20">
                  <c:v>1.2485708162218774E-4</c:v>
                </c:pt>
              </c:numCache>
            </c:numRef>
          </c:val>
        </c:ser>
        <c:dLbls>
          <c:showLegendKey val="0"/>
          <c:showVal val="0"/>
          <c:showCatName val="0"/>
          <c:showSerName val="0"/>
          <c:showPercent val="0"/>
          <c:showBubbleSize val="0"/>
        </c:dLbls>
        <c:gapWidth val="24"/>
        <c:axId val="557352672"/>
        <c:axId val="557354848"/>
      </c:barChart>
      <c:catAx>
        <c:axId val="55735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tr-TR"/>
          </a:p>
        </c:txPr>
        <c:crossAx val="557354848"/>
        <c:crosses val="autoZero"/>
        <c:auto val="1"/>
        <c:lblAlgn val="ctr"/>
        <c:lblOffset val="100"/>
        <c:noMultiLvlLbl val="0"/>
      </c:catAx>
      <c:valAx>
        <c:axId val="557354848"/>
        <c:scaling>
          <c:orientation val="minMax"/>
        </c:scaling>
        <c:delete val="0"/>
        <c:axPos val="l"/>
        <c:majorGridlines>
          <c:spPr>
            <a:ln w="1270"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vert="horz"/>
          <a:lstStyle/>
          <a:p>
            <a:pPr>
              <a:defRPr/>
            </a:pPr>
            <a:endParaRPr lang="tr-TR"/>
          </a:p>
        </c:txPr>
        <c:crossAx val="557352672"/>
        <c:crosses val="autoZero"/>
        <c:crossBetween val="between"/>
      </c:valAx>
      <c:spPr>
        <a:noFill/>
        <a:ln>
          <a:noFill/>
        </a:ln>
        <a:effectLst/>
        <a:scene3d>
          <a:camera prst="orthographicFront"/>
          <a:lightRig rig="threePt" dir="t"/>
        </a:scene3d>
        <a:sp3d>
          <a:bevelT/>
        </a:sp3d>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latin typeface="+mn-lt"/>
          <a:cs typeface="Times New Roman" panose="02020603050405020304" pitchFamily="18" charset="0"/>
        </a:defRPr>
      </a:pPr>
      <a:endParaRPr lang="tr-TR"/>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9491212304444122E-2"/>
          <c:y val="0.22113336869160785"/>
          <c:w val="0.92717404013509763"/>
          <c:h val="0.65491684005820516"/>
        </c:manualLayout>
      </c:layout>
      <c:lineChart>
        <c:grouping val="standard"/>
        <c:varyColors val="0"/>
        <c:ser>
          <c:idx val="0"/>
          <c:order val="0"/>
          <c:tx>
            <c:strRef>
              <c:f>'[Microsoft Word uygulamasında grafik]Sayfa6'!$B$1</c:f>
              <c:strCache>
                <c:ptCount val="1"/>
                <c:pt idx="0">
                  <c:v>Agriculture</c:v>
                </c:pt>
              </c:strCache>
            </c:strRef>
          </c:tx>
          <c:spPr>
            <a:ln w="28575" cap="rnd">
              <a:solidFill>
                <a:srgbClr val="C00000"/>
              </a:solidFill>
              <a:round/>
            </a:ln>
            <a:effectLst/>
          </c:spPr>
          <c:marker>
            <c:symbol val="circle"/>
            <c:size val="5"/>
            <c:spPr>
              <a:solidFill>
                <a:schemeClr val="accent1"/>
              </a:solidFill>
              <a:ln w="9525">
                <a:solidFill>
                  <a:schemeClr val="accent1"/>
                </a:solidFill>
              </a:ln>
              <a:effectLst/>
            </c:spPr>
          </c:marker>
          <c:cat>
            <c:numRef>
              <c:f>'[Microsoft Word uygulamasında grafik]Sayfa6'!$A$2:$A$18</c:f>
              <c:numCache>
                <c:formatCode>General</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'[Microsoft Word uygulamasında grafik]Sayfa6'!$B$2:$B$18</c:f>
              <c:numCache>
                <c:formatCode>#,##0.00</c:formatCode>
                <c:ptCount val="17"/>
                <c:pt idx="0">
                  <c:v>0.03</c:v>
                </c:pt>
                <c:pt idx="1">
                  <c:v>0.04</c:v>
                </c:pt>
                <c:pt idx="2">
                  <c:v>0.05</c:v>
                </c:pt>
                <c:pt idx="3">
                  <c:v>0.05</c:v>
                </c:pt>
                <c:pt idx="4">
                  <c:v>0.04</c:v>
                </c:pt>
                <c:pt idx="5">
                  <c:v>0.05</c:v>
                </c:pt>
                <c:pt idx="6">
                  <c:v>0.05</c:v>
                </c:pt>
                <c:pt idx="7">
                  <c:v>0.05</c:v>
                </c:pt>
                <c:pt idx="8">
                  <c:v>0.05</c:v>
                </c:pt>
                <c:pt idx="9">
                  <c:v>0.05</c:v>
                </c:pt>
                <c:pt idx="10">
                  <c:v>0.05</c:v>
                </c:pt>
                <c:pt idx="11">
                  <c:v>0.05</c:v>
                </c:pt>
                <c:pt idx="12">
                  <c:v>0.05</c:v>
                </c:pt>
                <c:pt idx="13">
                  <c:v>0.05</c:v>
                </c:pt>
                <c:pt idx="14">
                  <c:v>0.04</c:v>
                </c:pt>
                <c:pt idx="15">
                  <c:v>0.03</c:v>
                </c:pt>
                <c:pt idx="16">
                  <c:v>0.04</c:v>
                </c:pt>
              </c:numCache>
            </c:numRef>
          </c:val>
          <c:smooth val="0"/>
        </c:ser>
        <c:ser>
          <c:idx val="1"/>
          <c:order val="1"/>
          <c:tx>
            <c:strRef>
              <c:f>'[Microsoft Word uygulamasında grafik]Sayfa6'!$C$1</c:f>
              <c:strCache>
                <c:ptCount val="1"/>
                <c:pt idx="0">
                  <c:v>Food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'[Microsoft Word uygulamasında grafik]Sayfa6'!$A$2:$A$18</c:f>
              <c:numCache>
                <c:formatCode>General</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'[Microsoft Word uygulamasında grafik]Sayfa6'!$C$2:$C$18</c:f>
              <c:numCache>
                <c:formatCode>#,##0.00</c:formatCode>
                <c:ptCount val="17"/>
                <c:pt idx="0">
                  <c:v>0.05</c:v>
                </c:pt>
                <c:pt idx="1">
                  <c:v>0.05</c:v>
                </c:pt>
                <c:pt idx="2">
                  <c:v>0.08</c:v>
                </c:pt>
                <c:pt idx="3">
                  <c:v>0.06</c:v>
                </c:pt>
                <c:pt idx="4">
                  <c:v>0.06</c:v>
                </c:pt>
                <c:pt idx="5">
                  <c:v>7.0000000000000007E-2</c:v>
                </c:pt>
                <c:pt idx="6">
                  <c:v>0.08</c:v>
                </c:pt>
                <c:pt idx="7">
                  <c:v>0.06</c:v>
                </c:pt>
                <c:pt idx="8">
                  <c:v>7.0000000000000007E-2</c:v>
                </c:pt>
                <c:pt idx="9">
                  <c:v>0.06</c:v>
                </c:pt>
                <c:pt idx="10">
                  <c:v>0.06</c:v>
                </c:pt>
                <c:pt idx="11">
                  <c:v>7.0000000000000007E-2</c:v>
                </c:pt>
                <c:pt idx="12">
                  <c:v>0.08</c:v>
                </c:pt>
                <c:pt idx="13">
                  <c:v>0.1</c:v>
                </c:pt>
                <c:pt idx="14">
                  <c:v>0.08</c:v>
                </c:pt>
                <c:pt idx="15">
                  <c:v>0.06</c:v>
                </c:pt>
                <c:pt idx="16">
                  <c:v>0.09</c:v>
                </c:pt>
              </c:numCache>
            </c:numRef>
          </c:val>
          <c:smooth val="0"/>
        </c:ser>
        <c:ser>
          <c:idx val="2"/>
          <c:order val="2"/>
          <c:tx>
            <c:strRef>
              <c:f>'[Microsoft Word uygulamasında grafik]Sayfa6'!$D$1</c:f>
              <c:strCache>
                <c:ptCount val="1"/>
                <c:pt idx="0">
                  <c:v>Textile</c:v>
                </c:pt>
              </c:strCache>
            </c:strRef>
          </c:tx>
          <c:spPr>
            <a:ln w="28575" cap="rnd">
              <a:solidFill>
                <a:schemeClr val="accent3">
                  <a:lumMod val="50000"/>
                </a:schemeClr>
              </a:solidFill>
              <a:round/>
            </a:ln>
            <a:effectLst/>
          </c:spPr>
          <c:marker>
            <c:symbol val="circle"/>
            <c:size val="5"/>
            <c:spPr>
              <a:solidFill>
                <a:schemeClr val="accent3"/>
              </a:solidFill>
              <a:ln w="9525">
                <a:solidFill>
                  <a:schemeClr val="accent3"/>
                </a:solidFill>
              </a:ln>
              <a:effectLst/>
            </c:spPr>
          </c:marker>
          <c:dLbls>
            <c:dLbl>
              <c:idx val="0"/>
              <c:layout>
                <c:manualLayout>
                  <c:x val="3.3167078128810479E-2"/>
                  <c:y val="-0.14646249543051781"/>
                </c:manualLayout>
              </c:layout>
              <c:dLblPos val="r"/>
              <c:showLegendKey val="0"/>
              <c:showVal val="1"/>
              <c:showCatName val="0"/>
              <c:showSerName val="0"/>
              <c:showPercent val="0"/>
              <c:showBubbleSize val="0"/>
              <c:extLst>
                <c:ext xmlns:c15="http://schemas.microsoft.com/office/drawing/2012/chart" uri="{CE6537A1-D6FC-4f65-9D91-7224C49458BB}"/>
              </c:extLst>
            </c:dLbl>
            <c:dLbl>
              <c:idx val="16"/>
              <c:layout>
                <c:manualLayout>
                  <c:x val="-7.1383949301627924E-3"/>
                  <c:y val="-6.4477570370027196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tr-T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'[Microsoft Word uygulamasında grafik]Sayfa6'!$A$2:$A$18</c:f>
              <c:numCache>
                <c:formatCode>General</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'[Microsoft Word uygulamasında grafik]Sayfa6'!$D$2:$D$18</c:f>
              <c:numCache>
                <c:formatCode>#,##0.00</c:formatCode>
                <c:ptCount val="17"/>
                <c:pt idx="0">
                  <c:v>7.0000000000000007E-2</c:v>
                </c:pt>
                <c:pt idx="1">
                  <c:v>7.0000000000000007E-2</c:v>
                </c:pt>
                <c:pt idx="2">
                  <c:v>0.09</c:v>
                </c:pt>
                <c:pt idx="3">
                  <c:v>7.0000000000000007E-2</c:v>
                </c:pt>
                <c:pt idx="4">
                  <c:v>0.09</c:v>
                </c:pt>
                <c:pt idx="5">
                  <c:v>0.1</c:v>
                </c:pt>
                <c:pt idx="6">
                  <c:v>0.13</c:v>
                </c:pt>
                <c:pt idx="7">
                  <c:v>0.13</c:v>
                </c:pt>
                <c:pt idx="8">
                  <c:v>0.12</c:v>
                </c:pt>
                <c:pt idx="9">
                  <c:v>0.13</c:v>
                </c:pt>
                <c:pt idx="10">
                  <c:v>0.11</c:v>
                </c:pt>
                <c:pt idx="11">
                  <c:v>0.13</c:v>
                </c:pt>
                <c:pt idx="12">
                  <c:v>0.14000000000000001</c:v>
                </c:pt>
                <c:pt idx="13">
                  <c:v>0.17</c:v>
                </c:pt>
                <c:pt idx="14">
                  <c:v>0.14000000000000001</c:v>
                </c:pt>
                <c:pt idx="15">
                  <c:v>0.16</c:v>
                </c:pt>
                <c:pt idx="16">
                  <c:v>0.19</c:v>
                </c:pt>
              </c:numCache>
            </c:numRef>
          </c:val>
          <c:smooth val="0"/>
        </c:ser>
        <c:ser>
          <c:idx val="3"/>
          <c:order val="3"/>
          <c:tx>
            <c:strRef>
              <c:f>'[Microsoft Word uygulamasında grafik]Sayfa6'!$E$1</c:f>
              <c:strCache>
                <c:ptCount val="1"/>
                <c:pt idx="0">
                  <c:v>Metal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5.5896491937235237E-3"/>
                  <c:y val="-0.18330847921828497"/>
                </c:manualLayout>
              </c:layout>
              <c:dLblPos val="r"/>
              <c:showLegendKey val="0"/>
              <c:showVal val="1"/>
              <c:showCatName val="0"/>
              <c:showSerName val="0"/>
              <c:showPercent val="0"/>
              <c:showBubbleSize val="0"/>
              <c:extLst>
                <c:ext xmlns:c15="http://schemas.microsoft.com/office/drawing/2012/chart" uri="{CE6537A1-D6FC-4f65-9D91-7224C49458BB}"/>
              </c:extLst>
            </c:dLbl>
            <c:dLbl>
              <c:idx val="16"/>
              <c:layout>
                <c:manualLayout>
                  <c:x val="-7.1383949301627924E-3"/>
                  <c:y val="9.2143972055077489E-4"/>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tr-T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'[Microsoft Word uygulamasında grafik]Sayfa6'!$A$2:$A$18</c:f>
              <c:numCache>
                <c:formatCode>General</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'[Microsoft Word uygulamasında grafik]Sayfa6'!$E$2:$E$18</c:f>
              <c:numCache>
                <c:formatCode>#,##0.00</c:formatCode>
                <c:ptCount val="17"/>
                <c:pt idx="0">
                  <c:v>0.09</c:v>
                </c:pt>
                <c:pt idx="1">
                  <c:v>0.1</c:v>
                </c:pt>
                <c:pt idx="2">
                  <c:v>0.12</c:v>
                </c:pt>
                <c:pt idx="3">
                  <c:v>0.12</c:v>
                </c:pt>
                <c:pt idx="4">
                  <c:v>0.1</c:v>
                </c:pt>
                <c:pt idx="5">
                  <c:v>0.13</c:v>
                </c:pt>
                <c:pt idx="6">
                  <c:v>0.17</c:v>
                </c:pt>
                <c:pt idx="7">
                  <c:v>0.18</c:v>
                </c:pt>
                <c:pt idx="8">
                  <c:v>0.19</c:v>
                </c:pt>
                <c:pt idx="9">
                  <c:v>0.23</c:v>
                </c:pt>
                <c:pt idx="10">
                  <c:v>0.23</c:v>
                </c:pt>
                <c:pt idx="11">
                  <c:v>0.27</c:v>
                </c:pt>
                <c:pt idx="12">
                  <c:v>0.28999999999999998</c:v>
                </c:pt>
                <c:pt idx="13">
                  <c:v>0.26</c:v>
                </c:pt>
                <c:pt idx="14">
                  <c:v>0.18</c:v>
                </c:pt>
                <c:pt idx="15">
                  <c:v>0.19</c:v>
                </c:pt>
                <c:pt idx="16">
                  <c:v>0.24</c:v>
                </c:pt>
              </c:numCache>
            </c:numRef>
          </c:val>
          <c:smooth val="0"/>
        </c:ser>
        <c:ser>
          <c:idx val="4"/>
          <c:order val="4"/>
          <c:tx>
            <c:strRef>
              <c:f>'[Microsoft Word uygulamasında grafik]Sayfa6'!$F$1</c:f>
              <c:strCache>
                <c:ptCount val="1"/>
                <c:pt idx="0">
                  <c:v>Machinery</c:v>
                </c:pt>
              </c:strCache>
            </c:strRef>
          </c:tx>
          <c:spPr>
            <a:ln w="28575" cap="rnd">
              <a:solidFill>
                <a:srgbClr val="7030A0"/>
              </a:solidFill>
              <a:round/>
            </a:ln>
            <a:effectLst/>
          </c:spPr>
          <c:marker>
            <c:symbol val="circle"/>
            <c:size val="5"/>
            <c:spPr>
              <a:solidFill>
                <a:srgbClr val="7030A0"/>
              </a:solidFill>
              <a:ln w="9525">
                <a:solidFill>
                  <a:schemeClr val="accent5"/>
                </a:solidFill>
              </a:ln>
              <a:effectLst/>
            </c:spPr>
          </c:marker>
          <c:cat>
            <c:numRef>
              <c:f>'[Microsoft Word uygulamasında grafik]Sayfa6'!$A$2:$A$18</c:f>
              <c:numCache>
                <c:formatCode>General</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'[Microsoft Word uygulamasında grafik]Sayfa6'!$F$2:$F$18</c:f>
              <c:numCache>
                <c:formatCode>#,##0.00</c:formatCode>
                <c:ptCount val="17"/>
                <c:pt idx="0">
                  <c:v>0.05</c:v>
                </c:pt>
                <c:pt idx="1">
                  <c:v>0.05</c:v>
                </c:pt>
                <c:pt idx="2">
                  <c:v>0.08</c:v>
                </c:pt>
                <c:pt idx="3">
                  <c:v>0.06</c:v>
                </c:pt>
                <c:pt idx="4">
                  <c:v>7.0000000000000007E-2</c:v>
                </c:pt>
                <c:pt idx="5">
                  <c:v>0.08</c:v>
                </c:pt>
                <c:pt idx="6">
                  <c:v>0.09</c:v>
                </c:pt>
                <c:pt idx="7">
                  <c:v>0.09</c:v>
                </c:pt>
                <c:pt idx="8">
                  <c:v>0.09</c:v>
                </c:pt>
                <c:pt idx="9">
                  <c:v>0.1</c:v>
                </c:pt>
                <c:pt idx="10">
                  <c:v>0.1</c:v>
                </c:pt>
                <c:pt idx="11">
                  <c:v>0.11</c:v>
                </c:pt>
                <c:pt idx="12">
                  <c:v>0.12</c:v>
                </c:pt>
                <c:pt idx="13">
                  <c:v>0.09</c:v>
                </c:pt>
                <c:pt idx="14">
                  <c:v>0.06</c:v>
                </c:pt>
                <c:pt idx="15">
                  <c:v>7.0000000000000007E-2</c:v>
                </c:pt>
                <c:pt idx="16">
                  <c:v>0.09</c:v>
                </c:pt>
              </c:numCache>
            </c:numRef>
          </c:val>
          <c:smooth val="0"/>
        </c:ser>
        <c:ser>
          <c:idx val="5"/>
          <c:order val="5"/>
          <c:tx>
            <c:strRef>
              <c:f>'[Microsoft Word uygulamasında grafik]Sayfa6'!$G$1</c:f>
              <c:strCache>
                <c:ptCount val="1"/>
                <c:pt idx="0">
                  <c:v>Construction</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'[Microsoft Word uygulamasında grafik]Sayfa6'!$A$2:$A$18</c:f>
              <c:numCache>
                <c:formatCode>General</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'[Microsoft Word uygulamasında grafik]Sayfa6'!$G$2:$G$18</c:f>
              <c:numCache>
                <c:formatCode>#,##0.00</c:formatCode>
                <c:ptCount val="17"/>
                <c:pt idx="0">
                  <c:v>0.05</c:v>
                </c:pt>
                <c:pt idx="1">
                  <c:v>0.06</c:v>
                </c:pt>
                <c:pt idx="2">
                  <c:v>0.06</c:v>
                </c:pt>
                <c:pt idx="3">
                  <c:v>0.06</c:v>
                </c:pt>
                <c:pt idx="4">
                  <c:v>0.05</c:v>
                </c:pt>
                <c:pt idx="5">
                  <c:v>0.06</c:v>
                </c:pt>
                <c:pt idx="6">
                  <c:v>7.0000000000000007E-2</c:v>
                </c:pt>
                <c:pt idx="7">
                  <c:v>7.0000000000000007E-2</c:v>
                </c:pt>
                <c:pt idx="8">
                  <c:v>0.08</c:v>
                </c:pt>
                <c:pt idx="9">
                  <c:v>0.09</c:v>
                </c:pt>
                <c:pt idx="10">
                  <c:v>0.09</c:v>
                </c:pt>
                <c:pt idx="11">
                  <c:v>0.11</c:v>
                </c:pt>
                <c:pt idx="12">
                  <c:v>0.12</c:v>
                </c:pt>
                <c:pt idx="13">
                  <c:v>0.12</c:v>
                </c:pt>
                <c:pt idx="14">
                  <c:v>0.09</c:v>
                </c:pt>
                <c:pt idx="15">
                  <c:v>0.1</c:v>
                </c:pt>
                <c:pt idx="16">
                  <c:v>0.12</c:v>
                </c:pt>
              </c:numCache>
            </c:numRef>
          </c:val>
          <c:smooth val="0"/>
        </c:ser>
        <c:ser>
          <c:idx val="6"/>
          <c:order val="6"/>
          <c:tx>
            <c:strRef>
              <c:f>'[Microsoft Word uygulamasında grafik]Sayfa6'!$H$1</c:f>
              <c:strCache>
                <c:ptCount val="1"/>
                <c:pt idx="0">
                  <c:v>Trade</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'[Microsoft Word uygulamasında grafik]Sayfa6'!$A$2:$A$18</c:f>
              <c:numCache>
                <c:formatCode>General</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'[Microsoft Word uygulamasında grafik]Sayfa6'!$H$2:$H$18</c:f>
              <c:numCache>
                <c:formatCode>#,##0.00</c:formatCode>
                <c:ptCount val="17"/>
                <c:pt idx="0">
                  <c:v>0.02</c:v>
                </c:pt>
                <c:pt idx="1">
                  <c:v>0.02</c:v>
                </c:pt>
                <c:pt idx="2">
                  <c:v>0.01</c:v>
                </c:pt>
                <c:pt idx="3">
                  <c:v>0.01</c:v>
                </c:pt>
                <c:pt idx="4">
                  <c:v>0.01</c:v>
                </c:pt>
                <c:pt idx="5">
                  <c:v>0.02</c:v>
                </c:pt>
                <c:pt idx="6">
                  <c:v>0.02</c:v>
                </c:pt>
                <c:pt idx="7">
                  <c:v>0.03</c:v>
                </c:pt>
                <c:pt idx="8">
                  <c:v>0.03</c:v>
                </c:pt>
                <c:pt idx="9">
                  <c:v>0.04</c:v>
                </c:pt>
                <c:pt idx="10">
                  <c:v>0.03</c:v>
                </c:pt>
                <c:pt idx="11">
                  <c:v>0.04</c:v>
                </c:pt>
                <c:pt idx="12">
                  <c:v>0.04</c:v>
                </c:pt>
                <c:pt idx="13">
                  <c:v>0.05</c:v>
                </c:pt>
                <c:pt idx="14">
                  <c:v>0.03</c:v>
                </c:pt>
                <c:pt idx="15">
                  <c:v>0.04</c:v>
                </c:pt>
                <c:pt idx="16">
                  <c:v>0.05</c:v>
                </c:pt>
              </c:numCache>
            </c:numRef>
          </c:val>
          <c:smooth val="0"/>
        </c:ser>
        <c:ser>
          <c:idx val="7"/>
          <c:order val="7"/>
          <c:tx>
            <c:strRef>
              <c:f>'[Microsoft Word uygulamasında grafik]Sayfa6'!$I$1</c:f>
              <c:strCache>
                <c:ptCount val="1"/>
                <c:pt idx="0">
                  <c:v>Transport</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dLbls>
            <c:dLbl>
              <c:idx val="0"/>
              <c:layout>
                <c:manualLayout>
                  <c:x val="-4.1079845927192916E-2"/>
                  <c:y val="-0.23489285652115888"/>
                </c:manualLayout>
              </c:layout>
              <c:dLblPos val="r"/>
              <c:showLegendKey val="0"/>
              <c:showVal val="1"/>
              <c:showCatName val="0"/>
              <c:showSerName val="0"/>
              <c:showPercent val="0"/>
              <c:showBubbleSize val="0"/>
              <c:extLst>
                <c:ext xmlns:c15="http://schemas.microsoft.com/office/drawing/2012/chart" uri="{CE6537A1-D6FC-4f65-9D91-7224C49458BB}"/>
              </c:extLst>
            </c:dLbl>
            <c:dLbl>
              <c:idx val="16"/>
              <c:layout>
                <c:manualLayout>
                  <c:x val="-7.1383949301627924E-3"/>
                  <c:y val="-6.4477570370025843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tr-T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'[Microsoft Word uygulamasında grafik]Sayfa6'!$A$2:$A$18</c:f>
              <c:numCache>
                <c:formatCode>General</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'[Microsoft Word uygulamasında grafik]Sayfa6'!$I$2:$I$18</c:f>
              <c:numCache>
                <c:formatCode>#,##0.00</c:formatCode>
                <c:ptCount val="17"/>
                <c:pt idx="0">
                  <c:v>0.03</c:v>
                </c:pt>
                <c:pt idx="1">
                  <c:v>0.04</c:v>
                </c:pt>
                <c:pt idx="2">
                  <c:v>0.04</c:v>
                </c:pt>
                <c:pt idx="3">
                  <c:v>0.03</c:v>
                </c:pt>
                <c:pt idx="4">
                  <c:v>0.03</c:v>
                </c:pt>
                <c:pt idx="5">
                  <c:v>0.04</c:v>
                </c:pt>
                <c:pt idx="6">
                  <c:v>0.04</c:v>
                </c:pt>
                <c:pt idx="7">
                  <c:v>0.04</c:v>
                </c:pt>
                <c:pt idx="8">
                  <c:v>0.05</c:v>
                </c:pt>
                <c:pt idx="9">
                  <c:v>0.06</c:v>
                </c:pt>
                <c:pt idx="10">
                  <c:v>0.05</c:v>
                </c:pt>
                <c:pt idx="11">
                  <c:v>7.0000000000000007E-2</c:v>
                </c:pt>
                <c:pt idx="12">
                  <c:v>7.0000000000000007E-2</c:v>
                </c:pt>
                <c:pt idx="13">
                  <c:v>0.12</c:v>
                </c:pt>
                <c:pt idx="14">
                  <c:v>0.09</c:v>
                </c:pt>
                <c:pt idx="15">
                  <c:v>0.1</c:v>
                </c:pt>
                <c:pt idx="16">
                  <c:v>0.12</c:v>
                </c:pt>
              </c:numCache>
            </c:numRef>
          </c:val>
          <c:smooth val="0"/>
        </c:ser>
        <c:dLbls>
          <c:showLegendKey val="0"/>
          <c:showVal val="0"/>
          <c:showCatName val="0"/>
          <c:showSerName val="0"/>
          <c:showPercent val="0"/>
          <c:showBubbleSize val="0"/>
        </c:dLbls>
        <c:marker val="1"/>
        <c:smooth val="0"/>
        <c:axId val="557356480"/>
        <c:axId val="557357024"/>
      </c:lineChart>
      <c:catAx>
        <c:axId val="55735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tr-TR"/>
          </a:p>
        </c:txPr>
        <c:crossAx val="557357024"/>
        <c:crosses val="autoZero"/>
        <c:auto val="1"/>
        <c:lblAlgn val="ctr"/>
        <c:lblOffset val="100"/>
        <c:noMultiLvlLbl val="0"/>
      </c:catAx>
      <c:valAx>
        <c:axId val="557357024"/>
        <c:scaling>
          <c:orientation val="minMax"/>
          <c:max val="0.30000000000000004"/>
        </c:scaling>
        <c:delete val="0"/>
        <c:axPos val="l"/>
        <c:majorGridlines>
          <c:spPr>
            <a:ln w="1270"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tr-TR"/>
          </a:p>
        </c:txPr>
        <c:crossAx val="557356480"/>
        <c:crosses val="autoZero"/>
        <c:crossBetween val="between"/>
      </c:valAx>
      <c:spPr>
        <a:noFill/>
        <a:ln>
          <a:noFill/>
        </a:ln>
        <a:effectLst/>
      </c:spPr>
    </c:plotArea>
    <c:legend>
      <c:legendPos val="t"/>
      <c:layout>
        <c:manualLayout>
          <c:xMode val="edge"/>
          <c:yMode val="edge"/>
          <c:x val="2.4398240888664335E-2"/>
          <c:y val="3.4542314335060449E-2"/>
          <c:w val="0.95120316241536229"/>
          <c:h val="0.11042479793652736"/>
        </c:manualLayout>
      </c:layout>
      <c:overlay val="0"/>
      <c:spPr>
        <a:noFill/>
        <a:ln>
          <a:noFill/>
        </a:ln>
        <a:effectLst/>
      </c:spPr>
      <c:txPr>
        <a:bodyPr rot="0" vert="horz"/>
        <a:lstStyle/>
        <a:p>
          <a:pPr>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baseline="0">
          <a:latin typeface="Calibri" panose="020F0502020204030204" pitchFamily="34" charset="0"/>
        </a:defRPr>
      </a:pPr>
      <a:endParaRPr lang="tr-TR"/>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937190142898802E-2"/>
          <c:y val="2.7813792028872599E-2"/>
          <c:w val="0.93022947652376786"/>
          <c:h val="0.8792112214689225"/>
        </c:manualLayout>
      </c:layout>
      <c:barChart>
        <c:barDir val="col"/>
        <c:grouping val="clustered"/>
        <c:varyColors val="0"/>
        <c:ser>
          <c:idx val="0"/>
          <c:order val="0"/>
          <c:tx>
            <c:strRef>
              <c:f>Sayfa1!$B$1</c:f>
              <c:strCache>
                <c:ptCount val="1"/>
                <c:pt idx="0">
                  <c:v>Change Import Intensity</c:v>
                </c:pt>
              </c:strCache>
            </c:strRef>
          </c:tx>
          <c:spPr>
            <a:solidFill>
              <a:srgbClr val="C00000"/>
            </a:solidFill>
            <a:ln>
              <a:noFill/>
            </a:ln>
            <a:effectLst/>
            <a:scene3d>
              <a:camera prst="orthographicFront"/>
              <a:lightRig rig="threePt" dir="t"/>
            </a:scene3d>
            <a:sp3d>
              <a:bevelT/>
            </a:sp3d>
          </c:spPr>
          <c:invertIfNegative val="0"/>
          <c:dLbls>
            <c:dLbl>
              <c:idx val="2"/>
              <c:layout>
                <c:manualLayout>
                  <c:x val="4.8611111111111112E-2"/>
                  <c:y val="5.522319374137137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5.7870370370370371E-2"/>
                  <c:y val="8.2834790612057063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Sayfa1!$A$2:$A$9</c:f>
              <c:strCache>
                <c:ptCount val="8"/>
                <c:pt idx="0">
                  <c:v>Textile</c:v>
                </c:pt>
                <c:pt idx="1">
                  <c:v>Transport</c:v>
                </c:pt>
                <c:pt idx="2">
                  <c:v>Metal</c:v>
                </c:pt>
                <c:pt idx="3">
                  <c:v>Construction</c:v>
                </c:pt>
                <c:pt idx="4">
                  <c:v>Food</c:v>
                </c:pt>
                <c:pt idx="5">
                  <c:v>Machinery</c:v>
                </c:pt>
                <c:pt idx="6">
                  <c:v>Trade</c:v>
                </c:pt>
                <c:pt idx="7">
                  <c:v>Agriculture </c:v>
                </c:pt>
              </c:strCache>
            </c:strRef>
          </c:cat>
          <c:val>
            <c:numRef>
              <c:f>Sayfa1!$B$2:$B$9</c:f>
              <c:numCache>
                <c:formatCode>0</c:formatCode>
                <c:ptCount val="8"/>
                <c:pt idx="0">
                  <c:v>43.036906277237961</c:v>
                </c:pt>
                <c:pt idx="1">
                  <c:v>119.99202397587618</c:v>
                </c:pt>
                <c:pt idx="2">
                  <c:v>146.0766428835725</c:v>
                </c:pt>
                <c:pt idx="3">
                  <c:v>112.7645584148613</c:v>
                </c:pt>
                <c:pt idx="4">
                  <c:v>75.287882773556277</c:v>
                </c:pt>
                <c:pt idx="5">
                  <c:v>90.904058138851269</c:v>
                </c:pt>
                <c:pt idx="6">
                  <c:v>158.16624187734271</c:v>
                </c:pt>
                <c:pt idx="7">
                  <c:v>37.957276564602097</c:v>
                </c:pt>
              </c:numCache>
            </c:numRef>
          </c:val>
        </c:ser>
        <c:dLbls>
          <c:dLblPos val="outEnd"/>
          <c:showLegendKey val="0"/>
          <c:showVal val="1"/>
          <c:showCatName val="0"/>
          <c:showSerName val="0"/>
          <c:showPercent val="0"/>
          <c:showBubbleSize val="0"/>
        </c:dLbls>
        <c:gapWidth val="72"/>
        <c:overlap val="-1"/>
        <c:axId val="557358112"/>
        <c:axId val="455677904"/>
      </c:barChart>
      <c:catAx>
        <c:axId val="55735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tr-TR"/>
          </a:p>
        </c:txPr>
        <c:crossAx val="455677904"/>
        <c:crosses val="autoZero"/>
        <c:auto val="1"/>
        <c:lblAlgn val="ctr"/>
        <c:lblOffset val="100"/>
        <c:noMultiLvlLbl val="0"/>
      </c:catAx>
      <c:valAx>
        <c:axId val="455677904"/>
        <c:scaling>
          <c:orientation val="minMax"/>
          <c:max val="160"/>
        </c:scaling>
        <c:delete val="0"/>
        <c:axPos val="l"/>
        <c:majorGridlines>
          <c:spPr>
            <a:ln w="1270"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tr-TR"/>
          </a:p>
        </c:txPr>
        <c:crossAx val="557358112"/>
        <c:crosses val="autoZero"/>
        <c:crossBetween val="between"/>
      </c:valAx>
      <c:spPr>
        <a:noFill/>
        <a:ln>
          <a:noFill/>
        </a:ln>
        <a:effectLst/>
        <a:scene3d>
          <a:camera prst="orthographicFront"/>
          <a:lightRig rig="threePt" dir="t"/>
        </a:scene3d>
        <a:sp3d>
          <a:bevelT/>
        </a:sp3d>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latin typeface="Calibri" panose="020F0502020204030204" pitchFamily="34" charset="0"/>
          <a:cs typeface="Times New Roman" panose="02020603050405020304" pitchFamily="18" charset="0"/>
        </a:defRPr>
      </a:pPr>
      <a:endParaRPr lang="tr-TR"/>
    </a:p>
  </c:txPr>
  <c:externalData r:id="rId2">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13</TotalTime>
  <Pages>13</Pages>
  <Words>4896</Words>
  <Characters>27911</Characters>
  <Application>Microsoft Office Word</Application>
  <DocSecurity>0</DocSecurity>
  <Lines>232</Lines>
  <Paragraphs>65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necla</dc:creator>
  <cp:keywords/>
  <dc:description/>
  <cp:lastModifiedBy>necla</cp:lastModifiedBy>
  <cp:revision>1</cp:revision>
  <dcterms:created xsi:type="dcterms:W3CDTF">2016-05-25T16:22:00Z</dcterms:created>
  <dcterms:modified xsi:type="dcterms:W3CDTF">2016-05-25T16:36:00Z</dcterms:modified>
</cp:coreProperties>
</file>