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CE" w:rsidRPr="00564CB8" w:rsidRDefault="008505CE" w:rsidP="008505CE">
      <w:pPr>
        <w:ind w:firstLine="0"/>
        <w:jc w:val="center"/>
        <w:rPr>
          <w:b/>
          <w:sz w:val="32"/>
          <w:szCs w:val="32"/>
          <w:lang w:val="en-US"/>
        </w:rPr>
      </w:pPr>
      <w:r>
        <w:rPr>
          <w:b/>
          <w:sz w:val="32"/>
          <w:szCs w:val="32"/>
          <w:lang w:val="en-US"/>
        </w:rPr>
        <w:t>Refining</w:t>
      </w:r>
      <w:r w:rsidRPr="00564CB8">
        <w:rPr>
          <w:b/>
          <w:sz w:val="32"/>
          <w:szCs w:val="32"/>
          <w:lang w:val="en-US"/>
        </w:rPr>
        <w:t xml:space="preserve"> the</w:t>
      </w:r>
      <w:r>
        <w:rPr>
          <w:b/>
          <w:sz w:val="32"/>
          <w:szCs w:val="32"/>
          <w:lang w:val="en-US"/>
        </w:rPr>
        <w:t xml:space="preserve"> Application of the </w:t>
      </w:r>
      <w:r w:rsidRPr="00564CB8">
        <w:rPr>
          <w:b/>
          <w:sz w:val="32"/>
          <w:szCs w:val="32"/>
          <w:lang w:val="en-US"/>
        </w:rPr>
        <w:t xml:space="preserve">FLQ Formula for Estimating Regional Input Coefficients: </w:t>
      </w:r>
      <w:r>
        <w:rPr>
          <w:b/>
          <w:sz w:val="32"/>
          <w:szCs w:val="32"/>
          <w:lang w:val="en-US"/>
        </w:rPr>
        <w:t xml:space="preserve">An </w:t>
      </w:r>
      <w:r w:rsidRPr="00564CB8">
        <w:rPr>
          <w:b/>
          <w:sz w:val="32"/>
          <w:szCs w:val="32"/>
          <w:lang w:val="en-US"/>
        </w:rPr>
        <w:t xml:space="preserve">Empirical </w:t>
      </w:r>
      <w:r>
        <w:rPr>
          <w:b/>
          <w:sz w:val="32"/>
          <w:szCs w:val="32"/>
          <w:lang w:val="en-US"/>
        </w:rPr>
        <w:t>Study</w:t>
      </w:r>
      <w:r w:rsidRPr="00564CB8">
        <w:rPr>
          <w:b/>
          <w:sz w:val="32"/>
          <w:szCs w:val="32"/>
          <w:lang w:val="en-US"/>
        </w:rPr>
        <w:t xml:space="preserve"> for </w:t>
      </w:r>
      <w:r>
        <w:rPr>
          <w:b/>
          <w:sz w:val="32"/>
          <w:szCs w:val="32"/>
          <w:lang w:val="en-US"/>
        </w:rPr>
        <w:t>South Korean Regions</w:t>
      </w:r>
    </w:p>
    <w:p w:rsidR="008505CE" w:rsidRPr="0010320B" w:rsidRDefault="008505CE" w:rsidP="008505CE">
      <w:pPr>
        <w:rPr>
          <w:lang w:val="en-US"/>
        </w:rPr>
      </w:pPr>
    </w:p>
    <w:p w:rsidR="008505CE" w:rsidRPr="00B81904" w:rsidRDefault="008505CE" w:rsidP="008505CE">
      <w:pPr>
        <w:spacing w:after="0"/>
        <w:ind w:firstLine="0"/>
        <w:jc w:val="center"/>
        <w:rPr>
          <w:b/>
          <w:sz w:val="28"/>
          <w:szCs w:val="28"/>
          <w:lang w:val="pt-BR"/>
        </w:rPr>
      </w:pPr>
      <w:r w:rsidRPr="00B81904">
        <w:rPr>
          <w:b/>
          <w:sz w:val="28"/>
          <w:szCs w:val="28"/>
          <w:lang w:val="pt-BR"/>
        </w:rPr>
        <w:t>Anthony T. Flegg</w:t>
      </w:r>
    </w:p>
    <w:p w:rsidR="008505CE" w:rsidRPr="00B81904" w:rsidRDefault="008505CE" w:rsidP="008505CE">
      <w:pPr>
        <w:spacing w:after="0"/>
        <w:ind w:firstLine="0"/>
        <w:jc w:val="center"/>
        <w:rPr>
          <w:lang w:val="pt-BR"/>
        </w:rPr>
      </w:pPr>
      <w:r w:rsidRPr="00B81904">
        <w:rPr>
          <w:lang w:val="pt-BR"/>
        </w:rPr>
        <w:t>Department of Accounting, Economics and Finance, University of the West of England, Bristol, UK</w:t>
      </w:r>
    </w:p>
    <w:p w:rsidR="008505CE" w:rsidRPr="00B81904" w:rsidRDefault="008505CE" w:rsidP="008505CE">
      <w:pPr>
        <w:spacing w:after="0"/>
        <w:ind w:firstLine="0"/>
        <w:jc w:val="center"/>
        <w:rPr>
          <w:lang w:val="pt-BR"/>
        </w:rPr>
      </w:pPr>
      <w:r w:rsidRPr="00B81904">
        <w:rPr>
          <w:lang w:val="pt-BR"/>
        </w:rPr>
        <w:t xml:space="preserve">E-mail: </w:t>
      </w:r>
      <w:hyperlink r:id="rId9" w:history="1">
        <w:r w:rsidRPr="00B81904">
          <w:rPr>
            <w:rStyle w:val="Hyperlink"/>
            <w:lang w:val="pt-BR"/>
          </w:rPr>
          <w:t>tony.flegg@uwe.ac.uk</w:t>
        </w:r>
      </w:hyperlink>
    </w:p>
    <w:p w:rsidR="008505CE" w:rsidRPr="00B81904" w:rsidRDefault="008505CE" w:rsidP="008505CE">
      <w:pPr>
        <w:spacing w:after="0"/>
        <w:ind w:firstLine="0"/>
      </w:pPr>
    </w:p>
    <w:p w:rsidR="008505CE" w:rsidRPr="00324D24" w:rsidRDefault="008505CE" w:rsidP="008505CE">
      <w:pPr>
        <w:spacing w:after="0"/>
        <w:ind w:firstLine="0"/>
        <w:jc w:val="center"/>
        <w:rPr>
          <w:b/>
          <w:sz w:val="28"/>
          <w:szCs w:val="28"/>
        </w:rPr>
      </w:pPr>
      <w:r w:rsidRPr="00324D24">
        <w:rPr>
          <w:b/>
          <w:sz w:val="28"/>
          <w:szCs w:val="28"/>
        </w:rPr>
        <w:t>Timo Tohmo</w:t>
      </w:r>
    </w:p>
    <w:p w:rsidR="008505CE" w:rsidRPr="00324D24" w:rsidRDefault="008505CE" w:rsidP="008505CE">
      <w:pPr>
        <w:spacing w:after="0"/>
        <w:ind w:firstLine="0"/>
        <w:jc w:val="center"/>
        <w:rPr>
          <w:i/>
        </w:rPr>
      </w:pPr>
      <w:r w:rsidRPr="00324D24">
        <w:rPr>
          <w:i/>
        </w:rPr>
        <w:t>School of Business and Economics, University of Jyväskylä, Jyväskylä, Finland</w:t>
      </w:r>
    </w:p>
    <w:p w:rsidR="008505CE" w:rsidRDefault="008505CE" w:rsidP="008505CE">
      <w:pPr>
        <w:spacing w:after="0"/>
        <w:ind w:firstLine="0"/>
        <w:jc w:val="center"/>
        <w:rPr>
          <w:sz w:val="20"/>
          <w:szCs w:val="20"/>
          <w:lang w:val="pt-BR"/>
        </w:rPr>
      </w:pPr>
      <w:r w:rsidRPr="00324D24">
        <w:t xml:space="preserve">Email: </w:t>
      </w:r>
      <w:hyperlink r:id="rId10" w:history="1">
        <w:r w:rsidRPr="00324D24">
          <w:rPr>
            <w:rStyle w:val="Hyperlink"/>
          </w:rPr>
          <w:t>timo.tohmo@jyu.fi</w:t>
        </w:r>
      </w:hyperlink>
      <w:r>
        <w:rPr>
          <w:sz w:val="20"/>
          <w:szCs w:val="20"/>
          <w:lang w:val="pt-BR"/>
        </w:rPr>
        <w:t xml:space="preserve"> </w:t>
      </w:r>
    </w:p>
    <w:p w:rsidR="008505CE" w:rsidRPr="0056090C" w:rsidRDefault="008505CE" w:rsidP="008505CE">
      <w:pPr>
        <w:spacing w:after="0"/>
        <w:ind w:firstLine="0"/>
        <w:rPr>
          <w:lang w:val="pt-BR"/>
        </w:rPr>
      </w:pPr>
    </w:p>
    <w:p w:rsidR="008505CE" w:rsidRDefault="008505CE" w:rsidP="008505CE">
      <w:pPr>
        <w:spacing w:before="120"/>
        <w:ind w:firstLine="0"/>
        <w:rPr>
          <w:b/>
          <w:lang w:val="en-US"/>
        </w:rPr>
      </w:pPr>
      <w:r>
        <w:rPr>
          <w:b/>
          <w:lang w:val="en-US"/>
        </w:rPr>
        <w:t>Abstract</w:t>
      </w:r>
    </w:p>
    <w:p w:rsidR="005C7E1D" w:rsidRPr="00997926" w:rsidRDefault="005C7E1D" w:rsidP="00BF4BF8">
      <w:pPr>
        <w:spacing w:after="0"/>
        <w:ind w:firstLine="0"/>
        <w:rPr>
          <w:lang w:val="en-US"/>
        </w:rPr>
      </w:pPr>
      <w:r w:rsidRPr="00B839D3">
        <w:rPr>
          <w:lang w:val="en-US"/>
        </w:rPr>
        <w:t>This paper use</w:t>
      </w:r>
      <w:r>
        <w:rPr>
          <w:lang w:val="en-US"/>
        </w:rPr>
        <w:t>s</w:t>
      </w:r>
      <w:r w:rsidRPr="00B839D3">
        <w:rPr>
          <w:lang w:val="en-US"/>
        </w:rPr>
        <w:t xml:space="preserve"> survey-based data for </w:t>
      </w:r>
      <w:r>
        <w:rPr>
          <w:lang w:val="en-US"/>
        </w:rPr>
        <w:t>16 South Korean regions</w:t>
      </w:r>
      <w:r w:rsidRPr="00B839D3">
        <w:rPr>
          <w:lang w:val="en-US"/>
        </w:rPr>
        <w:t xml:space="preserve"> to </w:t>
      </w:r>
      <w:r>
        <w:rPr>
          <w:lang w:val="en-US"/>
        </w:rPr>
        <w:t>refine the application</w:t>
      </w:r>
      <w:r w:rsidRPr="00B839D3">
        <w:rPr>
          <w:lang w:val="en-US"/>
        </w:rPr>
        <w:t xml:space="preserve"> of the FLQ formula for estimating regional</w:t>
      </w:r>
      <w:r w:rsidRPr="00B839D3">
        <w:t xml:space="preserve"> input coefficients. </w:t>
      </w:r>
      <w:r>
        <w:t xml:space="preserve"> Especial</w:t>
      </w:r>
      <w:r w:rsidRPr="00B839D3">
        <w:t xml:space="preserve"> attention </w:t>
      </w:r>
      <w:r>
        <w:t>is</w:t>
      </w:r>
      <w:r w:rsidRPr="00B839D3">
        <w:t xml:space="preserve"> paid to the ch</w:t>
      </w:r>
      <w:r w:rsidR="00A8706F">
        <w:t>oice of</w:t>
      </w:r>
      <w:r w:rsidRPr="00B839D3">
        <w:t xml:space="preserve"> a</w:t>
      </w:r>
      <w:r w:rsidRPr="00B839D3">
        <w:rPr>
          <w:lang w:val="en-US"/>
        </w:rPr>
        <w:t xml:space="preserve"> value for</w:t>
      </w:r>
      <w:r w:rsidRPr="00B839D3">
        <w:t xml:space="preserve"> the unknown parameter </w:t>
      </w:r>
      <w:r w:rsidRPr="0051178B">
        <w:rPr>
          <w:i/>
          <w:color w:val="000000"/>
        </w:rPr>
        <w:t>δ</w:t>
      </w:r>
      <w:r w:rsidRPr="00B839D3">
        <w:rPr>
          <w:color w:val="000000"/>
        </w:rPr>
        <w:t xml:space="preserve"> </w:t>
      </w:r>
      <w:r w:rsidRPr="00B839D3">
        <w:rPr>
          <w:lang w:val="en-US"/>
        </w:rPr>
        <w:t>in this formula.</w:t>
      </w:r>
      <w:r>
        <w:rPr>
          <w:lang w:val="en-US"/>
        </w:rPr>
        <w:t xml:space="preserve">  Along with regional size, th</w:t>
      </w:r>
      <w:r w:rsidR="004651F6">
        <w:rPr>
          <w:lang w:val="en-US"/>
        </w:rPr>
        <w:t>is</w:t>
      </w:r>
      <w:r>
        <w:rPr>
          <w:lang w:val="en-US"/>
        </w:rPr>
        <w:t xml:space="preserve"> </w:t>
      </w:r>
      <w:r w:rsidRPr="00B839D3">
        <w:rPr>
          <w:lang w:val="en-US"/>
        </w:rPr>
        <w:t>value</w:t>
      </w:r>
      <w:r w:rsidR="004651F6">
        <w:rPr>
          <w:lang w:val="en-US"/>
        </w:rPr>
        <w:t xml:space="preserve"> </w:t>
      </w:r>
      <w:r>
        <w:rPr>
          <w:color w:val="000000"/>
        </w:rPr>
        <w:t xml:space="preserve">determines the size of the adjustment for regional imports </w:t>
      </w:r>
      <w:r w:rsidRPr="00B839D3">
        <w:rPr>
          <w:lang w:val="en-US"/>
        </w:rPr>
        <w:t>in th</w:t>
      </w:r>
      <w:r>
        <w:rPr>
          <w:lang w:val="en-US"/>
        </w:rPr>
        <w:t>e FLQ</w:t>
      </w:r>
      <w:r w:rsidRPr="00B839D3">
        <w:rPr>
          <w:lang w:val="en-US"/>
        </w:rPr>
        <w:t xml:space="preserve"> formula.</w:t>
      </w:r>
      <w:r>
        <w:rPr>
          <w:lang w:val="en-US"/>
        </w:rPr>
        <w:t xml:space="preserve">  Earlier </w:t>
      </w:r>
      <w:r w:rsidR="00BF4BF8">
        <w:rPr>
          <w:lang w:val="en-US"/>
        </w:rPr>
        <w:t>research</w:t>
      </w:r>
      <w:r>
        <w:rPr>
          <w:lang w:val="en-US"/>
        </w:rPr>
        <w:t xml:space="preserve"> on this topic using data for two South Korean regions was </w:t>
      </w:r>
      <w:r w:rsidR="00835814">
        <w:rPr>
          <w:lang w:val="en-US"/>
        </w:rPr>
        <w:t>done</w:t>
      </w:r>
      <w:r>
        <w:rPr>
          <w:lang w:val="en-US"/>
        </w:rPr>
        <w:t xml:space="preserve"> by Zhao and Choi (2015).  However, using the same basic data, we </w:t>
      </w:r>
      <w:r w:rsidR="00835814">
        <w:rPr>
          <w:lang w:val="en-US"/>
        </w:rPr>
        <w:t>we</w:t>
      </w:r>
      <w:r>
        <w:rPr>
          <w:lang w:val="en-US"/>
        </w:rPr>
        <w:t>re unable to replicate their findings.  We also identif</w:t>
      </w:r>
      <w:r w:rsidR="006F2E1A">
        <w:rPr>
          <w:lang w:val="en-US"/>
        </w:rPr>
        <w:t>y</w:t>
      </w:r>
      <w:r>
        <w:rPr>
          <w:lang w:val="en-US"/>
        </w:rPr>
        <w:t xml:space="preserve"> several methodological shortcomings and </w:t>
      </w:r>
      <w:r w:rsidR="001D46B7">
        <w:rPr>
          <w:lang w:val="en-US"/>
        </w:rPr>
        <w:t xml:space="preserve">some non-trivial </w:t>
      </w:r>
      <w:r>
        <w:rPr>
          <w:lang w:val="en-US"/>
        </w:rPr>
        <w:t xml:space="preserve">computational errors in this pioneering study.  </w:t>
      </w:r>
      <w:r w:rsidR="008B252A">
        <w:rPr>
          <w:lang w:val="en-US"/>
        </w:rPr>
        <w:t>W</w:t>
      </w:r>
      <w:r>
        <w:rPr>
          <w:lang w:val="en-US"/>
        </w:rPr>
        <w:t xml:space="preserve">e </w:t>
      </w:r>
      <w:r w:rsidR="008B252A">
        <w:rPr>
          <w:lang w:val="en-US"/>
        </w:rPr>
        <w:t>demonstrate</w:t>
      </w:r>
      <w:r>
        <w:rPr>
          <w:lang w:val="en-US"/>
        </w:rPr>
        <w:t xml:space="preserve"> that Zhao and Choi have overstated the optimal values of </w:t>
      </w:r>
      <w:r w:rsidRPr="00702847">
        <w:rPr>
          <w:i/>
          <w:color w:val="000000"/>
        </w:rPr>
        <w:t>δ</w:t>
      </w:r>
      <w:r>
        <w:rPr>
          <w:lang w:val="en-US"/>
        </w:rPr>
        <w:t xml:space="preserve"> for these two regions and understated the </w:t>
      </w:r>
      <w:r w:rsidR="0016107C">
        <w:rPr>
          <w:lang w:val="en-US"/>
        </w:rPr>
        <w:t xml:space="preserve">FLQ’s </w:t>
      </w:r>
      <w:r>
        <w:rPr>
          <w:lang w:val="en-US"/>
        </w:rPr>
        <w:t xml:space="preserve">accuracy. </w:t>
      </w:r>
      <w:r w:rsidR="00413D05">
        <w:rPr>
          <w:lang w:val="en-US"/>
        </w:rPr>
        <w:t xml:space="preserve"> </w:t>
      </w:r>
      <w:r w:rsidR="0016107C">
        <w:rPr>
          <w:lang w:val="en-US"/>
        </w:rPr>
        <w:t>W</w:t>
      </w:r>
      <w:r>
        <w:rPr>
          <w:lang w:val="en-US"/>
        </w:rPr>
        <w:t xml:space="preserve">e </w:t>
      </w:r>
      <w:r w:rsidR="0016107C">
        <w:rPr>
          <w:lang w:val="en-US"/>
        </w:rPr>
        <w:t xml:space="preserve">also </w:t>
      </w:r>
      <w:r w:rsidR="00061B61">
        <w:rPr>
          <w:lang w:val="en-US"/>
        </w:rPr>
        <w:t>establish</w:t>
      </w:r>
      <w:r>
        <w:rPr>
          <w:lang w:val="en-US"/>
        </w:rPr>
        <w:t xml:space="preserve"> that the regression model of Kowalewski (2015) is </w:t>
      </w:r>
      <w:r w:rsidR="001D46B7">
        <w:rPr>
          <w:lang w:val="en-US"/>
        </w:rPr>
        <w:t>wrong</w:t>
      </w:r>
      <w:r>
        <w:rPr>
          <w:lang w:val="en-US"/>
        </w:rPr>
        <w:t xml:space="preserve">ly applied in computing sector-specific values of </w:t>
      </w:r>
      <w:r w:rsidRPr="00702847">
        <w:rPr>
          <w:i/>
          <w:color w:val="000000"/>
        </w:rPr>
        <w:t>δ</w:t>
      </w:r>
      <w:r>
        <w:rPr>
          <w:color w:val="000000"/>
        </w:rPr>
        <w:t xml:space="preserve"> for these two regions</w:t>
      </w:r>
      <w:r>
        <w:rPr>
          <w:lang w:val="en-US"/>
        </w:rPr>
        <w:t xml:space="preserve">.  </w:t>
      </w:r>
      <w:r w:rsidR="0016107C">
        <w:rPr>
          <w:lang w:val="en-US"/>
        </w:rPr>
        <w:t>Furthermore</w:t>
      </w:r>
      <w:r>
        <w:rPr>
          <w:lang w:val="en-US"/>
        </w:rPr>
        <w:t xml:space="preserve">, </w:t>
      </w:r>
      <w:r w:rsidR="00413D05">
        <w:rPr>
          <w:lang w:val="en-US"/>
        </w:rPr>
        <w:t xml:space="preserve">we show that </w:t>
      </w:r>
      <w:r>
        <w:rPr>
          <w:lang w:val="en-US"/>
        </w:rPr>
        <w:t>Zhao and Choi</w:t>
      </w:r>
      <w:r w:rsidR="00413D05">
        <w:rPr>
          <w:lang w:val="en-US"/>
        </w:rPr>
        <w:t>’s re-estimat</w:t>
      </w:r>
      <w:r w:rsidR="001D46B7">
        <w:rPr>
          <w:lang w:val="en-US"/>
        </w:rPr>
        <w:t>ion of</w:t>
      </w:r>
      <w:r w:rsidR="00413D05">
        <w:rPr>
          <w:lang w:val="en-US"/>
        </w:rPr>
        <w:t xml:space="preserve"> the regression model of Flegg and Tohmo (2013a) yields</w:t>
      </w:r>
      <w:r>
        <w:rPr>
          <w:lang w:val="en-US"/>
        </w:rPr>
        <w:t xml:space="preserve"> </w:t>
      </w:r>
      <w:r w:rsidR="006632A7">
        <w:rPr>
          <w:lang w:val="en-US"/>
        </w:rPr>
        <w:t>erroneous</w:t>
      </w:r>
      <w:r>
        <w:rPr>
          <w:lang w:val="en-US"/>
        </w:rPr>
        <w:t xml:space="preserve"> results.</w:t>
      </w:r>
      <w:r w:rsidR="00BF4BF8">
        <w:rPr>
          <w:lang w:val="en-US"/>
        </w:rPr>
        <w:t xml:space="preserve">  </w:t>
      </w:r>
      <w:r w:rsidR="00835814">
        <w:rPr>
          <w:lang w:val="en-US"/>
        </w:rPr>
        <w:t>As well as</w:t>
      </w:r>
      <w:r>
        <w:rPr>
          <w:lang w:val="en-US"/>
        </w:rPr>
        <w:t xml:space="preserve"> reworking Zhao and Choi’s analysis and extending it from 2 to 16 regions, we make several refinements to Flegg and Tohmo’s original model, which was based on data for 20 Finnish regions</w:t>
      </w:r>
      <w:r>
        <w:rPr>
          <w:color w:val="000000"/>
        </w:rPr>
        <w:t xml:space="preserve">.  </w:t>
      </w:r>
      <w:r w:rsidRPr="00997926">
        <w:rPr>
          <w:lang w:val="en-US"/>
        </w:rPr>
        <w:t>Our paper adds to the work of Flegg and Tohmo (2013a, 2016) and Flegg et al. (2016)</w:t>
      </w:r>
      <w:r w:rsidR="008B6017">
        <w:rPr>
          <w:lang w:val="en-US"/>
        </w:rPr>
        <w:t>, t</w:t>
      </w:r>
      <w:r w:rsidRPr="00997926">
        <w:rPr>
          <w:lang w:val="en-US"/>
        </w:rPr>
        <w:t xml:space="preserve">he underlying aim of </w:t>
      </w:r>
      <w:r w:rsidR="008B6017">
        <w:rPr>
          <w:lang w:val="en-US"/>
        </w:rPr>
        <w:t>which</w:t>
      </w:r>
      <w:r w:rsidRPr="00997926">
        <w:rPr>
          <w:lang w:val="en-US"/>
        </w:rPr>
        <w:t xml:space="preserve"> is to find a cost-effective way of adapting national coefficients, so as to produce a satisfactory initial set of regional input coefficients.</w:t>
      </w:r>
    </w:p>
    <w:p w:rsidR="008505CE" w:rsidRDefault="008505CE" w:rsidP="008505CE">
      <w:pPr>
        <w:spacing w:after="0"/>
        <w:ind w:firstLine="0"/>
        <w:rPr>
          <w:b/>
          <w:sz w:val="32"/>
          <w:szCs w:val="32"/>
          <w:lang w:val="en-US"/>
        </w:rPr>
      </w:pPr>
    </w:p>
    <w:p w:rsidR="008505CE" w:rsidRPr="00352239" w:rsidRDefault="008505CE" w:rsidP="008505CE">
      <w:pPr>
        <w:spacing w:after="0" w:line="480" w:lineRule="auto"/>
        <w:ind w:firstLine="0"/>
        <w:jc w:val="left"/>
        <w:rPr>
          <w:lang w:val="en-US"/>
        </w:rPr>
      </w:pPr>
      <w:r w:rsidRPr="007A0128">
        <w:rPr>
          <w:b/>
          <w:lang w:val="en-US"/>
        </w:rPr>
        <w:t>1</w:t>
      </w:r>
      <w:r>
        <w:rPr>
          <w:lang w:val="en-US"/>
        </w:rPr>
        <w:t xml:space="preserve">  </w:t>
      </w:r>
      <w:r w:rsidRPr="00352239">
        <w:rPr>
          <w:b/>
          <w:lang w:val="en-US"/>
        </w:rPr>
        <w:t>I</w:t>
      </w:r>
      <w:r>
        <w:rPr>
          <w:b/>
          <w:lang w:val="en-US"/>
        </w:rPr>
        <w:t>ntroduction</w:t>
      </w:r>
    </w:p>
    <w:p w:rsidR="008505CE" w:rsidRDefault="008505CE" w:rsidP="00693372">
      <w:pPr>
        <w:widowControl w:val="0"/>
        <w:tabs>
          <w:tab w:val="left" w:pos="284"/>
        </w:tabs>
        <w:spacing w:after="0" w:line="480" w:lineRule="auto"/>
        <w:ind w:firstLine="0"/>
        <w:rPr>
          <w:lang w:val="en-US"/>
        </w:rPr>
      </w:pPr>
      <w:r>
        <w:t>Regional input</w:t>
      </w:r>
      <w:r w:rsidRPr="00F7201E">
        <w:sym w:font="Symbol" w:char="F02D"/>
      </w:r>
      <w:r w:rsidRPr="00F7201E">
        <w:t>output</w:t>
      </w:r>
      <w:r>
        <w:t xml:space="preserve"> tables are an</w:t>
      </w:r>
      <w:r w:rsidRPr="00762E28">
        <w:t xml:space="preserve"> </w:t>
      </w:r>
      <w:r>
        <w:t>invaluable aid to regional planning, yet constructing a survey-based regional table can be a complex, expensive and lengthy task.  Consequently, regional tables based largely on survey data are rare.  A notable exception is South Korea</w:t>
      </w:r>
      <w:r>
        <w:rPr>
          <w:lang w:val="en-US"/>
        </w:rPr>
        <w:t>, where the Bank of Korea has constructed survey-based tables for 16 regions for</w:t>
      </w:r>
      <w:r w:rsidRPr="0010320B">
        <w:rPr>
          <w:lang w:val="en-US"/>
        </w:rPr>
        <w:t xml:space="preserve"> the year 200</w:t>
      </w:r>
      <w:r>
        <w:rPr>
          <w:lang w:val="en-US"/>
        </w:rPr>
        <w:t>5.  Our main aim is to make full use of this valuable data set to refine the application</w:t>
      </w:r>
      <w:r w:rsidRPr="00B839D3">
        <w:rPr>
          <w:lang w:val="en-US"/>
        </w:rPr>
        <w:t xml:space="preserve"> of the FLQ formula for estimating regional</w:t>
      </w:r>
      <w:r w:rsidRPr="00B839D3">
        <w:t xml:space="preserve"> input coefficients. </w:t>
      </w:r>
      <w:r>
        <w:t xml:space="preserve"> We pay especial</w:t>
      </w:r>
      <w:r w:rsidRPr="00B839D3">
        <w:t xml:space="preserve"> attention to the </w:t>
      </w:r>
      <w:r>
        <w:t>selection of</w:t>
      </w:r>
      <w:r w:rsidRPr="00B839D3">
        <w:t xml:space="preserve"> a</w:t>
      </w:r>
      <w:r w:rsidRPr="00B839D3">
        <w:rPr>
          <w:lang w:val="en-US"/>
        </w:rPr>
        <w:t xml:space="preserve"> value for</w:t>
      </w:r>
      <w:r w:rsidRPr="00B839D3">
        <w:t xml:space="preserve"> the unknown parameter </w:t>
      </w:r>
      <w:r w:rsidRPr="0051178B">
        <w:rPr>
          <w:i/>
          <w:color w:val="000000"/>
        </w:rPr>
        <w:t>δ</w:t>
      </w:r>
      <w:r w:rsidRPr="00B839D3">
        <w:rPr>
          <w:color w:val="000000"/>
        </w:rPr>
        <w:t xml:space="preserve"> </w:t>
      </w:r>
      <w:r w:rsidRPr="00B839D3">
        <w:rPr>
          <w:lang w:val="en-US"/>
        </w:rPr>
        <w:t>in this formula.</w:t>
      </w:r>
      <w:r>
        <w:rPr>
          <w:lang w:val="en-US"/>
        </w:rPr>
        <w:t xml:space="preserve">  Along with regional size, </w:t>
      </w:r>
      <w:r>
        <w:rPr>
          <w:lang w:val="en-US"/>
        </w:rPr>
        <w:lastRenderedPageBreak/>
        <w:t>th</w:t>
      </w:r>
      <w:r w:rsidR="008B252A">
        <w:rPr>
          <w:lang w:val="en-US"/>
        </w:rPr>
        <w:t>is</w:t>
      </w:r>
      <w:r>
        <w:rPr>
          <w:lang w:val="en-US"/>
        </w:rPr>
        <w:t xml:space="preserve"> </w:t>
      </w:r>
      <w:r w:rsidRPr="00B839D3">
        <w:rPr>
          <w:lang w:val="en-US"/>
        </w:rPr>
        <w:t>value</w:t>
      </w:r>
      <w:r w:rsidRPr="00B839D3">
        <w:rPr>
          <w:color w:val="000000"/>
        </w:rPr>
        <w:t xml:space="preserve"> </w:t>
      </w:r>
      <w:r>
        <w:rPr>
          <w:color w:val="000000"/>
        </w:rPr>
        <w:t xml:space="preserve">determines the size of the adjustment for regional imports </w:t>
      </w:r>
      <w:r w:rsidRPr="00B839D3">
        <w:rPr>
          <w:lang w:val="en-US"/>
        </w:rPr>
        <w:t>in th</w:t>
      </w:r>
      <w:r>
        <w:rPr>
          <w:lang w:val="en-US"/>
        </w:rPr>
        <w:t>e FLQ</w:t>
      </w:r>
      <w:r w:rsidRPr="00B839D3">
        <w:rPr>
          <w:lang w:val="en-US"/>
        </w:rPr>
        <w:t xml:space="preserve"> formula.</w:t>
      </w:r>
      <w:r>
        <w:rPr>
          <w:lang w:val="en-US"/>
        </w:rPr>
        <w:t xml:space="preserve">  Earlier work on this topic using data for two Korean regions was carried out by Zhao and Choi (2015).  However, we argue that there are several key shortcomings in this pioneering study, so an effort is made to address these limitations.</w:t>
      </w:r>
    </w:p>
    <w:p w:rsidR="008505CE" w:rsidRDefault="008505CE" w:rsidP="008505CE">
      <w:pPr>
        <w:tabs>
          <w:tab w:val="left" w:pos="284"/>
        </w:tabs>
        <w:spacing w:after="0" w:line="480" w:lineRule="auto"/>
        <w:ind w:firstLine="0"/>
      </w:pPr>
      <w:r>
        <w:rPr>
          <w:lang w:val="en-US"/>
        </w:rPr>
        <w:tab/>
        <w:t>In the next s</w:t>
      </w:r>
      <w:r>
        <w:t xml:space="preserve">ection, we discuss the FLQ formula and some related formulae based on location quotients (LQs).  The available empirical evidence is also considered.  In Section 3, we present some key findings from </w:t>
      </w:r>
      <w:r>
        <w:rPr>
          <w:lang w:val="en-US"/>
        </w:rPr>
        <w:t>Zhao and Choi’s study but find that these results cannot be replicated.  We then attempt to reconcile our findings with theirs and also raise some fundamental methodological issues pertaining to their approach.</w:t>
      </w:r>
      <w:r w:rsidRPr="001633F9">
        <w:t xml:space="preserve"> </w:t>
      </w:r>
      <w:r>
        <w:t xml:space="preserve"> Section 4 extends our analysis from 2 to 16 regions, while Section 5 concludes.</w:t>
      </w:r>
    </w:p>
    <w:p w:rsidR="008505CE" w:rsidRDefault="008505CE" w:rsidP="008505CE">
      <w:pPr>
        <w:spacing w:after="0"/>
        <w:ind w:firstLine="0"/>
        <w:jc w:val="left"/>
        <w:rPr>
          <w:lang w:val="en-US"/>
        </w:rPr>
      </w:pPr>
    </w:p>
    <w:p w:rsidR="008505CE" w:rsidRDefault="008505CE" w:rsidP="008505CE">
      <w:pPr>
        <w:spacing w:after="0" w:line="480" w:lineRule="auto"/>
        <w:ind w:firstLine="0"/>
        <w:jc w:val="left"/>
        <w:rPr>
          <w:lang w:val="en-US"/>
        </w:rPr>
      </w:pPr>
      <w:r w:rsidRPr="00812803">
        <w:rPr>
          <w:b/>
          <w:lang w:val="en-US"/>
        </w:rPr>
        <w:t>2  The FLQ and related formulae</w:t>
      </w:r>
    </w:p>
    <w:p w:rsidR="008505CE" w:rsidRPr="00817C35" w:rsidRDefault="008505CE" w:rsidP="008505CE">
      <w:pPr>
        <w:widowControl w:val="0"/>
        <w:tabs>
          <w:tab w:val="left" w:pos="426"/>
        </w:tabs>
        <w:spacing w:after="0" w:line="480" w:lineRule="auto"/>
        <w:ind w:firstLine="0"/>
        <w:rPr>
          <w:b/>
          <w:vertAlign w:val="superscript"/>
          <w:lang w:val="en-US" w:eastAsia="es-AR"/>
        </w:rPr>
      </w:pPr>
      <w:r w:rsidRPr="00F7201E">
        <w:t>LQ</w:t>
      </w:r>
      <w:r>
        <w:t>s offer a simple and cheap way of regionalizing</w:t>
      </w:r>
      <w:r w:rsidRPr="001D371C">
        <w:t xml:space="preserve"> </w:t>
      </w:r>
      <w:r>
        <w:t>a national</w:t>
      </w:r>
      <w:r w:rsidRPr="00F7201E">
        <w:t xml:space="preserve"> input</w:t>
      </w:r>
      <w:r w:rsidRPr="00F7201E">
        <w:sym w:font="Symbol" w:char="F02D"/>
      </w:r>
      <w:r w:rsidRPr="00F7201E">
        <w:t xml:space="preserve">output </w:t>
      </w:r>
      <w:r>
        <w:t xml:space="preserve">table.  In the past, analysts have often used the </w:t>
      </w:r>
      <w:r w:rsidRPr="00002668">
        <w:rPr>
          <w:i/>
        </w:rPr>
        <w:t>simple</w:t>
      </w:r>
      <w:r>
        <w:t xml:space="preserve"> LQ (SLQ) or the </w:t>
      </w:r>
      <w:r>
        <w:rPr>
          <w:i/>
        </w:rPr>
        <w:t>cross-industry</w:t>
      </w:r>
      <w:r>
        <w:t xml:space="preserve"> LQ (CILQ), yet both are known to underestimate regional trade.  This feature is largely attributable to the fact that they either rule out (as with the SLQ) or greatly understate (as with the CILQ) the extent of </w:t>
      </w:r>
      <w:r>
        <w:rPr>
          <w:i/>
        </w:rPr>
        <w:t>cross-hauling</w:t>
      </w:r>
      <w:r>
        <w:t xml:space="preserve"> (the simultaneous importing and exporting of a given commodity).</w:t>
      </w:r>
      <w:r>
        <w:rPr>
          <w:b/>
          <w:vertAlign w:val="superscript"/>
        </w:rPr>
        <w:t>1</w:t>
      </w:r>
      <w:r>
        <w:t xml:space="preserve">  The SLQ is defined here as</w:t>
      </w:r>
    </w:p>
    <w:p w:rsidR="008505CE" w:rsidRPr="00CD065D" w:rsidRDefault="008505CE" w:rsidP="008505CE">
      <w:pPr>
        <w:widowControl w:val="0"/>
        <w:tabs>
          <w:tab w:val="left" w:pos="720"/>
          <w:tab w:val="center" w:pos="4440"/>
          <w:tab w:val="right" w:pos="8931"/>
        </w:tabs>
        <w:spacing w:after="0" w:line="480" w:lineRule="auto"/>
      </w:pPr>
      <w:r>
        <w:tab/>
      </w:r>
      <w:r>
        <w:tab/>
      </w:r>
      <w:r w:rsidRPr="00BC5821">
        <w:rPr>
          <w:i/>
        </w:rPr>
        <w:t>SLQ</w:t>
      </w:r>
      <w:r w:rsidRPr="00BC5821">
        <w:rPr>
          <w:i/>
          <w:vertAlign w:val="subscript"/>
        </w:rPr>
        <w:t>i</w:t>
      </w:r>
      <w:r w:rsidRPr="00CD065D">
        <w:rPr>
          <w:vertAlign w:val="subscript"/>
        </w:rPr>
        <w:t xml:space="preserve"> </w:t>
      </w:r>
      <w:r w:rsidRPr="00E70DC4">
        <w:rPr>
          <w:position w:val="-30"/>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36.3pt" o:ole="" fillcolor="window">
            <v:imagedata r:id="rId11" o:title=""/>
          </v:shape>
          <o:OLEObject Type="Embed" ProgID="Equation.3" ShapeID="_x0000_i1025" DrawAspect="Content" ObjectID="_1524667212" r:id="rId12"/>
        </w:object>
      </w:r>
      <w:r>
        <w:tab/>
      </w:r>
      <w:r w:rsidRPr="00CD065D">
        <w:t>(</w:t>
      </w:r>
      <w:r>
        <w:t>1</w:t>
      </w:r>
      <w:r w:rsidRPr="00CD065D">
        <w:t>)</w:t>
      </w:r>
    </w:p>
    <w:p w:rsidR="008505CE" w:rsidRPr="00912B07" w:rsidRDefault="008505CE" w:rsidP="0051178B">
      <w:pPr>
        <w:widowControl w:val="0"/>
        <w:tabs>
          <w:tab w:val="left" w:pos="426"/>
        </w:tabs>
        <w:spacing w:after="0" w:line="480" w:lineRule="auto"/>
        <w:ind w:firstLine="0"/>
        <w:rPr>
          <w:color w:val="000000"/>
        </w:rPr>
      </w:pPr>
      <w:r>
        <w:t>where</w:t>
      </w:r>
      <w:r w:rsidRPr="00CD065D">
        <w:rPr>
          <w:color w:val="000000"/>
        </w:rPr>
        <w:t xml:space="preserve"> </w:t>
      </w:r>
      <w:r w:rsidRPr="00D139DF">
        <w:rPr>
          <w:position w:val="-12"/>
        </w:rPr>
        <w:object w:dxaOrig="320" w:dyaOrig="400">
          <v:shape id="_x0000_i1026" type="#_x0000_t75" style="width:16.9pt;height:21.3pt" o:ole="">
            <v:imagedata r:id="rId13" o:title=""/>
          </v:shape>
          <o:OLEObject Type="Embed" ProgID="Equation.3" ShapeID="_x0000_i1026" DrawAspect="Content" ObjectID="_1524667213" r:id="rId14"/>
        </w:object>
      </w:r>
      <w:r>
        <w:rPr>
          <w:color w:val="000000"/>
        </w:rPr>
        <w:t xml:space="preserve"> is </w:t>
      </w:r>
      <w:r w:rsidRPr="00CD065D">
        <w:rPr>
          <w:color w:val="000000"/>
        </w:rPr>
        <w:t xml:space="preserve">regional </w:t>
      </w:r>
      <w:r>
        <w:rPr>
          <w:color w:val="000000"/>
        </w:rPr>
        <w:t>output</w:t>
      </w:r>
      <w:r w:rsidRPr="00CD065D">
        <w:rPr>
          <w:color w:val="000000"/>
        </w:rPr>
        <w:t xml:space="preserve"> in sector </w:t>
      </w:r>
      <w:r w:rsidRPr="00CD065D">
        <w:rPr>
          <w:i/>
          <w:color w:val="000000"/>
        </w:rPr>
        <w:t>i</w:t>
      </w:r>
      <w:r w:rsidRPr="00CD065D">
        <w:rPr>
          <w:color w:val="000000"/>
        </w:rPr>
        <w:t xml:space="preserve"> and </w:t>
      </w:r>
      <w:r w:rsidRPr="00D139DF">
        <w:rPr>
          <w:position w:val="-12"/>
        </w:rPr>
        <w:object w:dxaOrig="340" w:dyaOrig="400">
          <v:shape id="_x0000_i1027" type="#_x0000_t75" style="width:16.9pt;height:21.3pt" o:ole="">
            <v:imagedata r:id="rId15" o:title=""/>
          </v:shape>
          <o:OLEObject Type="Embed" ProgID="Equation.3" ShapeID="_x0000_i1027" DrawAspect="Content" ObjectID="_1524667214" r:id="rId16"/>
        </w:object>
      </w:r>
      <w:r w:rsidRPr="00CD065D">
        <w:rPr>
          <w:color w:val="000000"/>
        </w:rPr>
        <w:t xml:space="preserve"> </w:t>
      </w:r>
      <w:r>
        <w:rPr>
          <w:color w:val="000000"/>
        </w:rPr>
        <w:t>i</w:t>
      </w:r>
      <w:r w:rsidRPr="00CD065D">
        <w:rPr>
          <w:color w:val="000000"/>
        </w:rPr>
        <w:t xml:space="preserve">s the corresponding national figure.  </w:t>
      </w:r>
      <w:r w:rsidRPr="00D139DF">
        <w:rPr>
          <w:position w:val="-12"/>
        </w:rPr>
        <w:object w:dxaOrig="540" w:dyaOrig="400">
          <v:shape id="_x0000_i1028" type="#_x0000_t75" style="width:26.3pt;height:21.3pt" o:ole="">
            <v:imagedata r:id="rId17" o:title=""/>
          </v:shape>
          <o:OLEObject Type="Embed" ProgID="Equation.3" ShapeID="_x0000_i1028" DrawAspect="Content" ObjectID="_1524667215" r:id="rId18"/>
        </w:object>
      </w:r>
      <w:r>
        <w:rPr>
          <w:color w:val="000000"/>
        </w:rPr>
        <w:t xml:space="preserve"> </w:t>
      </w:r>
      <w:r w:rsidRPr="00CD065D">
        <w:rPr>
          <w:color w:val="000000"/>
        </w:rPr>
        <w:t xml:space="preserve">and </w:t>
      </w:r>
      <w:r w:rsidRPr="00D139DF">
        <w:rPr>
          <w:position w:val="-12"/>
        </w:rPr>
        <w:object w:dxaOrig="540" w:dyaOrig="400">
          <v:shape id="_x0000_i1029" type="#_x0000_t75" style="width:26.3pt;height:21.3pt" o:ole="">
            <v:imagedata r:id="rId19" o:title=""/>
          </v:shape>
          <o:OLEObject Type="Embed" ProgID="Equation.3" ShapeID="_x0000_i1029" DrawAspect="Content" ObjectID="_1524667216" r:id="rId20"/>
        </w:object>
      </w:r>
      <w:r w:rsidRPr="00CD065D">
        <w:rPr>
          <w:color w:val="000000"/>
        </w:rPr>
        <w:t xml:space="preserve"> are the respective regional and national totals</w:t>
      </w:r>
      <w:r>
        <w:rPr>
          <w:color w:val="000000"/>
        </w:rPr>
        <w:t>.  Likewise, the CILQ is defined as</w:t>
      </w:r>
    </w:p>
    <w:p w:rsidR="008505CE" w:rsidRDefault="008505CE" w:rsidP="00455B5A">
      <w:pPr>
        <w:widowControl w:val="0"/>
        <w:tabs>
          <w:tab w:val="left" w:pos="426"/>
          <w:tab w:val="center" w:pos="4395"/>
          <w:tab w:val="right" w:pos="8931"/>
        </w:tabs>
        <w:spacing w:after="0" w:line="480" w:lineRule="auto"/>
        <w:ind w:firstLine="0"/>
      </w:pPr>
      <w:r>
        <w:tab/>
      </w:r>
      <w:r>
        <w:tab/>
      </w:r>
      <w:r w:rsidRPr="00B5503B">
        <w:rPr>
          <w:i/>
        </w:rPr>
        <w:t>CILQ</w:t>
      </w:r>
      <w:r w:rsidRPr="00B5503B">
        <w:rPr>
          <w:i/>
          <w:vertAlign w:val="subscript"/>
        </w:rPr>
        <w:t>ij</w:t>
      </w:r>
      <w:r w:rsidRPr="00CD065D">
        <w:rPr>
          <w:vertAlign w:val="subscript"/>
        </w:rPr>
        <w:t xml:space="preserve"> </w:t>
      </w:r>
      <w:r w:rsidRPr="00E70DC4">
        <w:rPr>
          <w:position w:val="-34"/>
        </w:rPr>
        <w:object w:dxaOrig="1840" w:dyaOrig="760">
          <v:shape id="_x0000_i1030" type="#_x0000_t75" style="width:92.65pt;height:38.2pt" o:ole="" fillcolor="window">
            <v:imagedata r:id="rId21" o:title=""/>
          </v:shape>
          <o:OLEObject Type="Embed" ProgID="Equation.3" ShapeID="_x0000_i1030" DrawAspect="Content" ObjectID="_1524667217" r:id="rId22"/>
        </w:object>
      </w:r>
      <w:r w:rsidRPr="00CD065D">
        <w:tab/>
        <w:t>(</w:t>
      </w:r>
      <w:r>
        <w:t>2</w:t>
      </w:r>
      <w:r w:rsidRPr="00CD065D">
        <w:t>)</w:t>
      </w:r>
    </w:p>
    <w:p w:rsidR="008505CE" w:rsidRPr="009B0D4B" w:rsidRDefault="008505CE" w:rsidP="008505CE">
      <w:pPr>
        <w:widowControl w:val="0"/>
        <w:tabs>
          <w:tab w:val="left" w:pos="426"/>
        </w:tabs>
        <w:spacing w:after="0" w:line="480" w:lineRule="auto"/>
        <w:ind w:firstLine="0"/>
      </w:pPr>
      <w:r>
        <w:t xml:space="preserve">where the subscripts </w:t>
      </w:r>
      <w:r>
        <w:rPr>
          <w:i/>
        </w:rPr>
        <w:t>i</w:t>
      </w:r>
      <w:r>
        <w:t xml:space="preserve"> and</w:t>
      </w:r>
      <w:r w:rsidRPr="004A65B7">
        <w:rPr>
          <w:i/>
        </w:rPr>
        <w:t xml:space="preserve"> j</w:t>
      </w:r>
      <w:r>
        <w:t xml:space="preserve"> refer to the supplying and purchasing sectors, respectively.</w:t>
      </w:r>
    </w:p>
    <w:p w:rsidR="008505CE" w:rsidRDefault="008505CE" w:rsidP="008505CE">
      <w:pPr>
        <w:widowControl w:val="0"/>
        <w:tabs>
          <w:tab w:val="left" w:pos="284"/>
        </w:tabs>
        <w:spacing w:after="0" w:line="480" w:lineRule="auto"/>
        <w:ind w:firstLine="0"/>
      </w:pPr>
      <w:r>
        <w:tab/>
        <w:t>It should be noted that the SLQ and CILQ are defined in terms of output rather than the more usual employment.  Using output is preferable to using a proxy such as employment because output figures are not distorted by differences in productivity across regions.  Fortunately, regional sectoral output data were readily available in this instance.</w:t>
      </w:r>
    </w:p>
    <w:p w:rsidR="008505CE" w:rsidRDefault="008505CE" w:rsidP="008505CE">
      <w:pPr>
        <w:widowControl w:val="0"/>
        <w:tabs>
          <w:tab w:val="left" w:pos="284"/>
        </w:tabs>
        <w:spacing w:after="0" w:line="480" w:lineRule="auto"/>
        <w:ind w:firstLine="0"/>
        <w:rPr>
          <w:color w:val="000000"/>
        </w:rPr>
      </w:pPr>
      <w:r>
        <w:tab/>
        <w:t>The first step in the application of LQs is to transform</w:t>
      </w:r>
      <w:r>
        <w:rPr>
          <w:lang w:val="en-US"/>
        </w:rPr>
        <w:t xml:space="preserve"> the national and regional transactions matrices into matrices of input coefficients.  The national coefficient matrix can then be ‘regionalized’ via the formula </w:t>
      </w:r>
    </w:p>
    <w:p w:rsidR="008505CE" w:rsidRPr="002A3504" w:rsidRDefault="008505CE" w:rsidP="008505CE">
      <w:pPr>
        <w:pStyle w:val="Normaali1"/>
        <w:tabs>
          <w:tab w:val="center" w:pos="4440"/>
          <w:tab w:val="right" w:pos="8931"/>
        </w:tabs>
        <w:spacing w:line="480" w:lineRule="auto"/>
        <w:rPr>
          <w:rFonts w:ascii="Times New Roman" w:hAnsi="Times New Roman"/>
          <w:lang w:val="en-GB"/>
        </w:rPr>
      </w:pPr>
      <w:r>
        <w:rPr>
          <w:rFonts w:ascii="Times New Roman" w:hAnsi="Times New Roman"/>
          <w:lang w:val="en-GB"/>
        </w:rPr>
        <w:tab/>
      </w:r>
      <w:r w:rsidRPr="005C5CDD">
        <w:rPr>
          <w:rFonts w:ascii="Times New Roman" w:hAnsi="Times New Roman"/>
          <w:i/>
          <w:lang w:val="en-GB"/>
        </w:rPr>
        <w:t>r</w:t>
      </w:r>
      <w:r w:rsidRPr="005C5CDD">
        <w:rPr>
          <w:rFonts w:ascii="Times New Roman" w:hAnsi="Times New Roman"/>
          <w:i/>
          <w:szCs w:val="24"/>
          <w:vertAlign w:val="subscript"/>
          <w:lang w:val="en-GB"/>
        </w:rPr>
        <w:t>ij</w:t>
      </w:r>
      <w:r>
        <w:rPr>
          <w:rFonts w:ascii="Times New Roman" w:hAnsi="Times New Roman"/>
          <w:szCs w:val="24"/>
          <w:lang w:val="en-GB"/>
        </w:rPr>
        <w:t xml:space="preserve"> </w:t>
      </w:r>
      <w:r>
        <w:rPr>
          <w:rFonts w:ascii="Times New Roman" w:hAnsi="Times New Roman"/>
          <w:lang w:val="en-GB"/>
        </w:rPr>
        <w:t xml:space="preserve">= </w:t>
      </w:r>
      <w:r w:rsidRPr="005C5CDD">
        <w:rPr>
          <w:rFonts w:ascii="Times New Roman" w:hAnsi="Times New Roman"/>
          <w:i/>
          <w:lang w:val="en-GB"/>
        </w:rPr>
        <w:t>β</w:t>
      </w:r>
      <w:r w:rsidRPr="005C5CDD">
        <w:rPr>
          <w:rFonts w:ascii="Times New Roman" w:hAnsi="Times New Roman"/>
          <w:i/>
          <w:szCs w:val="24"/>
          <w:vertAlign w:val="subscript"/>
          <w:lang w:val="en-GB"/>
        </w:rPr>
        <w:t>ij</w:t>
      </w:r>
      <w:r>
        <w:rPr>
          <w:rFonts w:ascii="Times New Roman" w:hAnsi="Times New Roman"/>
          <w:lang w:val="en-GB"/>
        </w:rPr>
        <w:t xml:space="preserve"> × </w:t>
      </w:r>
      <w:r w:rsidRPr="005C5CDD">
        <w:rPr>
          <w:rFonts w:ascii="Times New Roman" w:hAnsi="Times New Roman"/>
          <w:i/>
          <w:lang w:val="en-GB"/>
        </w:rPr>
        <w:t>a</w:t>
      </w:r>
      <w:r w:rsidRPr="005C5CDD">
        <w:rPr>
          <w:rFonts w:ascii="Times New Roman" w:hAnsi="Times New Roman"/>
          <w:i/>
          <w:szCs w:val="24"/>
          <w:vertAlign w:val="subscript"/>
          <w:lang w:val="en-GB"/>
        </w:rPr>
        <w:t>ij</w:t>
      </w:r>
      <w:r>
        <w:rPr>
          <w:rFonts w:ascii="Times New Roman" w:hAnsi="Times New Roman"/>
          <w:lang w:val="en-GB"/>
        </w:rPr>
        <w:tab/>
        <w:t>(3)</w:t>
      </w:r>
    </w:p>
    <w:p w:rsidR="008505CE" w:rsidRPr="00F23F04" w:rsidRDefault="008505CE" w:rsidP="008505CE">
      <w:pPr>
        <w:widowControl w:val="0"/>
        <w:tabs>
          <w:tab w:val="left" w:pos="426"/>
        </w:tabs>
        <w:spacing w:line="480" w:lineRule="auto"/>
        <w:ind w:firstLine="0"/>
        <w:rPr>
          <w:color w:val="000000"/>
        </w:rPr>
      </w:pPr>
      <w:r w:rsidRPr="000D49F9">
        <w:rPr>
          <w:color w:val="000000"/>
        </w:rPr>
        <w:t xml:space="preserve">where </w:t>
      </w:r>
      <w:r w:rsidRPr="005C5CDD">
        <w:rPr>
          <w:i/>
          <w:color w:val="000000"/>
        </w:rPr>
        <w:t>r</w:t>
      </w:r>
      <w:r w:rsidRPr="005C5CDD">
        <w:rPr>
          <w:i/>
          <w:color w:val="000000"/>
          <w:vertAlign w:val="subscript"/>
        </w:rPr>
        <w:t>ij</w:t>
      </w:r>
      <w:r w:rsidRPr="000D49F9">
        <w:rPr>
          <w:color w:val="000000"/>
        </w:rPr>
        <w:t xml:space="preserve"> is the regional input coefficient, </w:t>
      </w:r>
      <w:r w:rsidRPr="005C5CDD">
        <w:rPr>
          <w:i/>
        </w:rPr>
        <w:t>β</w:t>
      </w:r>
      <w:r w:rsidRPr="005C5CDD">
        <w:rPr>
          <w:i/>
          <w:color w:val="000000"/>
          <w:vertAlign w:val="subscript"/>
        </w:rPr>
        <w:t>ij</w:t>
      </w:r>
      <w:r w:rsidRPr="000D49F9">
        <w:rPr>
          <w:color w:val="000000"/>
        </w:rPr>
        <w:t xml:space="preserve"> is </w:t>
      </w:r>
      <w:r>
        <w:rPr>
          <w:color w:val="000000"/>
        </w:rPr>
        <w:t>an</w:t>
      </w:r>
      <w:r w:rsidRPr="000D49F9">
        <w:rPr>
          <w:color w:val="000000"/>
        </w:rPr>
        <w:t xml:space="preserve"> </w:t>
      </w:r>
      <w:r w:rsidRPr="00BF2F03">
        <w:rPr>
          <w:color w:val="000000"/>
        </w:rPr>
        <w:t>adjustment coefficient</w:t>
      </w:r>
      <w:r w:rsidRPr="000D49F9">
        <w:rPr>
          <w:color w:val="000000"/>
        </w:rPr>
        <w:t xml:space="preserve"> and </w:t>
      </w:r>
      <w:r w:rsidRPr="005C5CDD">
        <w:rPr>
          <w:i/>
          <w:color w:val="000000"/>
        </w:rPr>
        <w:t>a</w:t>
      </w:r>
      <w:r w:rsidRPr="005C5CDD">
        <w:rPr>
          <w:i/>
          <w:color w:val="000000"/>
          <w:vertAlign w:val="subscript"/>
        </w:rPr>
        <w:t>ij</w:t>
      </w:r>
      <w:r w:rsidRPr="000D49F9">
        <w:rPr>
          <w:color w:val="000000"/>
        </w:rPr>
        <w:t xml:space="preserve"> is the national input coefficient</w:t>
      </w:r>
      <w:r>
        <w:rPr>
          <w:color w:val="000000"/>
        </w:rPr>
        <w:t xml:space="preserve"> </w:t>
      </w:r>
      <w:r w:rsidRPr="005A3455">
        <w:rPr>
          <w:lang w:val="en-US"/>
        </w:rPr>
        <w:t>(</w:t>
      </w:r>
      <w:r w:rsidRPr="005A3455">
        <w:t>Flegg and Tohmo 2016, p. 311)</w:t>
      </w:r>
      <w:r w:rsidRPr="005A3455">
        <w:rPr>
          <w:color w:val="000000"/>
        </w:rPr>
        <w:t>.</w:t>
      </w:r>
      <w:r w:rsidRPr="000D49F9">
        <w:rPr>
          <w:color w:val="000000"/>
        </w:rPr>
        <w:t xml:space="preserve">  </w:t>
      </w:r>
      <w:r w:rsidRPr="005C5CDD">
        <w:rPr>
          <w:i/>
          <w:color w:val="000000"/>
        </w:rPr>
        <w:t>r</w:t>
      </w:r>
      <w:r w:rsidRPr="005C5CDD">
        <w:rPr>
          <w:i/>
          <w:color w:val="000000"/>
          <w:vertAlign w:val="subscript"/>
        </w:rPr>
        <w:t>ij</w:t>
      </w:r>
      <w:r w:rsidRPr="000D49F9">
        <w:rPr>
          <w:color w:val="000000"/>
        </w:rPr>
        <w:t xml:space="preserve"> measures the amount of regional input </w:t>
      </w:r>
      <w:r w:rsidRPr="000D49F9">
        <w:rPr>
          <w:i/>
          <w:color w:val="000000"/>
        </w:rPr>
        <w:t>i</w:t>
      </w:r>
      <w:r w:rsidRPr="000D49F9">
        <w:rPr>
          <w:color w:val="000000"/>
        </w:rPr>
        <w:t xml:space="preserve"> </w:t>
      </w:r>
      <w:r>
        <w:rPr>
          <w:color w:val="000000"/>
        </w:rPr>
        <w:t>required</w:t>
      </w:r>
      <w:r w:rsidRPr="000D49F9">
        <w:rPr>
          <w:color w:val="000000"/>
        </w:rPr>
        <w:t xml:space="preserve"> to </w:t>
      </w:r>
      <w:r>
        <w:rPr>
          <w:color w:val="000000"/>
        </w:rPr>
        <w:t>produce</w:t>
      </w:r>
      <w:r w:rsidRPr="000D49F9">
        <w:rPr>
          <w:color w:val="000000"/>
        </w:rPr>
        <w:t xml:space="preserve"> one unit of regional gross output </w:t>
      </w:r>
      <w:r w:rsidRPr="000D49F9">
        <w:rPr>
          <w:i/>
          <w:color w:val="000000"/>
        </w:rPr>
        <w:t>j</w:t>
      </w:r>
      <w:r w:rsidRPr="000D49F9">
        <w:rPr>
          <w:color w:val="000000"/>
        </w:rPr>
        <w:t xml:space="preserve">; it thus excludes any supplies of </w:t>
      </w:r>
      <w:r w:rsidRPr="000D49F9">
        <w:rPr>
          <w:i/>
          <w:color w:val="000000"/>
        </w:rPr>
        <w:t>i</w:t>
      </w:r>
      <w:r w:rsidRPr="000D49F9">
        <w:rPr>
          <w:color w:val="000000"/>
        </w:rPr>
        <w:t xml:space="preserve"> </w:t>
      </w:r>
      <w:r>
        <w:rPr>
          <w:color w:val="000000"/>
        </w:rPr>
        <w:t>obtained</w:t>
      </w:r>
      <w:r w:rsidRPr="000D49F9">
        <w:rPr>
          <w:color w:val="000000"/>
        </w:rPr>
        <w:t xml:space="preserve"> from o</w:t>
      </w:r>
      <w:r>
        <w:rPr>
          <w:color w:val="000000"/>
        </w:rPr>
        <w:t xml:space="preserve">ther regions or </w:t>
      </w:r>
      <w:r w:rsidRPr="000D49F9">
        <w:rPr>
          <w:color w:val="000000"/>
        </w:rPr>
        <w:t xml:space="preserve">from abroad.  </w:t>
      </w:r>
      <w:r>
        <w:rPr>
          <w:color w:val="000000"/>
        </w:rPr>
        <w:t xml:space="preserve">Similarly, </w:t>
      </w:r>
      <w:r w:rsidRPr="005C5CDD">
        <w:rPr>
          <w:i/>
          <w:color w:val="000000"/>
        </w:rPr>
        <w:t>a</w:t>
      </w:r>
      <w:r w:rsidRPr="005C5CDD">
        <w:rPr>
          <w:i/>
          <w:color w:val="000000"/>
          <w:vertAlign w:val="subscript"/>
        </w:rPr>
        <w:t>ij</w:t>
      </w:r>
      <w:r w:rsidRPr="000D49F9">
        <w:rPr>
          <w:color w:val="000000"/>
        </w:rPr>
        <w:t xml:space="preserve"> excludes any </w:t>
      </w:r>
      <w:r>
        <w:rPr>
          <w:color w:val="000000"/>
        </w:rPr>
        <w:t>foreign inputs</w:t>
      </w:r>
      <w:r w:rsidRPr="000D49F9">
        <w:rPr>
          <w:color w:val="000000"/>
        </w:rPr>
        <w:t xml:space="preserve">.  </w:t>
      </w:r>
      <w:r>
        <w:rPr>
          <w:color w:val="000000"/>
        </w:rPr>
        <w:t xml:space="preserve">The role of </w:t>
      </w:r>
      <w:r w:rsidRPr="005C5CDD">
        <w:rPr>
          <w:i/>
        </w:rPr>
        <w:t>β</w:t>
      </w:r>
      <w:r w:rsidRPr="005C5CDD">
        <w:rPr>
          <w:i/>
          <w:vertAlign w:val="subscript"/>
        </w:rPr>
        <w:t>ij</w:t>
      </w:r>
      <w:r w:rsidRPr="000D49F9">
        <w:rPr>
          <w:color w:val="000000"/>
        </w:rPr>
        <w:t xml:space="preserve"> </w:t>
      </w:r>
      <w:r>
        <w:rPr>
          <w:color w:val="000000"/>
        </w:rPr>
        <w:t>is to take account of a</w:t>
      </w:r>
      <w:r w:rsidRPr="000D49F9">
        <w:rPr>
          <w:color w:val="000000"/>
        </w:rPr>
        <w:t xml:space="preserve"> region</w:t>
      </w:r>
      <w:r>
        <w:rPr>
          <w:color w:val="000000"/>
        </w:rPr>
        <w:t>’s</w:t>
      </w:r>
      <w:r w:rsidRPr="000D49F9">
        <w:rPr>
          <w:color w:val="000000"/>
        </w:rPr>
        <w:t xml:space="preserve"> </w:t>
      </w:r>
      <w:r>
        <w:rPr>
          <w:color w:val="000000"/>
        </w:rPr>
        <w:t>purchases</w:t>
      </w:r>
      <w:r w:rsidRPr="000D49F9">
        <w:rPr>
          <w:color w:val="000000"/>
        </w:rPr>
        <w:t xml:space="preserve"> of input </w:t>
      </w:r>
      <w:r w:rsidRPr="000D49F9">
        <w:rPr>
          <w:i/>
          <w:color w:val="000000"/>
        </w:rPr>
        <w:t>i</w:t>
      </w:r>
      <w:r w:rsidRPr="000D49F9">
        <w:rPr>
          <w:color w:val="000000"/>
        </w:rPr>
        <w:t xml:space="preserve"> </w:t>
      </w:r>
      <w:r>
        <w:rPr>
          <w:color w:val="000000"/>
        </w:rPr>
        <w:t>from other regions</w:t>
      </w:r>
      <w:r w:rsidRPr="000D49F9">
        <w:rPr>
          <w:color w:val="000000"/>
        </w:rPr>
        <w:t>.</w:t>
      </w:r>
    </w:p>
    <w:p w:rsidR="008505CE" w:rsidRDefault="008505CE" w:rsidP="008505CE">
      <w:pPr>
        <w:widowControl w:val="0"/>
        <w:tabs>
          <w:tab w:val="left" w:pos="284"/>
        </w:tabs>
        <w:spacing w:after="0" w:line="480" w:lineRule="auto"/>
        <w:ind w:firstLine="284"/>
      </w:pPr>
      <w:r>
        <w:t xml:space="preserve">We can estimate the </w:t>
      </w:r>
      <w:r w:rsidRPr="005C5CDD">
        <w:rPr>
          <w:i/>
        </w:rPr>
        <w:t>r</w:t>
      </w:r>
      <w:r w:rsidRPr="005C5CDD">
        <w:rPr>
          <w:i/>
          <w:vertAlign w:val="subscript"/>
        </w:rPr>
        <w:t>ij</w:t>
      </w:r>
      <w:r>
        <w:t xml:space="preserve"> b</w:t>
      </w:r>
      <w:r>
        <w:rPr>
          <w:color w:val="000000"/>
        </w:rPr>
        <w:t>y</w:t>
      </w:r>
      <w:r w:rsidRPr="000D49F9">
        <w:rPr>
          <w:color w:val="000000"/>
        </w:rPr>
        <w:t xml:space="preserve"> replac</w:t>
      </w:r>
      <w:r>
        <w:rPr>
          <w:color w:val="000000"/>
        </w:rPr>
        <w:t>ing</w:t>
      </w:r>
      <w:r w:rsidRPr="00522B95">
        <w:t xml:space="preserve"> </w:t>
      </w:r>
      <w:r w:rsidRPr="005C5CDD">
        <w:rPr>
          <w:i/>
        </w:rPr>
        <w:t>β</w:t>
      </w:r>
      <w:r w:rsidRPr="005C5CDD">
        <w:rPr>
          <w:i/>
          <w:vertAlign w:val="subscript"/>
        </w:rPr>
        <w:t>ij</w:t>
      </w:r>
      <w:r w:rsidRPr="000D49F9">
        <w:rPr>
          <w:color w:val="000000"/>
        </w:rPr>
        <w:t xml:space="preserve"> </w:t>
      </w:r>
      <w:r w:rsidRPr="000D49F9">
        <w:t xml:space="preserve">in equation </w:t>
      </w:r>
      <w:r>
        <w:t>(3)</w:t>
      </w:r>
      <w:r w:rsidRPr="000D49F9">
        <w:rPr>
          <w:color w:val="000000"/>
        </w:rPr>
        <w:t xml:space="preserve"> </w:t>
      </w:r>
      <w:r>
        <w:rPr>
          <w:color w:val="000000"/>
        </w:rPr>
        <w:t xml:space="preserve">with an </w:t>
      </w:r>
      <w:r w:rsidRPr="005820DE">
        <w:t>LQ</w:t>
      </w:r>
      <w:r>
        <w:t>.  Thus, for instance:</w:t>
      </w:r>
    </w:p>
    <w:p w:rsidR="008505CE" w:rsidRPr="002A3504" w:rsidRDefault="008505CE" w:rsidP="008505CE">
      <w:pPr>
        <w:pStyle w:val="Normaali1"/>
        <w:tabs>
          <w:tab w:val="center" w:pos="4440"/>
          <w:tab w:val="right" w:pos="8931"/>
        </w:tabs>
        <w:spacing w:line="480" w:lineRule="auto"/>
        <w:rPr>
          <w:rFonts w:ascii="Times New Roman" w:hAnsi="Times New Roman"/>
          <w:lang w:val="en-GB"/>
        </w:rPr>
      </w:pPr>
      <w:r>
        <w:rPr>
          <w:rFonts w:ascii="Times New Roman" w:hAnsi="Times New Roman"/>
          <w:lang w:val="en-GB"/>
        </w:rPr>
        <w:tab/>
      </w:r>
      <w:r w:rsidRPr="009A6E5B">
        <w:rPr>
          <w:position w:val="-14"/>
        </w:rPr>
        <w:object w:dxaOrig="240" w:dyaOrig="360">
          <v:shape id="_x0000_i1031" type="#_x0000_t75" style="width:13.15pt;height:19.4pt" o:ole="">
            <v:imagedata r:id="rId23" o:title=""/>
          </v:shape>
          <o:OLEObject Type="Embed" ProgID="Equation.3" ShapeID="_x0000_i1031" DrawAspect="Content" ObjectID="_1524667218" r:id="rId24"/>
        </w:object>
      </w:r>
      <w:r>
        <w:rPr>
          <w:rFonts w:ascii="Times New Roman" w:hAnsi="Times New Roman"/>
          <w:lang w:val="en-GB"/>
        </w:rPr>
        <w:t xml:space="preserve">= </w:t>
      </w:r>
      <w:r>
        <w:rPr>
          <w:rFonts w:ascii="Times New Roman" w:hAnsi="Times New Roman"/>
          <w:i/>
          <w:lang w:val="en-GB"/>
        </w:rPr>
        <w:t>CI</w:t>
      </w:r>
      <w:r w:rsidRPr="00B5503B">
        <w:rPr>
          <w:rFonts w:ascii="Times New Roman" w:hAnsi="Times New Roman"/>
          <w:i/>
          <w:lang w:val="en-GB"/>
        </w:rPr>
        <w:t>LQ</w:t>
      </w:r>
      <w:r w:rsidRPr="00B5503B">
        <w:rPr>
          <w:rFonts w:ascii="Times New Roman" w:hAnsi="Times New Roman"/>
          <w:i/>
          <w:szCs w:val="24"/>
          <w:vertAlign w:val="subscript"/>
          <w:lang w:val="en-GB"/>
        </w:rPr>
        <w:t>i</w:t>
      </w:r>
      <w:r>
        <w:rPr>
          <w:rFonts w:ascii="Times New Roman" w:hAnsi="Times New Roman"/>
          <w:i/>
          <w:vertAlign w:val="subscript"/>
          <w:lang w:val="en-GB"/>
        </w:rPr>
        <w:t>j</w:t>
      </w:r>
      <w:r>
        <w:rPr>
          <w:rFonts w:ascii="Times New Roman" w:hAnsi="Times New Roman"/>
          <w:lang w:val="en-GB"/>
        </w:rPr>
        <w:t xml:space="preserve"> × </w:t>
      </w:r>
      <w:r w:rsidRPr="005C5CDD">
        <w:rPr>
          <w:rFonts w:ascii="Times New Roman" w:hAnsi="Times New Roman"/>
          <w:i/>
          <w:lang w:val="en-GB"/>
        </w:rPr>
        <w:t>a</w:t>
      </w:r>
      <w:r w:rsidRPr="005C5CDD">
        <w:rPr>
          <w:rFonts w:ascii="Times New Roman" w:hAnsi="Times New Roman"/>
          <w:i/>
          <w:szCs w:val="24"/>
          <w:vertAlign w:val="subscript"/>
          <w:lang w:val="en-GB"/>
        </w:rPr>
        <w:t>ij</w:t>
      </w:r>
      <w:r>
        <w:rPr>
          <w:rFonts w:ascii="Times New Roman" w:hAnsi="Times New Roman"/>
          <w:szCs w:val="24"/>
          <w:lang w:val="en-GB"/>
        </w:rPr>
        <w:t xml:space="preserve"> </w:t>
      </w:r>
      <w:r>
        <w:rPr>
          <w:rFonts w:ascii="Times New Roman" w:hAnsi="Times New Roman"/>
          <w:lang w:val="en-GB"/>
        </w:rPr>
        <w:tab/>
        <w:t>(4)</w:t>
      </w:r>
    </w:p>
    <w:p w:rsidR="008505CE" w:rsidRDefault="008505CE" w:rsidP="008505CE">
      <w:pPr>
        <w:widowControl w:val="0"/>
        <w:tabs>
          <w:tab w:val="left" w:pos="426"/>
          <w:tab w:val="center" w:pos="4395"/>
          <w:tab w:val="right" w:pos="8931"/>
        </w:tabs>
        <w:spacing w:after="0" w:line="480" w:lineRule="auto"/>
        <w:ind w:firstLine="0"/>
      </w:pPr>
      <w:r>
        <w:t xml:space="preserve">No scaling is applied to </w:t>
      </w:r>
      <w:r w:rsidRPr="005C5CDD">
        <w:rPr>
          <w:i/>
          <w:color w:val="000000"/>
        </w:rPr>
        <w:t>a</w:t>
      </w:r>
      <w:r w:rsidRPr="005C5CDD">
        <w:rPr>
          <w:i/>
          <w:color w:val="000000"/>
          <w:vertAlign w:val="subscript"/>
        </w:rPr>
        <w:t>ij</w:t>
      </w:r>
      <w:r>
        <w:t xml:space="preserve"> where </w:t>
      </w:r>
      <w:r w:rsidRPr="00817C35">
        <w:rPr>
          <w:i/>
        </w:rPr>
        <w:t>CILQ</w:t>
      </w:r>
      <w:r w:rsidRPr="00817C35">
        <w:rPr>
          <w:i/>
          <w:vertAlign w:val="subscript"/>
        </w:rPr>
        <w:t>ij</w:t>
      </w:r>
      <w:r w:rsidRPr="005820DE">
        <w:t xml:space="preserve"> ≥ 1</w:t>
      </w:r>
      <w:r>
        <w:t xml:space="preserve"> and likewise for </w:t>
      </w:r>
      <w:r w:rsidRPr="00817C35">
        <w:rPr>
          <w:i/>
        </w:rPr>
        <w:t>SLQ</w:t>
      </w:r>
      <w:r w:rsidRPr="00817C35">
        <w:rPr>
          <w:i/>
          <w:vertAlign w:val="subscript"/>
        </w:rPr>
        <w:t>i</w:t>
      </w:r>
      <w:r>
        <w:t>.</w:t>
      </w:r>
    </w:p>
    <w:p w:rsidR="008505CE" w:rsidRPr="00275999" w:rsidRDefault="008505CE" w:rsidP="008505CE">
      <w:pPr>
        <w:widowControl w:val="0"/>
        <w:tabs>
          <w:tab w:val="left" w:pos="284"/>
          <w:tab w:val="center" w:pos="4395"/>
          <w:tab w:val="right" w:pos="8931"/>
        </w:tabs>
        <w:spacing w:after="0" w:line="480" w:lineRule="auto"/>
        <w:ind w:firstLine="284"/>
      </w:pPr>
      <w:r>
        <w:t>The CILQ has the merit that a different scaling can be applied to each cell in a given row of the national coefficient matrix.  Unlike the SLQ, the CILQ does not presume that a purchasing sector is either an exporter or an importer of a given commodity but never both.  Even so, empirical evidence indicates that the CILQ still substantially understates regional trade.  Flegg et al. (1995) attempted to address this demerit of the CILQ via their FLQ formula, which was later refined by Flegg and Webber (1997).  The FLQ is defined here as</w:t>
      </w:r>
    </w:p>
    <w:p w:rsidR="008505CE" w:rsidRPr="00275999" w:rsidRDefault="008505CE" w:rsidP="008505CE">
      <w:pPr>
        <w:tabs>
          <w:tab w:val="left" w:pos="720"/>
          <w:tab w:val="center" w:pos="4440"/>
          <w:tab w:val="right" w:pos="8931"/>
        </w:tabs>
        <w:spacing w:after="0" w:line="480" w:lineRule="auto"/>
      </w:pPr>
      <w:r w:rsidRPr="00275999">
        <w:tab/>
      </w:r>
      <w:r w:rsidRPr="00275999">
        <w:tab/>
      </w:r>
      <w:r w:rsidRPr="00817C35">
        <w:rPr>
          <w:i/>
        </w:rPr>
        <w:t>FLQ</w:t>
      </w:r>
      <w:r w:rsidRPr="00817C35">
        <w:rPr>
          <w:i/>
          <w:vertAlign w:val="subscript"/>
        </w:rPr>
        <w:t>ij</w:t>
      </w:r>
      <w:r w:rsidRPr="00817C35">
        <w:rPr>
          <w:i/>
        </w:rPr>
        <w:t xml:space="preserve"> ≡ CILQ</w:t>
      </w:r>
      <w:r w:rsidRPr="00817C35">
        <w:rPr>
          <w:i/>
          <w:vertAlign w:val="subscript"/>
        </w:rPr>
        <w:t>ij</w:t>
      </w:r>
      <w:r w:rsidRPr="00817C35">
        <w:rPr>
          <w:i/>
        </w:rPr>
        <w:t xml:space="preserve"> × </w:t>
      </w:r>
      <w:r w:rsidRPr="00817C35">
        <w:rPr>
          <w:i/>
          <w:color w:val="000000"/>
        </w:rPr>
        <w:t>λ</w:t>
      </w:r>
      <w:r w:rsidRPr="00817C35">
        <w:rPr>
          <w:i/>
          <w:color w:val="000000"/>
          <w:lang w:val="sv-SE"/>
        </w:rPr>
        <w:t>*</w:t>
      </w:r>
      <w:r w:rsidRPr="00275999">
        <w:rPr>
          <w:color w:val="000000"/>
          <w:lang w:val="sv-SE"/>
        </w:rPr>
        <w:t xml:space="preserve"> </w:t>
      </w:r>
      <w:r>
        <w:rPr>
          <w:color w:val="000000"/>
          <w:lang w:val="sv-SE"/>
        </w:rPr>
        <w:t xml:space="preserve">   </w:t>
      </w:r>
      <w:r w:rsidRPr="00275999">
        <w:rPr>
          <w:color w:val="000000"/>
          <w:lang w:val="sv-SE"/>
        </w:rPr>
        <w:t xml:space="preserve">for </w:t>
      </w:r>
      <w:r w:rsidRPr="00B335EC">
        <w:rPr>
          <w:i/>
          <w:color w:val="000000"/>
          <w:lang w:val="sv-SE"/>
        </w:rPr>
        <w:t>i</w:t>
      </w:r>
      <w:r w:rsidRPr="00275999">
        <w:rPr>
          <w:color w:val="000000"/>
          <w:lang w:val="sv-SE"/>
        </w:rPr>
        <w:t xml:space="preserve"> ≠ </w:t>
      </w:r>
      <w:r w:rsidRPr="00B335EC">
        <w:rPr>
          <w:i/>
          <w:color w:val="000000"/>
          <w:lang w:val="sv-SE"/>
        </w:rPr>
        <w:t>j</w:t>
      </w:r>
      <w:r w:rsidRPr="00275999">
        <w:tab/>
        <w:t>(</w:t>
      </w:r>
      <w:r>
        <w:t>5</w:t>
      </w:r>
      <w:r w:rsidRPr="00275999">
        <w:t>)</w:t>
      </w:r>
    </w:p>
    <w:p w:rsidR="008505CE" w:rsidRPr="00275999" w:rsidRDefault="008505CE" w:rsidP="008505CE">
      <w:pPr>
        <w:tabs>
          <w:tab w:val="left" w:pos="720"/>
          <w:tab w:val="center" w:pos="4440"/>
          <w:tab w:val="right" w:pos="8931"/>
        </w:tabs>
        <w:spacing w:after="0" w:line="480" w:lineRule="auto"/>
      </w:pPr>
      <w:r w:rsidRPr="00275999">
        <w:tab/>
      </w:r>
      <w:r w:rsidRPr="00275999">
        <w:tab/>
      </w:r>
      <w:r w:rsidRPr="00817C35">
        <w:rPr>
          <w:i/>
        </w:rPr>
        <w:t>FLQ</w:t>
      </w:r>
      <w:r w:rsidRPr="00817C35">
        <w:rPr>
          <w:i/>
          <w:vertAlign w:val="subscript"/>
        </w:rPr>
        <w:t>ij</w:t>
      </w:r>
      <w:r w:rsidRPr="00817C35">
        <w:rPr>
          <w:i/>
        </w:rPr>
        <w:t xml:space="preserve"> ≡ SLQ</w:t>
      </w:r>
      <w:r w:rsidRPr="00817C35">
        <w:rPr>
          <w:i/>
          <w:vertAlign w:val="subscript"/>
        </w:rPr>
        <w:t>i</w:t>
      </w:r>
      <w:r w:rsidRPr="00817C35">
        <w:rPr>
          <w:i/>
        </w:rPr>
        <w:t xml:space="preserve"> × </w:t>
      </w:r>
      <w:r w:rsidRPr="00817C35">
        <w:rPr>
          <w:i/>
          <w:color w:val="000000"/>
        </w:rPr>
        <w:t>λ</w:t>
      </w:r>
      <w:r w:rsidRPr="00817C35">
        <w:rPr>
          <w:i/>
          <w:color w:val="000000"/>
          <w:lang w:val="sv-SE"/>
        </w:rPr>
        <w:t>*</w:t>
      </w:r>
      <w:r w:rsidRPr="00275999">
        <w:rPr>
          <w:color w:val="000000"/>
          <w:lang w:val="sv-SE"/>
        </w:rPr>
        <w:t xml:space="preserve"> </w:t>
      </w:r>
      <w:r>
        <w:rPr>
          <w:color w:val="000000"/>
          <w:lang w:val="sv-SE"/>
        </w:rPr>
        <w:t xml:space="preserve">   </w:t>
      </w:r>
      <w:r w:rsidRPr="00275999">
        <w:rPr>
          <w:color w:val="000000"/>
          <w:lang w:val="sv-SE"/>
        </w:rPr>
        <w:t xml:space="preserve">for </w:t>
      </w:r>
      <w:r w:rsidRPr="00B335EC">
        <w:rPr>
          <w:i/>
          <w:color w:val="000000"/>
          <w:lang w:val="sv-SE"/>
        </w:rPr>
        <w:t>i</w:t>
      </w:r>
      <w:r w:rsidRPr="00275999">
        <w:rPr>
          <w:color w:val="000000"/>
          <w:lang w:val="sv-SE"/>
        </w:rPr>
        <w:t xml:space="preserve"> = </w:t>
      </w:r>
      <w:r w:rsidRPr="00B335EC">
        <w:rPr>
          <w:i/>
          <w:color w:val="000000"/>
          <w:lang w:val="sv-SE"/>
        </w:rPr>
        <w:t>j</w:t>
      </w:r>
      <w:r w:rsidRPr="00275999">
        <w:tab/>
        <w:t>(</w:t>
      </w:r>
      <w:r>
        <w:t>6</w:t>
      </w:r>
      <w:r w:rsidRPr="00275999">
        <w:t>)</w:t>
      </w:r>
    </w:p>
    <w:p w:rsidR="008505CE" w:rsidRPr="00275999" w:rsidRDefault="008505CE" w:rsidP="008505CE">
      <w:pPr>
        <w:pStyle w:val="Normaali1"/>
        <w:tabs>
          <w:tab w:val="left" w:pos="360"/>
        </w:tabs>
        <w:spacing w:line="480" w:lineRule="auto"/>
        <w:rPr>
          <w:rFonts w:ascii="Times New Roman" w:hAnsi="Times New Roman"/>
          <w:szCs w:val="24"/>
        </w:rPr>
      </w:pPr>
      <w:r>
        <w:rPr>
          <w:color w:val="000000"/>
          <w:lang w:val="sv-SE"/>
        </w:rPr>
        <w:t>where</w:t>
      </w:r>
      <w:r>
        <w:rPr>
          <w:b/>
          <w:color w:val="000000"/>
          <w:vertAlign w:val="superscript"/>
        </w:rPr>
        <w:t>2</w:t>
      </w:r>
    </w:p>
    <w:p w:rsidR="008505CE" w:rsidRPr="00275999" w:rsidRDefault="008505CE" w:rsidP="008505CE">
      <w:pPr>
        <w:tabs>
          <w:tab w:val="left" w:pos="720"/>
          <w:tab w:val="center" w:pos="4440"/>
          <w:tab w:val="right" w:pos="8931"/>
        </w:tabs>
        <w:spacing w:after="0" w:line="480" w:lineRule="auto"/>
      </w:pPr>
      <w:r w:rsidRPr="00275999">
        <w:tab/>
      </w:r>
      <w:r w:rsidRPr="00275999">
        <w:tab/>
      </w:r>
      <w:r w:rsidRPr="00817C35">
        <w:rPr>
          <w:i/>
          <w:color w:val="000000"/>
        </w:rPr>
        <w:t>λ</w:t>
      </w:r>
      <w:r w:rsidRPr="00817C35">
        <w:rPr>
          <w:i/>
          <w:color w:val="000000"/>
          <w:lang w:val="sv-SE"/>
        </w:rPr>
        <w:t xml:space="preserve">* </w:t>
      </w:r>
      <w:r w:rsidRPr="00817C35">
        <w:rPr>
          <w:i/>
        </w:rPr>
        <w:t>≡</w:t>
      </w:r>
      <w:r w:rsidRPr="00817C35">
        <w:rPr>
          <w:i/>
          <w:color w:val="000000"/>
          <w:lang w:val="sv-SE"/>
        </w:rPr>
        <w:t xml:space="preserve"> </w:t>
      </w:r>
      <w:r w:rsidRPr="008E2749">
        <w:rPr>
          <w:color w:val="000000"/>
          <w:lang w:val="sv-SE"/>
        </w:rPr>
        <w:t>[</w:t>
      </w:r>
      <w:r w:rsidRPr="00F738EC">
        <w:rPr>
          <w:color w:val="000000"/>
          <w:lang w:val="sv-SE"/>
        </w:rPr>
        <w:t>log</w:t>
      </w:r>
      <w:r w:rsidRPr="00F738EC">
        <w:rPr>
          <w:color w:val="000000"/>
          <w:vertAlign w:val="subscript"/>
          <w:lang w:val="sv-SE"/>
        </w:rPr>
        <w:t>2</w:t>
      </w:r>
      <w:r w:rsidRPr="00F738EC">
        <w:rPr>
          <w:color w:val="000000"/>
          <w:lang w:val="sv-SE"/>
        </w:rPr>
        <w:t>(1 +</w:t>
      </w:r>
      <w:r w:rsidRPr="00817C35">
        <w:rPr>
          <w:i/>
          <w:color w:val="000000"/>
          <w:lang w:val="sv-SE"/>
        </w:rPr>
        <w:t xml:space="preserve"> </w:t>
      </w:r>
      <w:r w:rsidRPr="00E70DC4">
        <w:rPr>
          <w:position w:val="-12"/>
        </w:rPr>
        <w:object w:dxaOrig="1160" w:dyaOrig="400">
          <v:shape id="_x0000_i1032" type="#_x0000_t75" style="width:57.6pt;height:21.3pt" o:ole="">
            <v:imagedata r:id="rId25" o:title=""/>
          </v:shape>
          <o:OLEObject Type="Embed" ProgID="Equation.3" ShapeID="_x0000_i1032" DrawAspect="Content" ObjectID="_1524667219" r:id="rId26"/>
        </w:object>
      </w:r>
      <w:r>
        <w:t>)</w:t>
      </w:r>
      <w:r w:rsidRPr="008E2749">
        <w:rPr>
          <w:color w:val="000000"/>
          <w:lang w:val="sv-SE"/>
        </w:rPr>
        <w:t>]</w:t>
      </w:r>
      <w:r w:rsidRPr="008E2749">
        <w:rPr>
          <w:color w:val="000000"/>
          <w:vertAlign w:val="superscript"/>
        </w:rPr>
        <w:t>δ</w:t>
      </w:r>
      <w:r w:rsidRPr="00275999">
        <w:tab/>
        <w:t>(</w:t>
      </w:r>
      <w:r>
        <w:t>7</w:t>
      </w:r>
      <w:r w:rsidRPr="00275999">
        <w:t>)</w:t>
      </w:r>
    </w:p>
    <w:p w:rsidR="008505CE" w:rsidRPr="00636D0B" w:rsidRDefault="008505CE" w:rsidP="008505CE">
      <w:pPr>
        <w:pStyle w:val="Normaali1"/>
        <w:tabs>
          <w:tab w:val="left" w:pos="360"/>
        </w:tabs>
        <w:spacing w:line="480" w:lineRule="auto"/>
        <w:rPr>
          <w:rFonts w:ascii="Times New Roman" w:hAnsi="Times New Roman"/>
          <w:b/>
          <w:color w:val="000000"/>
          <w:szCs w:val="24"/>
          <w:vertAlign w:val="superscript"/>
          <w:lang w:val="sv-SE"/>
        </w:rPr>
      </w:pPr>
      <w:r>
        <w:rPr>
          <w:rFonts w:ascii="Times New Roman" w:hAnsi="Times New Roman"/>
          <w:color w:val="000000"/>
          <w:szCs w:val="24"/>
          <w:lang w:val="sv-SE"/>
        </w:rPr>
        <w:t xml:space="preserve">It is assumed that </w:t>
      </w:r>
      <w:r w:rsidRPr="00275999">
        <w:rPr>
          <w:rFonts w:ascii="Times New Roman" w:hAnsi="Times New Roman"/>
          <w:color w:val="000000"/>
          <w:szCs w:val="24"/>
          <w:lang w:val="sv-SE"/>
        </w:rPr>
        <w:t>0</w:t>
      </w:r>
      <w:r w:rsidRPr="00275999">
        <w:rPr>
          <w:rFonts w:ascii="Times New Roman" w:hAnsi="Times New Roman"/>
          <w:color w:val="000000"/>
          <w:szCs w:val="24"/>
          <w:lang w:val="en-GB"/>
        </w:rPr>
        <w:t xml:space="preserve"> ≤ </w:t>
      </w:r>
      <w:r w:rsidRPr="00B335EC">
        <w:rPr>
          <w:rFonts w:ascii="Times New Roman" w:hAnsi="Times New Roman"/>
          <w:i/>
          <w:color w:val="000000"/>
          <w:szCs w:val="24"/>
          <w:lang w:val="en-GB"/>
        </w:rPr>
        <w:t>δ</w:t>
      </w:r>
      <w:r w:rsidRPr="00275999">
        <w:rPr>
          <w:rFonts w:ascii="Times New Roman" w:hAnsi="Times New Roman"/>
          <w:color w:val="000000"/>
          <w:szCs w:val="24"/>
          <w:lang w:val="en-GB"/>
        </w:rPr>
        <w:t xml:space="preserve"> &lt; 1; a</w:t>
      </w:r>
      <w:r w:rsidRPr="00275999">
        <w:rPr>
          <w:rFonts w:ascii="Times New Roman" w:hAnsi="Times New Roman"/>
          <w:color w:val="000000"/>
          <w:szCs w:val="24"/>
          <w:lang w:val="sv-SE"/>
        </w:rPr>
        <w:t xml:space="preserve">s </w:t>
      </w:r>
      <w:r w:rsidRPr="00B335EC">
        <w:rPr>
          <w:rFonts w:ascii="Times New Roman" w:hAnsi="Times New Roman"/>
          <w:i/>
          <w:color w:val="000000"/>
          <w:szCs w:val="24"/>
          <w:lang w:val="en-GB"/>
        </w:rPr>
        <w:t>δ</w:t>
      </w:r>
      <w:r w:rsidRPr="00275999">
        <w:rPr>
          <w:rFonts w:ascii="Times New Roman" w:hAnsi="Times New Roman"/>
          <w:color w:val="000000"/>
          <w:szCs w:val="24"/>
          <w:lang w:val="en-GB"/>
        </w:rPr>
        <w:t xml:space="preserve"> increases, so too does the allowance for interregional imports</w:t>
      </w:r>
      <w:r>
        <w:rPr>
          <w:rFonts w:ascii="Times New Roman" w:hAnsi="Times New Roman"/>
          <w:color w:val="000000"/>
          <w:szCs w:val="24"/>
          <w:lang w:val="en-GB"/>
        </w:rPr>
        <w:t>.</w:t>
      </w:r>
      <w:r w:rsidRPr="00275999">
        <w:rPr>
          <w:rFonts w:ascii="Times New Roman" w:hAnsi="Times New Roman"/>
          <w:color w:val="000000"/>
          <w:szCs w:val="24"/>
          <w:lang w:val="sv-SE"/>
        </w:rPr>
        <w:t xml:space="preserve">  </w:t>
      </w:r>
      <w:r w:rsidRPr="00B335EC">
        <w:rPr>
          <w:rFonts w:ascii="Times New Roman" w:hAnsi="Times New Roman"/>
          <w:i/>
          <w:color w:val="000000"/>
          <w:szCs w:val="24"/>
          <w:lang w:val="en-GB"/>
        </w:rPr>
        <w:t>δ</w:t>
      </w:r>
      <w:r w:rsidRPr="00275999">
        <w:rPr>
          <w:rFonts w:ascii="Times New Roman" w:hAnsi="Times New Roman"/>
          <w:color w:val="000000"/>
          <w:szCs w:val="24"/>
          <w:lang w:val="en-GB"/>
        </w:rPr>
        <w:t xml:space="preserve"> = 0 represents a special case where</w:t>
      </w:r>
      <w:r>
        <w:rPr>
          <w:rFonts w:ascii="Times New Roman" w:hAnsi="Times New Roman"/>
          <w:color w:val="000000"/>
          <w:szCs w:val="24"/>
          <w:lang w:val="en-GB"/>
        </w:rPr>
        <w:t>by</w:t>
      </w:r>
      <w:r w:rsidRPr="00275999">
        <w:rPr>
          <w:rFonts w:ascii="Times New Roman" w:hAnsi="Times New Roman"/>
          <w:color w:val="000000"/>
          <w:szCs w:val="24"/>
          <w:lang w:val="en-GB"/>
        </w:rPr>
        <w:t xml:space="preserve"> </w:t>
      </w:r>
      <w:r w:rsidRPr="00B0222D">
        <w:rPr>
          <w:rFonts w:ascii="Times New Roman" w:hAnsi="Times New Roman"/>
          <w:i/>
          <w:szCs w:val="24"/>
        </w:rPr>
        <w:t>FLQ</w:t>
      </w:r>
      <w:r w:rsidRPr="00B0222D">
        <w:rPr>
          <w:rFonts w:ascii="Times New Roman" w:hAnsi="Times New Roman"/>
          <w:i/>
          <w:szCs w:val="24"/>
          <w:vertAlign w:val="subscript"/>
        </w:rPr>
        <w:t>ij</w:t>
      </w:r>
      <w:r w:rsidRPr="00275999">
        <w:rPr>
          <w:rFonts w:ascii="Times New Roman" w:hAnsi="Times New Roman"/>
          <w:szCs w:val="24"/>
        </w:rPr>
        <w:t xml:space="preserve"> = </w:t>
      </w:r>
      <w:r w:rsidRPr="00B0222D">
        <w:rPr>
          <w:rFonts w:ascii="Times New Roman" w:hAnsi="Times New Roman"/>
          <w:i/>
          <w:szCs w:val="24"/>
        </w:rPr>
        <w:t>CILQ</w:t>
      </w:r>
      <w:r w:rsidRPr="00B0222D">
        <w:rPr>
          <w:rFonts w:ascii="Times New Roman" w:hAnsi="Times New Roman"/>
          <w:i/>
          <w:szCs w:val="24"/>
          <w:vertAlign w:val="subscript"/>
        </w:rPr>
        <w:t>ij</w:t>
      </w:r>
      <w:r>
        <w:rPr>
          <w:rFonts w:ascii="Times New Roman" w:hAnsi="Times New Roman"/>
          <w:szCs w:val="24"/>
        </w:rPr>
        <w:t xml:space="preserve"> </w:t>
      </w:r>
      <w:r w:rsidRPr="00132BDB">
        <w:rPr>
          <w:rFonts w:ascii="Times New Roman" w:hAnsi="Times New Roman"/>
          <w:color w:val="000000"/>
          <w:lang w:val="sv-SE"/>
        </w:rPr>
        <w:t xml:space="preserve">for </w:t>
      </w:r>
      <w:r w:rsidRPr="00132BDB">
        <w:rPr>
          <w:rFonts w:ascii="Times New Roman" w:hAnsi="Times New Roman"/>
          <w:i/>
          <w:color w:val="000000"/>
          <w:lang w:val="sv-SE"/>
        </w:rPr>
        <w:t>i</w:t>
      </w:r>
      <w:r w:rsidRPr="00132BDB">
        <w:rPr>
          <w:rFonts w:ascii="Times New Roman" w:hAnsi="Times New Roman"/>
          <w:color w:val="000000"/>
          <w:lang w:val="sv-SE"/>
        </w:rPr>
        <w:t xml:space="preserve"> ≠ </w:t>
      </w:r>
      <w:r w:rsidRPr="00132BDB">
        <w:rPr>
          <w:rFonts w:ascii="Times New Roman" w:hAnsi="Times New Roman"/>
          <w:i/>
          <w:color w:val="000000"/>
          <w:lang w:val="sv-SE"/>
        </w:rPr>
        <w:t>j</w:t>
      </w:r>
      <w:r>
        <w:rPr>
          <w:rFonts w:ascii="Times New Roman" w:hAnsi="Times New Roman"/>
          <w:szCs w:val="24"/>
        </w:rPr>
        <w:t xml:space="preserve"> and </w:t>
      </w:r>
      <w:r w:rsidRPr="00B0222D">
        <w:rPr>
          <w:rFonts w:ascii="Times New Roman" w:hAnsi="Times New Roman"/>
          <w:i/>
          <w:szCs w:val="24"/>
        </w:rPr>
        <w:t>FLQ</w:t>
      </w:r>
      <w:r w:rsidRPr="00B0222D">
        <w:rPr>
          <w:rFonts w:ascii="Times New Roman" w:hAnsi="Times New Roman"/>
          <w:i/>
          <w:szCs w:val="24"/>
          <w:vertAlign w:val="subscript"/>
        </w:rPr>
        <w:t>ij</w:t>
      </w:r>
      <w:r w:rsidRPr="00275999">
        <w:rPr>
          <w:rFonts w:ascii="Times New Roman" w:hAnsi="Times New Roman"/>
          <w:szCs w:val="24"/>
        </w:rPr>
        <w:t xml:space="preserve"> = </w:t>
      </w:r>
      <w:r>
        <w:rPr>
          <w:rFonts w:ascii="Times New Roman" w:hAnsi="Times New Roman"/>
          <w:i/>
          <w:szCs w:val="24"/>
        </w:rPr>
        <w:t>S</w:t>
      </w:r>
      <w:r w:rsidRPr="00B0222D">
        <w:rPr>
          <w:rFonts w:ascii="Times New Roman" w:hAnsi="Times New Roman"/>
          <w:i/>
          <w:szCs w:val="24"/>
        </w:rPr>
        <w:t>LQ</w:t>
      </w:r>
      <w:r>
        <w:rPr>
          <w:rFonts w:ascii="Times New Roman" w:hAnsi="Times New Roman"/>
          <w:i/>
          <w:szCs w:val="24"/>
          <w:vertAlign w:val="subscript"/>
        </w:rPr>
        <w:t>i</w:t>
      </w:r>
      <w:r>
        <w:rPr>
          <w:rFonts w:ascii="Times New Roman" w:hAnsi="Times New Roman"/>
          <w:szCs w:val="24"/>
        </w:rPr>
        <w:t xml:space="preserve"> </w:t>
      </w:r>
      <w:r w:rsidRPr="00132BDB">
        <w:rPr>
          <w:rFonts w:ascii="Times New Roman" w:hAnsi="Times New Roman"/>
          <w:color w:val="000000"/>
          <w:lang w:val="sv-SE"/>
        </w:rPr>
        <w:t xml:space="preserve">for </w:t>
      </w:r>
      <w:r w:rsidRPr="00132BDB">
        <w:rPr>
          <w:rFonts w:ascii="Times New Roman" w:hAnsi="Times New Roman"/>
          <w:i/>
          <w:color w:val="000000"/>
          <w:lang w:val="sv-SE"/>
        </w:rPr>
        <w:t>i</w:t>
      </w:r>
      <w:r w:rsidRPr="00132BDB">
        <w:rPr>
          <w:rFonts w:ascii="Times New Roman" w:hAnsi="Times New Roman"/>
          <w:color w:val="000000"/>
          <w:lang w:val="sv-SE"/>
        </w:rPr>
        <w:t xml:space="preserve"> </w:t>
      </w:r>
      <w:r>
        <w:rPr>
          <w:rFonts w:ascii="Times New Roman" w:hAnsi="Times New Roman"/>
          <w:color w:val="000000"/>
          <w:lang w:val="sv-SE"/>
        </w:rPr>
        <w:t>=</w:t>
      </w:r>
      <w:r w:rsidRPr="00132BDB">
        <w:rPr>
          <w:rFonts w:ascii="Times New Roman" w:hAnsi="Times New Roman"/>
          <w:color w:val="000000"/>
          <w:lang w:val="sv-SE"/>
        </w:rPr>
        <w:t xml:space="preserve"> </w:t>
      </w:r>
      <w:r w:rsidRPr="00132BDB">
        <w:rPr>
          <w:rFonts w:ascii="Times New Roman" w:hAnsi="Times New Roman"/>
          <w:i/>
          <w:color w:val="000000"/>
          <w:lang w:val="sv-SE"/>
        </w:rPr>
        <w:t>j</w:t>
      </w:r>
      <w:r>
        <w:rPr>
          <w:rFonts w:ascii="Times New Roman" w:hAnsi="Times New Roman"/>
          <w:szCs w:val="24"/>
        </w:rPr>
        <w:t xml:space="preserve">.  </w:t>
      </w:r>
      <w:r w:rsidRPr="00275999">
        <w:rPr>
          <w:rFonts w:ascii="Times New Roman" w:hAnsi="Times New Roman"/>
          <w:color w:val="000000"/>
          <w:szCs w:val="24"/>
          <w:lang w:val="sv-SE"/>
        </w:rPr>
        <w:t xml:space="preserve">As with other LQ-based formulae, the </w:t>
      </w:r>
      <w:r>
        <w:rPr>
          <w:rFonts w:ascii="Times New Roman" w:hAnsi="Times New Roman"/>
          <w:color w:val="000000"/>
          <w:szCs w:val="24"/>
          <w:lang w:val="sv-SE"/>
        </w:rPr>
        <w:t xml:space="preserve">constraint </w:t>
      </w:r>
      <w:r w:rsidRPr="00B0222D">
        <w:rPr>
          <w:rFonts w:ascii="Times New Roman" w:hAnsi="Times New Roman"/>
          <w:i/>
          <w:szCs w:val="24"/>
        </w:rPr>
        <w:t>FLQ</w:t>
      </w:r>
      <w:r w:rsidRPr="00B0222D">
        <w:rPr>
          <w:rFonts w:ascii="Times New Roman" w:hAnsi="Times New Roman"/>
          <w:i/>
          <w:szCs w:val="24"/>
          <w:vertAlign w:val="subscript"/>
        </w:rPr>
        <w:t>ij</w:t>
      </w:r>
      <w:r>
        <w:rPr>
          <w:rFonts w:ascii="Times New Roman" w:hAnsi="Times New Roman"/>
          <w:szCs w:val="24"/>
        </w:rPr>
        <w:t xml:space="preserve"> </w:t>
      </w:r>
      <w:r w:rsidRPr="00275999">
        <w:rPr>
          <w:rFonts w:ascii="Times New Roman" w:hAnsi="Times New Roman"/>
          <w:color w:val="000000"/>
          <w:szCs w:val="24"/>
          <w:lang w:val="en-GB"/>
        </w:rPr>
        <w:t>≤ 1</w:t>
      </w:r>
      <w:r>
        <w:rPr>
          <w:rFonts w:ascii="Times New Roman" w:hAnsi="Times New Roman"/>
          <w:color w:val="000000"/>
          <w:szCs w:val="24"/>
          <w:lang w:val="en-GB"/>
        </w:rPr>
        <w:t xml:space="preserve"> is imposed</w:t>
      </w:r>
      <w:r w:rsidRPr="00275999">
        <w:rPr>
          <w:rFonts w:ascii="Times New Roman" w:hAnsi="Times New Roman"/>
          <w:color w:val="000000"/>
          <w:szCs w:val="24"/>
          <w:lang w:val="sv-SE"/>
        </w:rPr>
        <w:t>.</w:t>
      </w:r>
    </w:p>
    <w:p w:rsidR="008505CE" w:rsidRPr="0066461D" w:rsidRDefault="008505CE" w:rsidP="008505CE">
      <w:pPr>
        <w:widowControl w:val="0"/>
        <w:tabs>
          <w:tab w:val="left" w:pos="284"/>
          <w:tab w:val="center" w:pos="4395"/>
          <w:tab w:val="right" w:pos="8931"/>
        </w:tabs>
        <w:spacing w:after="0" w:line="480" w:lineRule="auto"/>
        <w:ind w:firstLine="0"/>
        <w:rPr>
          <w:color w:val="000000"/>
          <w:lang w:val="sv-SE"/>
        </w:rPr>
      </w:pPr>
      <w:r>
        <w:rPr>
          <w:color w:val="000000"/>
          <w:lang w:val="sv-SE"/>
        </w:rPr>
        <w:tab/>
        <w:t>It is worth emphasizing t</w:t>
      </w:r>
      <w:r>
        <w:rPr>
          <w:color w:val="000000"/>
        </w:rPr>
        <w:t>wo aspects of the FLQ formula: its cross-industry foundations and the explicit role given to regional size.  With the FLQ, the relative size of the</w:t>
      </w:r>
      <w:r w:rsidRPr="00A07F3E">
        <w:rPr>
          <w:color w:val="000000"/>
        </w:rPr>
        <w:t xml:space="preserve"> </w:t>
      </w:r>
      <w:r w:rsidRPr="008E547C">
        <w:rPr>
          <w:color w:val="000000"/>
        </w:rPr>
        <w:t xml:space="preserve">regional </w:t>
      </w:r>
      <w:r>
        <w:rPr>
          <w:color w:val="000000"/>
        </w:rPr>
        <w:t xml:space="preserve">purchasing and </w:t>
      </w:r>
      <w:r w:rsidRPr="008E547C">
        <w:rPr>
          <w:color w:val="000000"/>
        </w:rPr>
        <w:t>supplying sector</w:t>
      </w:r>
      <w:r>
        <w:rPr>
          <w:color w:val="000000"/>
        </w:rPr>
        <w:t>s</w:t>
      </w:r>
      <w:r w:rsidRPr="008E547C">
        <w:rPr>
          <w:color w:val="000000"/>
        </w:rPr>
        <w:t xml:space="preserve"> is </w:t>
      </w:r>
      <w:r>
        <w:rPr>
          <w:color w:val="000000"/>
        </w:rPr>
        <w:t>considered when making an adjustment for inter</w:t>
      </w:r>
      <w:r w:rsidRPr="008E547C">
        <w:rPr>
          <w:color w:val="000000"/>
        </w:rPr>
        <w:t xml:space="preserve">regional </w:t>
      </w:r>
      <w:r>
        <w:rPr>
          <w:color w:val="000000"/>
        </w:rPr>
        <w:t>trade</w:t>
      </w:r>
      <w:r w:rsidRPr="009F273F">
        <w:rPr>
          <w:color w:val="000000"/>
        </w:rPr>
        <w:t>.</w:t>
      </w:r>
      <w:r>
        <w:rPr>
          <w:color w:val="000000"/>
        </w:rPr>
        <w:t xml:space="preserve">  Furthermore, b</w:t>
      </w:r>
      <w:r>
        <w:rPr>
          <w:color w:val="000000"/>
          <w:lang w:val="sv-SE"/>
        </w:rPr>
        <w:t xml:space="preserve">y taking explicit account of a region’s relative size, </w:t>
      </w:r>
      <w:r>
        <w:rPr>
          <w:color w:val="000000"/>
        </w:rPr>
        <w:t>Flegg and Tohmo (2016, p. 312) argue that</w:t>
      </w:r>
      <w:r>
        <w:rPr>
          <w:color w:val="000000"/>
          <w:lang w:val="sv-SE"/>
        </w:rPr>
        <w:t xml:space="preserve"> the FLQ should help to address the problem of cross-hauling, which is apt to be more serious in smaller regions than in larger ones.  Smaller regions are likely to be more open to interregional trade.</w:t>
      </w:r>
    </w:p>
    <w:p w:rsidR="008505CE" w:rsidRDefault="008505CE" w:rsidP="008505CE">
      <w:pPr>
        <w:widowControl w:val="0"/>
        <w:tabs>
          <w:tab w:val="left" w:pos="284"/>
          <w:tab w:val="center" w:pos="4395"/>
          <w:tab w:val="right" w:pos="8931"/>
        </w:tabs>
        <w:spacing w:after="0" w:line="480" w:lineRule="auto"/>
        <w:ind w:firstLine="0"/>
        <w:rPr>
          <w:color w:val="000000"/>
          <w:lang w:val="sv-SE"/>
        </w:rPr>
      </w:pPr>
      <w:r>
        <w:rPr>
          <w:color w:val="000000"/>
          <w:lang w:val="sv-SE"/>
        </w:rPr>
        <w:tab/>
        <w:t>It is now well established</w:t>
      </w:r>
      <w:r>
        <w:t xml:space="preserve"> that the FLQ can give more accurate results than the SLQ and CILQ.  This evidence includes, for instance, case studies of Scotland (</w:t>
      </w:r>
      <w:r>
        <w:rPr>
          <w:color w:val="000000"/>
        </w:rPr>
        <w:t>Flegg and Webber 2000), Finland (Tohmo 2004; Flegg and Tohmo 2013a</w:t>
      </w:r>
      <w:r w:rsidR="00B26B63">
        <w:rPr>
          <w:color w:val="000000"/>
        </w:rPr>
        <w:t>,</w:t>
      </w:r>
      <w:r>
        <w:rPr>
          <w:color w:val="000000"/>
        </w:rPr>
        <w:t xml:space="preserve"> 2016), Germany (Kowalewski 2015) and Argentina (Flegg et al. 2016).  Furthermore, Bonfiglio and Chelli (2008) carried out a Monte Carlo simulation of 400,000 output multipliers.  Here the FLQ clearly outperformed its predecessors in terms of yielding the best estimates of multipliers.  </w:t>
      </w:r>
    </w:p>
    <w:p w:rsidR="008505CE" w:rsidRDefault="008505CE" w:rsidP="008505CE">
      <w:pPr>
        <w:widowControl w:val="0"/>
        <w:tabs>
          <w:tab w:val="left" w:pos="284"/>
          <w:tab w:val="center" w:pos="4395"/>
          <w:tab w:val="right" w:pos="8931"/>
        </w:tabs>
        <w:spacing w:after="0" w:line="480" w:lineRule="auto"/>
        <w:ind w:firstLine="0"/>
      </w:pPr>
      <w:r>
        <w:rPr>
          <w:color w:val="000000"/>
          <w:lang w:val="sv-SE"/>
        </w:rPr>
        <w:tab/>
      </w:r>
      <w:r>
        <w:rPr>
          <w:color w:val="000000"/>
          <w:lang w:val="sv-SE"/>
        </w:rPr>
        <w:tab/>
        <w:t xml:space="preserve">A variant of the FLQ is </w:t>
      </w:r>
      <w:r>
        <w:t xml:space="preserve">the </w:t>
      </w:r>
      <w:r>
        <w:rPr>
          <w:i/>
          <w:color w:val="000000"/>
        </w:rPr>
        <w:t>augmented</w:t>
      </w:r>
      <w:r>
        <w:rPr>
          <w:color w:val="000000"/>
        </w:rPr>
        <w:t xml:space="preserve"> FLQ (AFLQ)</w:t>
      </w:r>
      <w:r w:rsidRPr="006707D4">
        <w:t xml:space="preserve"> </w:t>
      </w:r>
      <w:r>
        <w:t xml:space="preserve">formula formulated by </w:t>
      </w:r>
      <w:r>
        <w:rPr>
          <w:color w:val="000000"/>
        </w:rPr>
        <w:t xml:space="preserve">Flegg and Webber (2000), which aims to </w:t>
      </w:r>
      <w:r>
        <w:t xml:space="preserve">capture the impact of regional specialization on the size of regional </w:t>
      </w:r>
      <w:r w:rsidRPr="00F7201E">
        <w:t>input</w:t>
      </w:r>
      <w:r>
        <w:t xml:space="preserve"> coefficients.  This effect is measured via </w:t>
      </w:r>
      <w:r w:rsidRPr="00817C35">
        <w:rPr>
          <w:i/>
        </w:rPr>
        <w:t>SLQ</w:t>
      </w:r>
      <w:r>
        <w:rPr>
          <w:i/>
          <w:vertAlign w:val="subscript"/>
        </w:rPr>
        <w:t>j</w:t>
      </w:r>
      <w:r>
        <w:t>.  The AFLQ is defined as</w:t>
      </w:r>
    </w:p>
    <w:p w:rsidR="008505CE" w:rsidRDefault="008505CE" w:rsidP="008505CE">
      <w:pPr>
        <w:tabs>
          <w:tab w:val="left" w:pos="720"/>
          <w:tab w:val="center" w:pos="4440"/>
          <w:tab w:val="right" w:pos="8931"/>
        </w:tabs>
        <w:spacing w:after="0" w:line="480" w:lineRule="auto"/>
      </w:pPr>
      <w:r w:rsidRPr="00275999">
        <w:tab/>
      </w:r>
      <w:r w:rsidRPr="00275999">
        <w:tab/>
      </w:r>
      <w:r>
        <w:rPr>
          <w:i/>
        </w:rPr>
        <w:t>A</w:t>
      </w:r>
      <w:r w:rsidRPr="00817C35">
        <w:rPr>
          <w:i/>
        </w:rPr>
        <w:t>FLQ</w:t>
      </w:r>
      <w:r w:rsidRPr="00817C35">
        <w:rPr>
          <w:i/>
          <w:vertAlign w:val="subscript"/>
        </w:rPr>
        <w:t>ij</w:t>
      </w:r>
      <w:r>
        <w:rPr>
          <w:i/>
        </w:rPr>
        <w:t xml:space="preserve"> ≡ F</w:t>
      </w:r>
      <w:r w:rsidRPr="00817C35">
        <w:rPr>
          <w:i/>
        </w:rPr>
        <w:t>LQ</w:t>
      </w:r>
      <w:r w:rsidRPr="00817C35">
        <w:rPr>
          <w:i/>
          <w:vertAlign w:val="subscript"/>
        </w:rPr>
        <w:t>ij</w:t>
      </w:r>
      <w:r w:rsidRPr="00817C35">
        <w:rPr>
          <w:i/>
        </w:rPr>
        <w:t xml:space="preserve"> × </w:t>
      </w:r>
      <w:r w:rsidRPr="00F738EC">
        <w:rPr>
          <w:color w:val="000000"/>
          <w:lang w:val="sv-SE"/>
        </w:rPr>
        <w:t>log</w:t>
      </w:r>
      <w:r w:rsidRPr="00F738EC">
        <w:rPr>
          <w:color w:val="000000"/>
          <w:vertAlign w:val="subscript"/>
          <w:lang w:val="sv-SE"/>
        </w:rPr>
        <w:t>2</w:t>
      </w:r>
      <w:r w:rsidRPr="00F738EC">
        <w:rPr>
          <w:color w:val="000000"/>
          <w:lang w:val="sv-SE"/>
        </w:rPr>
        <w:t>(</w:t>
      </w:r>
      <w:r>
        <w:t>1 +</w:t>
      </w:r>
      <w:r w:rsidRPr="0090618C">
        <w:rPr>
          <w:i/>
        </w:rPr>
        <w:t xml:space="preserve"> </w:t>
      </w:r>
      <w:r w:rsidRPr="00817C35">
        <w:rPr>
          <w:i/>
        </w:rPr>
        <w:t>SLQ</w:t>
      </w:r>
      <w:r>
        <w:rPr>
          <w:i/>
          <w:vertAlign w:val="subscript"/>
        </w:rPr>
        <w:t>j</w:t>
      </w:r>
      <w:r>
        <w:t>)</w:t>
      </w:r>
      <w:r w:rsidRPr="00275999">
        <w:tab/>
        <w:t>(</w:t>
      </w:r>
      <w:r>
        <w:t>8</w:t>
      </w:r>
      <w:r w:rsidRPr="00275999">
        <w:t>)</w:t>
      </w:r>
    </w:p>
    <w:p w:rsidR="008505CE" w:rsidRPr="00F95B98" w:rsidRDefault="008505CE" w:rsidP="008505CE">
      <w:pPr>
        <w:widowControl w:val="0"/>
        <w:tabs>
          <w:tab w:val="left" w:pos="426"/>
          <w:tab w:val="center" w:pos="4395"/>
          <w:tab w:val="right" w:pos="8931"/>
        </w:tabs>
        <w:spacing w:after="0" w:line="480" w:lineRule="auto"/>
        <w:ind w:firstLine="0"/>
        <w:rPr>
          <w:color w:val="000000"/>
          <w:lang w:val="sv-SE"/>
        </w:rPr>
      </w:pPr>
      <w:r>
        <w:t xml:space="preserve">The specialization term, </w:t>
      </w:r>
      <w:r w:rsidRPr="00F738EC">
        <w:rPr>
          <w:color w:val="000000"/>
          <w:lang w:val="sv-SE"/>
        </w:rPr>
        <w:t>log</w:t>
      </w:r>
      <w:r w:rsidRPr="00F738EC">
        <w:rPr>
          <w:color w:val="000000"/>
          <w:vertAlign w:val="subscript"/>
          <w:lang w:val="sv-SE"/>
        </w:rPr>
        <w:t>2</w:t>
      </w:r>
      <w:r>
        <w:t>(1 +</w:t>
      </w:r>
      <w:r w:rsidRPr="0090618C">
        <w:rPr>
          <w:i/>
        </w:rPr>
        <w:t xml:space="preserve"> </w:t>
      </w:r>
      <w:r w:rsidRPr="00817C35">
        <w:rPr>
          <w:i/>
        </w:rPr>
        <w:t>SLQ</w:t>
      </w:r>
      <w:r>
        <w:rPr>
          <w:i/>
          <w:vertAlign w:val="subscript"/>
        </w:rPr>
        <w:t>j</w:t>
      </w:r>
      <w:r>
        <w:t>), only applies where</w:t>
      </w:r>
      <w:r w:rsidRPr="00275999">
        <w:rPr>
          <w:color w:val="000000"/>
          <w:lang w:val="sv-SE"/>
        </w:rPr>
        <w:t xml:space="preserve"> </w:t>
      </w:r>
      <w:r w:rsidRPr="00817C35">
        <w:rPr>
          <w:i/>
        </w:rPr>
        <w:t>SLQ</w:t>
      </w:r>
      <w:r>
        <w:rPr>
          <w:i/>
          <w:vertAlign w:val="subscript"/>
        </w:rPr>
        <w:t>j</w:t>
      </w:r>
      <w:r>
        <w:t xml:space="preserve"> &gt; 1</w:t>
      </w:r>
      <w:r w:rsidRPr="00F95B98">
        <w:rPr>
          <w:sz w:val="22"/>
          <w:szCs w:val="22"/>
        </w:rPr>
        <w:t xml:space="preserve"> </w:t>
      </w:r>
      <w:r w:rsidRPr="00F95B98">
        <w:t>(Flegg and Webber 2000, p. 566).</w:t>
      </w:r>
      <w:r>
        <w:t xml:space="preserve">  </w:t>
      </w:r>
      <w:r>
        <w:rPr>
          <w:color w:val="000000"/>
          <w:lang w:val="sv-SE"/>
        </w:rPr>
        <w:t xml:space="preserve">The AFLQ has the novel property that it can encompass cases where </w:t>
      </w:r>
      <w:r w:rsidRPr="005C5CDD">
        <w:rPr>
          <w:i/>
        </w:rPr>
        <w:t>r</w:t>
      </w:r>
      <w:r w:rsidRPr="005C5CDD">
        <w:rPr>
          <w:i/>
          <w:vertAlign w:val="subscript"/>
        </w:rPr>
        <w:t>ij</w:t>
      </w:r>
      <w:r>
        <w:t xml:space="preserve"> &gt; </w:t>
      </w:r>
      <w:r w:rsidRPr="005C5CDD">
        <w:rPr>
          <w:i/>
        </w:rPr>
        <w:t>a</w:t>
      </w:r>
      <w:r w:rsidRPr="005C5CDD">
        <w:rPr>
          <w:i/>
          <w:vertAlign w:val="subscript"/>
        </w:rPr>
        <w:t>ij</w:t>
      </w:r>
      <w:r>
        <w:t xml:space="preserve"> in equation (3).  As with</w:t>
      </w:r>
      <w:r w:rsidRPr="00275999">
        <w:rPr>
          <w:color w:val="000000"/>
          <w:lang w:val="sv-SE"/>
        </w:rPr>
        <w:t xml:space="preserve"> </w:t>
      </w:r>
      <w:r>
        <w:rPr>
          <w:color w:val="000000"/>
          <w:lang w:val="sv-SE"/>
        </w:rPr>
        <w:t>the FLQ</w:t>
      </w:r>
      <w:r w:rsidRPr="00275999">
        <w:rPr>
          <w:color w:val="000000"/>
          <w:lang w:val="sv-SE"/>
        </w:rPr>
        <w:t xml:space="preserve">, the </w:t>
      </w:r>
      <w:r>
        <w:rPr>
          <w:color w:val="000000"/>
          <w:lang w:val="sv-SE"/>
        </w:rPr>
        <w:t xml:space="preserve">constraint </w:t>
      </w:r>
      <w:r>
        <w:rPr>
          <w:i/>
        </w:rPr>
        <w:t>AF</w:t>
      </w:r>
      <w:r w:rsidRPr="00B0222D">
        <w:rPr>
          <w:i/>
        </w:rPr>
        <w:t>LQ</w:t>
      </w:r>
      <w:r w:rsidRPr="00B0222D">
        <w:rPr>
          <w:i/>
          <w:vertAlign w:val="subscript"/>
        </w:rPr>
        <w:t>ij</w:t>
      </w:r>
      <w:r>
        <w:t xml:space="preserve"> </w:t>
      </w:r>
      <w:r w:rsidRPr="00275999">
        <w:rPr>
          <w:color w:val="000000"/>
        </w:rPr>
        <w:t>≤ 1</w:t>
      </w:r>
      <w:r>
        <w:rPr>
          <w:color w:val="000000"/>
        </w:rPr>
        <w:t xml:space="preserve"> is imposed</w:t>
      </w:r>
      <w:r w:rsidRPr="00275999">
        <w:rPr>
          <w:color w:val="000000"/>
          <w:lang w:val="sv-SE"/>
        </w:rPr>
        <w:t>.</w:t>
      </w:r>
    </w:p>
    <w:p w:rsidR="008505CE" w:rsidRDefault="008505CE" w:rsidP="008505CE">
      <w:pPr>
        <w:widowControl w:val="0"/>
        <w:tabs>
          <w:tab w:val="left" w:pos="284"/>
          <w:tab w:val="center" w:pos="4395"/>
          <w:tab w:val="right" w:pos="8931"/>
        </w:tabs>
        <w:spacing w:after="0" w:line="480" w:lineRule="auto"/>
        <w:ind w:firstLine="0"/>
      </w:pPr>
      <w:r>
        <w:rPr>
          <w:color w:val="000000"/>
          <w:lang w:val="sv-SE"/>
        </w:rPr>
        <w:tab/>
        <w:t>Nonetheless, although the AFLQ has some theoretical merits relative to the FLQ, its empirical performance is typically very similar.  For instance, in</w:t>
      </w:r>
      <w:r>
        <w:t xml:space="preserve"> the Monte Carlo study by Bonfiglio and Chelli (2008), the AFLQ gave only slightly more accurate results than the FLQ.</w:t>
      </w:r>
      <w:r>
        <w:rPr>
          <w:b/>
          <w:vertAlign w:val="superscript"/>
        </w:rPr>
        <w:t>3</w:t>
      </w:r>
      <w:r>
        <w:t xml:space="preserve">  This outcome was confirmed by Flegg et al. (2016).  Kowalewski (2015) also tested both formulae but again obtained similar results, as did Zhao and Choi (2015, tables 7 and 8).  For this reason, along with limitations of space, only the FLQ will be examined here.</w:t>
      </w:r>
    </w:p>
    <w:p w:rsidR="008505CE" w:rsidRDefault="008505CE" w:rsidP="008505CE">
      <w:pPr>
        <w:widowControl w:val="0"/>
        <w:tabs>
          <w:tab w:val="left" w:pos="284"/>
          <w:tab w:val="center" w:pos="4395"/>
          <w:tab w:val="right" w:pos="8931"/>
        </w:tabs>
        <w:spacing w:after="0" w:line="480" w:lineRule="auto"/>
        <w:ind w:firstLine="0"/>
      </w:pPr>
      <w:r>
        <w:tab/>
        <w:t xml:space="preserve">Another variant of the FLQ is proposed by Kowalewski (2015).  Her innovative approach involves relaxing the assumption that the value of </w:t>
      </w:r>
      <w:r w:rsidRPr="00B335EC">
        <w:rPr>
          <w:i/>
          <w:color w:val="000000"/>
        </w:rPr>
        <w:t>δ</w:t>
      </w:r>
      <w:r w:rsidRPr="00275999">
        <w:rPr>
          <w:color w:val="000000"/>
        </w:rPr>
        <w:t xml:space="preserve"> </w:t>
      </w:r>
      <w:r>
        <w:rPr>
          <w:color w:val="000000"/>
        </w:rPr>
        <w:t xml:space="preserve">is </w:t>
      </w:r>
      <w:r w:rsidRPr="00275999">
        <w:rPr>
          <w:color w:val="000000"/>
        </w:rPr>
        <w:t>in</w:t>
      </w:r>
      <w:r>
        <w:rPr>
          <w:color w:val="000000"/>
        </w:rPr>
        <w:t xml:space="preserve">variant across regions.  The effectiveness of this approach is assessed by </w:t>
      </w:r>
      <w:r>
        <w:t>Zhao and Choi (2015), whose findings are re-examined in the next section.</w:t>
      </w:r>
    </w:p>
    <w:p w:rsidR="008505CE" w:rsidRDefault="008505CE" w:rsidP="008505CE">
      <w:pPr>
        <w:widowControl w:val="0"/>
        <w:tabs>
          <w:tab w:val="left" w:pos="284"/>
          <w:tab w:val="center" w:pos="4395"/>
          <w:tab w:val="right" w:pos="8931"/>
        </w:tabs>
        <w:spacing w:after="0" w:line="480" w:lineRule="auto"/>
        <w:ind w:firstLine="0"/>
        <w:rPr>
          <w:color w:val="000000"/>
        </w:rPr>
      </w:pPr>
      <w:r>
        <w:rPr>
          <w:color w:val="000000"/>
        </w:rPr>
        <w:tab/>
        <w:t>Kowalewski’s industry-specific FLQ, the SFLQ, is defined as</w:t>
      </w:r>
    </w:p>
    <w:p w:rsidR="008505CE" w:rsidRDefault="008505CE" w:rsidP="008505CE">
      <w:pPr>
        <w:widowControl w:val="0"/>
        <w:tabs>
          <w:tab w:val="center" w:pos="4395"/>
          <w:tab w:val="right" w:pos="8931"/>
        </w:tabs>
        <w:spacing w:after="0" w:line="480" w:lineRule="auto"/>
        <w:ind w:firstLine="0"/>
        <w:jc w:val="center"/>
        <w:rPr>
          <w:color w:val="000000"/>
        </w:rPr>
      </w:pPr>
      <w:r>
        <w:rPr>
          <w:i/>
        </w:rPr>
        <w:tab/>
        <w:t>S</w:t>
      </w:r>
      <w:r w:rsidRPr="00817C35">
        <w:rPr>
          <w:i/>
        </w:rPr>
        <w:t>FLQ</w:t>
      </w:r>
      <w:r w:rsidRPr="00817C35">
        <w:rPr>
          <w:i/>
          <w:vertAlign w:val="subscript"/>
        </w:rPr>
        <w:t>ij</w:t>
      </w:r>
      <w:r>
        <w:rPr>
          <w:i/>
        </w:rPr>
        <w:t xml:space="preserve"> ≡ CI</w:t>
      </w:r>
      <w:r w:rsidRPr="00817C35">
        <w:rPr>
          <w:i/>
        </w:rPr>
        <w:t>LQ</w:t>
      </w:r>
      <w:r w:rsidRPr="00817C35">
        <w:rPr>
          <w:i/>
          <w:vertAlign w:val="subscript"/>
        </w:rPr>
        <w:t>ij</w:t>
      </w:r>
      <w:r w:rsidRPr="00817C35">
        <w:rPr>
          <w:i/>
        </w:rPr>
        <w:t xml:space="preserve"> × </w:t>
      </w:r>
      <w:r w:rsidRPr="00975725">
        <w:t>[</w:t>
      </w:r>
      <w:r w:rsidRPr="00F738EC">
        <w:rPr>
          <w:color w:val="000000"/>
          <w:lang w:val="sv-SE"/>
        </w:rPr>
        <w:t>log</w:t>
      </w:r>
      <w:r w:rsidRPr="00F738EC">
        <w:rPr>
          <w:color w:val="000000"/>
          <w:vertAlign w:val="subscript"/>
          <w:lang w:val="sv-SE"/>
        </w:rPr>
        <w:t>2</w:t>
      </w:r>
      <w:r w:rsidRPr="00F738EC">
        <w:rPr>
          <w:color w:val="000000"/>
          <w:lang w:val="sv-SE"/>
        </w:rPr>
        <w:t>(</w:t>
      </w:r>
      <w:r>
        <w:t>1 +</w:t>
      </w:r>
      <w:r w:rsidRPr="0090618C">
        <w:rPr>
          <w:i/>
        </w:rPr>
        <w:t xml:space="preserve"> </w:t>
      </w:r>
      <w:r>
        <w:rPr>
          <w:i/>
        </w:rPr>
        <w:t>E</w:t>
      </w:r>
      <w:r>
        <w:rPr>
          <w:i/>
          <w:vertAlign w:val="superscript"/>
        </w:rPr>
        <w:t>r</w:t>
      </w:r>
      <w:r>
        <w:rPr>
          <w:i/>
        </w:rPr>
        <w:t>/E</w:t>
      </w:r>
      <w:r>
        <w:rPr>
          <w:i/>
          <w:vertAlign w:val="superscript"/>
        </w:rPr>
        <w:t>n</w:t>
      </w:r>
      <w:r>
        <w:t>)]</w:t>
      </w:r>
      <w:r w:rsidRPr="006922E6">
        <w:rPr>
          <w:i/>
          <w:vertAlign w:val="superscript"/>
        </w:rPr>
        <w:t>δj</w:t>
      </w:r>
      <w:r>
        <w:tab/>
      </w:r>
      <w:r w:rsidRPr="00275999">
        <w:t>(</w:t>
      </w:r>
      <w:r>
        <w:t>9</w:t>
      </w:r>
      <w:r w:rsidRPr="00275999">
        <w:t>)</w:t>
      </w:r>
    </w:p>
    <w:p w:rsidR="008505CE" w:rsidRDefault="008505CE" w:rsidP="008505CE">
      <w:pPr>
        <w:widowControl w:val="0"/>
        <w:tabs>
          <w:tab w:val="left" w:pos="284"/>
          <w:tab w:val="center" w:pos="4395"/>
          <w:tab w:val="right" w:pos="8931"/>
        </w:tabs>
        <w:spacing w:after="0" w:line="480" w:lineRule="auto"/>
        <w:ind w:firstLine="0"/>
        <w:rPr>
          <w:color w:val="000000"/>
        </w:rPr>
      </w:pPr>
      <w:r>
        <w:rPr>
          <w:color w:val="000000"/>
        </w:rPr>
        <w:t xml:space="preserve">where </w:t>
      </w:r>
      <w:r>
        <w:rPr>
          <w:i/>
        </w:rPr>
        <w:t>E</w:t>
      </w:r>
      <w:r>
        <w:rPr>
          <w:i/>
          <w:vertAlign w:val="superscript"/>
        </w:rPr>
        <w:t>r</w:t>
      </w:r>
      <w:r>
        <w:rPr>
          <w:i/>
        </w:rPr>
        <w:t>/E</w:t>
      </w:r>
      <w:r>
        <w:rPr>
          <w:i/>
          <w:vertAlign w:val="superscript"/>
        </w:rPr>
        <w:t>n</w:t>
      </w:r>
      <w:r>
        <w:t xml:space="preserve"> is regional size measured in terms of employment.  In order to estimate the values of </w:t>
      </w:r>
      <w:r w:rsidRPr="00B335EC">
        <w:rPr>
          <w:i/>
          <w:color w:val="000000"/>
        </w:rPr>
        <w:t>δ</w:t>
      </w:r>
      <w:r>
        <w:rPr>
          <w:i/>
          <w:color w:val="000000"/>
          <w:vertAlign w:val="subscript"/>
        </w:rPr>
        <w:t>j</w:t>
      </w:r>
      <w:r>
        <w:rPr>
          <w:color w:val="000000"/>
        </w:rPr>
        <w:t xml:space="preserve">, </w:t>
      </w:r>
      <w:r>
        <w:t>Kowalewski</w:t>
      </w:r>
      <w:r>
        <w:rPr>
          <w:color w:val="000000"/>
        </w:rPr>
        <w:t xml:space="preserve"> specifies a regression model of the following form</w:t>
      </w:r>
    </w:p>
    <w:p w:rsidR="008505CE" w:rsidRDefault="008505CE" w:rsidP="008505CE">
      <w:pPr>
        <w:widowControl w:val="0"/>
        <w:tabs>
          <w:tab w:val="left" w:pos="284"/>
          <w:tab w:val="center" w:pos="4395"/>
          <w:tab w:val="right" w:pos="8931"/>
        </w:tabs>
        <w:spacing w:after="0" w:line="480" w:lineRule="auto"/>
        <w:ind w:firstLine="0"/>
        <w:jc w:val="center"/>
        <w:rPr>
          <w:color w:val="000000"/>
        </w:rPr>
      </w:pPr>
      <w:r>
        <w:rPr>
          <w:i/>
          <w:color w:val="000000"/>
        </w:rPr>
        <w:tab/>
      </w:r>
      <w:r>
        <w:rPr>
          <w:i/>
          <w:color w:val="000000"/>
        </w:rPr>
        <w:tab/>
      </w:r>
      <w:r w:rsidRPr="00B335EC">
        <w:rPr>
          <w:i/>
          <w:color w:val="000000"/>
        </w:rPr>
        <w:t>δ</w:t>
      </w:r>
      <w:r>
        <w:rPr>
          <w:i/>
          <w:color w:val="000000"/>
          <w:vertAlign w:val="subscript"/>
        </w:rPr>
        <w:t>j</w:t>
      </w:r>
      <w:r w:rsidRPr="002333F2">
        <w:rPr>
          <w:color w:val="000000"/>
        </w:rPr>
        <w:t xml:space="preserve"> = </w:t>
      </w:r>
      <w:r w:rsidRPr="00AA3093">
        <w:rPr>
          <w:i/>
          <w:color w:val="000000"/>
        </w:rPr>
        <w:t>α + β</w:t>
      </w:r>
      <w:r w:rsidRPr="00AA3093">
        <w:rPr>
          <w:i/>
          <w:color w:val="000000"/>
          <w:vertAlign w:val="subscript"/>
        </w:rPr>
        <w:t xml:space="preserve">1 </w:t>
      </w:r>
      <w:r w:rsidRPr="00AA3093">
        <w:rPr>
          <w:i/>
          <w:color w:val="000000"/>
        </w:rPr>
        <w:t>CL</w:t>
      </w:r>
      <w:r w:rsidRPr="00AA3093">
        <w:rPr>
          <w:i/>
          <w:color w:val="000000"/>
          <w:vertAlign w:val="subscript"/>
        </w:rPr>
        <w:t>j</w:t>
      </w:r>
      <w:r w:rsidRPr="00AA3093">
        <w:rPr>
          <w:i/>
          <w:color w:val="000000"/>
        </w:rPr>
        <w:t xml:space="preserve"> + β</w:t>
      </w:r>
      <w:r w:rsidRPr="00AA3093">
        <w:rPr>
          <w:i/>
          <w:color w:val="000000"/>
          <w:vertAlign w:val="subscript"/>
        </w:rPr>
        <w:t xml:space="preserve">2 </w:t>
      </w:r>
      <w:r w:rsidRPr="00AA3093">
        <w:rPr>
          <w:i/>
          <w:color w:val="000000"/>
        </w:rPr>
        <w:t>SLQ</w:t>
      </w:r>
      <w:r w:rsidRPr="00AA3093">
        <w:rPr>
          <w:i/>
          <w:color w:val="000000"/>
          <w:vertAlign w:val="subscript"/>
        </w:rPr>
        <w:t>j</w:t>
      </w:r>
      <w:r w:rsidRPr="00AA3093">
        <w:rPr>
          <w:i/>
          <w:color w:val="000000"/>
        </w:rPr>
        <w:t xml:space="preserve"> + β</w:t>
      </w:r>
      <w:r w:rsidRPr="00AA3093">
        <w:rPr>
          <w:i/>
          <w:color w:val="000000"/>
          <w:vertAlign w:val="subscript"/>
        </w:rPr>
        <w:t xml:space="preserve">3 </w:t>
      </w:r>
      <w:r w:rsidRPr="00AA3093">
        <w:rPr>
          <w:i/>
          <w:color w:val="000000"/>
        </w:rPr>
        <w:t>IM</w:t>
      </w:r>
      <w:r w:rsidRPr="00AA3093">
        <w:rPr>
          <w:i/>
          <w:color w:val="000000"/>
          <w:vertAlign w:val="subscript"/>
        </w:rPr>
        <w:t>j</w:t>
      </w:r>
      <w:r w:rsidRPr="00AA3093">
        <w:rPr>
          <w:i/>
          <w:color w:val="000000"/>
        </w:rPr>
        <w:t xml:space="preserve"> + β</w:t>
      </w:r>
      <w:r w:rsidRPr="00AA3093">
        <w:rPr>
          <w:i/>
          <w:color w:val="000000"/>
          <w:vertAlign w:val="subscript"/>
        </w:rPr>
        <w:t xml:space="preserve">4 </w:t>
      </w:r>
      <w:r w:rsidRPr="00AA3093">
        <w:rPr>
          <w:i/>
          <w:color w:val="000000"/>
        </w:rPr>
        <w:t>VA</w:t>
      </w:r>
      <w:r w:rsidRPr="00AA3093">
        <w:rPr>
          <w:i/>
          <w:color w:val="000000"/>
          <w:vertAlign w:val="subscript"/>
        </w:rPr>
        <w:t>j</w:t>
      </w:r>
      <w:r w:rsidRPr="00AA3093">
        <w:rPr>
          <w:i/>
          <w:color w:val="000000"/>
        </w:rPr>
        <w:t xml:space="preserve"> + ε</w:t>
      </w:r>
      <w:r w:rsidRPr="00AA3093">
        <w:rPr>
          <w:i/>
          <w:color w:val="000000"/>
          <w:vertAlign w:val="subscript"/>
        </w:rPr>
        <w:t>j</w:t>
      </w:r>
      <w:r>
        <w:rPr>
          <w:color w:val="000000"/>
        </w:rPr>
        <w:tab/>
        <w:t>(10)</w:t>
      </w:r>
    </w:p>
    <w:p w:rsidR="008505CE" w:rsidRDefault="008505CE" w:rsidP="008505CE">
      <w:pPr>
        <w:widowControl w:val="0"/>
        <w:tabs>
          <w:tab w:val="left" w:pos="720"/>
          <w:tab w:val="center" w:pos="4440"/>
          <w:tab w:val="right" w:pos="8931"/>
        </w:tabs>
        <w:spacing w:after="0" w:line="480" w:lineRule="auto"/>
        <w:ind w:firstLine="0"/>
        <w:rPr>
          <w:color w:val="000000"/>
        </w:rPr>
      </w:pPr>
      <w:r>
        <w:rPr>
          <w:color w:val="000000"/>
        </w:rPr>
        <w:t xml:space="preserve">where </w:t>
      </w:r>
      <w:r w:rsidRPr="00AA3093">
        <w:rPr>
          <w:i/>
          <w:color w:val="000000"/>
        </w:rPr>
        <w:t>CL</w:t>
      </w:r>
      <w:r w:rsidRPr="00AA3093">
        <w:rPr>
          <w:i/>
          <w:color w:val="000000"/>
          <w:vertAlign w:val="subscript"/>
        </w:rPr>
        <w:t>j</w:t>
      </w:r>
      <w:r>
        <w:rPr>
          <w:color w:val="000000"/>
        </w:rPr>
        <w:t xml:space="preserve"> is the coefficient of localization, which measures the degree of concentration of national industry </w:t>
      </w:r>
      <w:r>
        <w:rPr>
          <w:i/>
          <w:color w:val="000000"/>
        </w:rPr>
        <w:t>j</w:t>
      </w:r>
      <w:r>
        <w:rPr>
          <w:color w:val="000000"/>
        </w:rPr>
        <w:t>,</w:t>
      </w:r>
      <w:r w:rsidRPr="00AA3093">
        <w:rPr>
          <w:i/>
          <w:color w:val="000000"/>
        </w:rPr>
        <w:t xml:space="preserve"> IM</w:t>
      </w:r>
      <w:r w:rsidRPr="00AA3093">
        <w:rPr>
          <w:i/>
          <w:color w:val="000000"/>
          <w:vertAlign w:val="subscript"/>
        </w:rPr>
        <w:t>j</w:t>
      </w:r>
      <w:r>
        <w:rPr>
          <w:color w:val="000000"/>
        </w:rPr>
        <w:t xml:space="preserve"> is the share of foreign imports in total national intermediate inputs, </w:t>
      </w:r>
      <w:r w:rsidRPr="00AA3093">
        <w:rPr>
          <w:i/>
          <w:color w:val="000000"/>
        </w:rPr>
        <w:t>VA</w:t>
      </w:r>
      <w:r w:rsidRPr="00AA3093">
        <w:rPr>
          <w:i/>
          <w:color w:val="000000"/>
          <w:vertAlign w:val="subscript"/>
        </w:rPr>
        <w:t>j</w:t>
      </w:r>
      <w:r>
        <w:rPr>
          <w:color w:val="000000"/>
        </w:rPr>
        <w:t xml:space="preserve"> is the share of value added in total national output and </w:t>
      </w:r>
      <w:r w:rsidRPr="00AA3093">
        <w:rPr>
          <w:i/>
          <w:color w:val="000000"/>
        </w:rPr>
        <w:t>ε</w:t>
      </w:r>
      <w:r w:rsidRPr="00AA3093">
        <w:rPr>
          <w:i/>
          <w:color w:val="000000"/>
          <w:vertAlign w:val="subscript"/>
        </w:rPr>
        <w:t>j</w:t>
      </w:r>
      <w:r>
        <w:rPr>
          <w:color w:val="000000"/>
        </w:rPr>
        <w:t xml:space="preserve"> is an error term.</w:t>
      </w:r>
      <w:r w:rsidR="0065113C">
        <w:rPr>
          <w:color w:val="000000"/>
        </w:rPr>
        <w:t xml:space="preserve"> </w:t>
      </w:r>
      <w:r>
        <w:rPr>
          <w:color w:val="000000"/>
        </w:rPr>
        <w:t xml:space="preserve"> </w:t>
      </w:r>
      <w:r w:rsidR="0065113C">
        <w:rPr>
          <w:color w:val="000000"/>
        </w:rPr>
        <w:t xml:space="preserve">Regional data are </w:t>
      </w:r>
      <w:r w:rsidR="004F70C0">
        <w:rPr>
          <w:color w:val="000000"/>
        </w:rPr>
        <w:t>needed</w:t>
      </w:r>
      <w:r w:rsidR="0065113C">
        <w:rPr>
          <w:color w:val="000000"/>
        </w:rPr>
        <w:t xml:space="preserve"> for </w:t>
      </w:r>
      <w:r w:rsidR="0065113C" w:rsidRPr="00AA3093">
        <w:rPr>
          <w:i/>
          <w:color w:val="000000"/>
        </w:rPr>
        <w:t>SLQ</w:t>
      </w:r>
      <w:r w:rsidR="0065113C" w:rsidRPr="00AA3093">
        <w:rPr>
          <w:i/>
          <w:color w:val="000000"/>
          <w:vertAlign w:val="subscript"/>
        </w:rPr>
        <w:t>j</w:t>
      </w:r>
      <w:r w:rsidR="0065113C">
        <w:rPr>
          <w:color w:val="000000"/>
        </w:rPr>
        <w:t xml:space="preserve">, whereas </w:t>
      </w:r>
      <w:r w:rsidR="00C73304" w:rsidRPr="00AA3093">
        <w:rPr>
          <w:i/>
          <w:color w:val="000000"/>
        </w:rPr>
        <w:t>CL</w:t>
      </w:r>
      <w:r w:rsidR="00C73304" w:rsidRPr="00AA3093">
        <w:rPr>
          <w:i/>
          <w:color w:val="000000"/>
          <w:vertAlign w:val="subscript"/>
        </w:rPr>
        <w:t>j</w:t>
      </w:r>
      <w:r w:rsidR="00C73304">
        <w:rPr>
          <w:color w:val="000000"/>
        </w:rPr>
        <w:t xml:space="preserve">, </w:t>
      </w:r>
      <w:r w:rsidR="00C73304" w:rsidRPr="00AA3093">
        <w:rPr>
          <w:i/>
          <w:color w:val="000000"/>
        </w:rPr>
        <w:t>IM</w:t>
      </w:r>
      <w:r w:rsidR="00C73304" w:rsidRPr="00AA3093">
        <w:rPr>
          <w:i/>
          <w:color w:val="000000"/>
          <w:vertAlign w:val="subscript"/>
        </w:rPr>
        <w:t>j</w:t>
      </w:r>
      <w:r w:rsidR="00C73304">
        <w:rPr>
          <w:color w:val="000000"/>
        </w:rPr>
        <w:t xml:space="preserve"> and </w:t>
      </w:r>
      <w:r w:rsidR="00C73304" w:rsidRPr="00AA3093">
        <w:rPr>
          <w:i/>
          <w:color w:val="000000"/>
        </w:rPr>
        <w:t>VA</w:t>
      </w:r>
      <w:r w:rsidR="00C73304" w:rsidRPr="00AA3093">
        <w:rPr>
          <w:i/>
          <w:color w:val="000000"/>
          <w:vertAlign w:val="subscript"/>
        </w:rPr>
        <w:t>j</w:t>
      </w:r>
      <w:r w:rsidR="00C73304">
        <w:rPr>
          <w:color w:val="000000"/>
        </w:rPr>
        <w:t xml:space="preserve"> </w:t>
      </w:r>
      <w:r w:rsidR="0065113C">
        <w:rPr>
          <w:color w:val="000000"/>
        </w:rPr>
        <w:t>require</w:t>
      </w:r>
      <w:r w:rsidR="00C73304">
        <w:rPr>
          <w:color w:val="000000"/>
        </w:rPr>
        <w:t xml:space="preserve"> national data</w:t>
      </w:r>
      <w:r w:rsidR="0065113C">
        <w:rPr>
          <w:color w:val="000000"/>
        </w:rPr>
        <w:t xml:space="preserve">. </w:t>
      </w:r>
      <w:r w:rsidR="00C73304">
        <w:rPr>
          <w:color w:val="000000"/>
        </w:rPr>
        <w:t xml:space="preserve"> </w:t>
      </w:r>
      <w:r w:rsidRPr="00AA3093">
        <w:rPr>
          <w:i/>
          <w:color w:val="000000"/>
        </w:rPr>
        <w:t>CL</w:t>
      </w:r>
      <w:r w:rsidRPr="00AA3093">
        <w:rPr>
          <w:i/>
          <w:color w:val="000000"/>
          <w:vertAlign w:val="subscript"/>
        </w:rPr>
        <w:t>j</w:t>
      </w:r>
      <w:r>
        <w:rPr>
          <w:color w:val="000000"/>
        </w:rPr>
        <w:t xml:space="preserve"> is calculated as</w:t>
      </w:r>
    </w:p>
    <w:p w:rsidR="009147F5" w:rsidRPr="0044153C" w:rsidRDefault="008505CE" w:rsidP="0065113C">
      <w:pPr>
        <w:widowControl w:val="0"/>
        <w:tabs>
          <w:tab w:val="left" w:pos="720"/>
          <w:tab w:val="center" w:pos="4440"/>
          <w:tab w:val="right" w:pos="8931"/>
        </w:tabs>
        <w:spacing w:after="0" w:line="480" w:lineRule="auto"/>
        <w:jc w:val="center"/>
      </w:pPr>
      <w:r>
        <w:tab/>
      </w:r>
      <w:r>
        <w:tab/>
      </w:r>
      <w:r w:rsidRPr="00FB684F">
        <w:rPr>
          <w:position w:val="-36"/>
        </w:rPr>
        <w:object w:dxaOrig="2260" w:dyaOrig="840">
          <v:shape id="_x0000_i1033" type="#_x0000_t75" style="width:118.95pt;height:42.55pt" o:ole="" fillcolor="window">
            <v:imagedata r:id="rId27" o:title=""/>
          </v:shape>
          <o:OLEObject Type="Embed" ProgID="Equation.3" ShapeID="_x0000_i1033" DrawAspect="Content" ObjectID="_1524667220" r:id="rId28"/>
        </w:object>
      </w:r>
      <w:r>
        <w:tab/>
      </w:r>
      <w:r w:rsidRPr="00CD065D">
        <w:t>(</w:t>
      </w:r>
      <w:r>
        <w:t>11</w:t>
      </w:r>
      <w:r w:rsidRPr="00CD065D">
        <w:t>)</w:t>
      </w:r>
    </w:p>
    <w:p w:rsidR="008505CE" w:rsidRDefault="008505CE" w:rsidP="008505CE">
      <w:pPr>
        <w:widowControl w:val="0"/>
        <w:tabs>
          <w:tab w:val="left" w:pos="284"/>
          <w:tab w:val="right" w:pos="8931"/>
        </w:tabs>
        <w:spacing w:after="0" w:line="480" w:lineRule="auto"/>
        <w:ind w:firstLine="0"/>
      </w:pPr>
      <w:r>
        <w:rPr>
          <w:color w:val="000000"/>
        </w:rPr>
        <w:tab/>
      </w:r>
      <w:r w:rsidR="0044153C">
        <w:rPr>
          <w:color w:val="000000"/>
        </w:rPr>
        <w:t>T</w:t>
      </w:r>
      <w:r>
        <w:t xml:space="preserve">he FLQ’s focus is on the output and employment generated within a </w:t>
      </w:r>
      <w:r w:rsidR="00640394">
        <w:t>specific</w:t>
      </w:r>
      <w:r>
        <w:t xml:space="preserve"> region.  As </w:t>
      </w:r>
      <w:r w:rsidRPr="00E96D57">
        <w:rPr>
          <w:color w:val="000000"/>
        </w:rPr>
        <w:t>Flegg and Tohmo</w:t>
      </w:r>
      <w:r>
        <w:rPr>
          <w:color w:val="000000"/>
        </w:rPr>
        <w:t xml:space="preserve"> (</w:t>
      </w:r>
      <w:r w:rsidRPr="00E96D57">
        <w:t>2013b</w:t>
      </w:r>
      <w:r>
        <w:t>) point out, it</w:t>
      </w:r>
      <w:r w:rsidRPr="001A6A90">
        <w:t xml:space="preserve"> </w:t>
      </w:r>
      <w:r>
        <w:t xml:space="preserve">should only be used in conjunction with national </w:t>
      </w:r>
      <w:r w:rsidRPr="000A6DC5">
        <w:t>input</w:t>
      </w:r>
      <w:r w:rsidRPr="00F7201E">
        <w:sym w:font="Symbol" w:char="F02D"/>
      </w:r>
      <w:r w:rsidRPr="000A6DC5">
        <w:t>output tables</w:t>
      </w:r>
      <w:r>
        <w:t xml:space="preserve"> where the inter-industry transactions exclude </w:t>
      </w:r>
      <w:r w:rsidRPr="000A6DC5">
        <w:t>imports</w:t>
      </w:r>
      <w:r>
        <w:t xml:space="preserve"> (type B tables).  By contrast, where the </w:t>
      </w:r>
      <w:r w:rsidR="0044153C">
        <w:t>focus</w:t>
      </w:r>
      <w:r>
        <w:t xml:space="preserve"> is on the overall supply of goods, </w:t>
      </w:r>
      <w:r>
        <w:rPr>
          <w:lang w:val="en-US"/>
        </w:rPr>
        <w:t>Kronenberg’s Cross-Hauling Adjusted Regionalization Method (CHARM)</w:t>
      </w:r>
      <w:r w:rsidRPr="00440D9A">
        <w:t xml:space="preserve"> </w:t>
      </w:r>
      <w:r>
        <w:t xml:space="preserve">can be </w:t>
      </w:r>
      <w:r w:rsidR="00640394">
        <w:t>employed</w:t>
      </w:r>
      <w:r>
        <w:t xml:space="preserve"> (Flegg et al. 2015; </w:t>
      </w:r>
      <w:r w:rsidRPr="007A7BEC">
        <w:t>Többen and Kronenberg 2015).</w:t>
      </w:r>
      <w:r>
        <w:t xml:space="preserve">  CHARM requires type </w:t>
      </w:r>
      <w:r w:rsidRPr="004C20F8">
        <w:t>A</w:t>
      </w:r>
      <w:r>
        <w:t xml:space="preserve"> tables, those </w:t>
      </w:r>
      <w:r w:rsidRPr="000A6DC5">
        <w:t>where imports</w:t>
      </w:r>
      <w:r>
        <w:t xml:space="preserve"> </w:t>
      </w:r>
      <w:r w:rsidRPr="000A6DC5">
        <w:t>have been inc</w:t>
      </w:r>
      <w:r>
        <w:t>orporated</w:t>
      </w:r>
      <w:r w:rsidRPr="000A6DC5">
        <w:t xml:space="preserve"> in</w:t>
      </w:r>
      <w:r>
        <w:t>to</w:t>
      </w:r>
      <w:r w:rsidRPr="000A6DC5">
        <w:t xml:space="preserve"> the </w:t>
      </w:r>
      <w:r>
        <w:t xml:space="preserve">national transactions </w:t>
      </w:r>
      <w:r w:rsidRPr="000A6DC5">
        <w:t>table</w:t>
      </w:r>
      <w:r>
        <w:t xml:space="preserve"> (</w:t>
      </w:r>
      <w:r>
        <w:rPr>
          <w:lang w:val="en-US"/>
        </w:rPr>
        <w:t>Kronenberg 2009</w:t>
      </w:r>
      <w:r w:rsidR="00B26B63">
        <w:rPr>
          <w:lang w:val="en-US"/>
        </w:rPr>
        <w:t>,</w:t>
      </w:r>
      <w:r>
        <w:rPr>
          <w:lang w:val="en-US"/>
        </w:rPr>
        <w:t xml:space="preserve"> 2012</w:t>
      </w:r>
      <w:r>
        <w:t>).</w:t>
      </w:r>
    </w:p>
    <w:p w:rsidR="008505CE" w:rsidRDefault="008505CE" w:rsidP="008505CE">
      <w:pPr>
        <w:tabs>
          <w:tab w:val="left" w:pos="284"/>
        </w:tabs>
        <w:spacing w:after="0" w:line="480" w:lineRule="auto"/>
        <w:ind w:firstLine="0"/>
      </w:pPr>
      <w:r>
        <w:tab/>
        <w:t xml:space="preserve">Nevertheless, Zhao and Choi (2015) employ type A national tables in their study.  This choice can be expected to cause an upward bias in the estimated type I output multipliers.  Furthermore, the optimal values of </w:t>
      </w:r>
      <w:r w:rsidRPr="00B335EC">
        <w:rPr>
          <w:i/>
          <w:color w:val="000000"/>
        </w:rPr>
        <w:t>δ</w:t>
      </w:r>
      <w:r w:rsidRPr="00275999">
        <w:rPr>
          <w:color w:val="000000"/>
        </w:rPr>
        <w:t xml:space="preserve"> </w:t>
      </w:r>
      <w:r>
        <w:rPr>
          <w:color w:val="000000"/>
        </w:rPr>
        <w:t>are likely to be overstated and the accuracy of the FLQ understated.</w:t>
      </w:r>
      <w:r>
        <w:t xml:space="preserve">  These expected outcomes are confirmed in the next section.</w:t>
      </w:r>
    </w:p>
    <w:p w:rsidR="008505CE" w:rsidRDefault="008505CE" w:rsidP="008505CE">
      <w:pPr>
        <w:spacing w:after="0"/>
        <w:ind w:firstLine="0"/>
        <w:jc w:val="left"/>
        <w:rPr>
          <w:lang w:val="en-US"/>
        </w:rPr>
      </w:pPr>
    </w:p>
    <w:p w:rsidR="008505CE" w:rsidRDefault="008505CE" w:rsidP="008505CE">
      <w:pPr>
        <w:spacing w:after="0" w:line="480" w:lineRule="auto"/>
        <w:ind w:firstLine="0"/>
        <w:jc w:val="left"/>
        <w:rPr>
          <w:b/>
        </w:rPr>
      </w:pPr>
      <w:r>
        <w:rPr>
          <w:b/>
          <w:lang w:val="en-US"/>
        </w:rPr>
        <w:t>3</w:t>
      </w:r>
      <w:r w:rsidRPr="00812803">
        <w:rPr>
          <w:b/>
          <w:lang w:val="en-US"/>
        </w:rPr>
        <w:t xml:space="preserve">  </w:t>
      </w:r>
      <w:r w:rsidRPr="009726F8">
        <w:rPr>
          <w:b/>
        </w:rPr>
        <w:t>Zhao and Choi</w:t>
      </w:r>
      <w:r>
        <w:rPr>
          <w:b/>
        </w:rPr>
        <w:t>’s study</w:t>
      </w:r>
    </w:p>
    <w:p w:rsidR="008505CE" w:rsidRDefault="008505CE" w:rsidP="008505CE">
      <w:pPr>
        <w:spacing w:after="0" w:line="480" w:lineRule="auto"/>
        <w:ind w:firstLine="0"/>
        <w:jc w:val="left"/>
        <w:rPr>
          <w:lang w:val="en-US"/>
        </w:rPr>
      </w:pPr>
      <w:r>
        <w:rPr>
          <w:b/>
        </w:rPr>
        <w:t>3.1  The SLQ, CILQ and FLQ</w:t>
      </w:r>
    </w:p>
    <w:p w:rsidR="008505CE" w:rsidRDefault="008505CE" w:rsidP="008505CE">
      <w:pPr>
        <w:widowControl w:val="0"/>
        <w:tabs>
          <w:tab w:val="left" w:pos="284"/>
          <w:tab w:val="right" w:pos="8931"/>
        </w:tabs>
        <w:spacing w:after="0" w:line="480" w:lineRule="auto"/>
        <w:ind w:firstLine="0"/>
      </w:pPr>
      <w:r>
        <w:t>Zhao and Choi based their analysis on a 28 × 28 national technological coefficient matrix for 2005 produced by the Bank of Korea.  The authors regionalized this survey-based matrix by applying various LQ-based formulae calculated using employment data.  The Bank divided the country into 16 regions and computed type I output multipliers for each region.  Zhao and Choi chose to study two regions in detail, namely Daegu and Gyeongbuk, and used the Bank’s regional multipliers as a benchmark for assessing the accuracy of their simulations.  As criteria, they used the mean absolute distance and the mean absolute percentage error (MAPE).  However, the results from these two measures hardly differed, so only MAPE will be considered here. It was calculated via the formula</w:t>
      </w:r>
    </w:p>
    <w:p w:rsidR="008505CE" w:rsidRDefault="008505CE" w:rsidP="008505CE">
      <w:pPr>
        <w:widowControl w:val="0"/>
        <w:tabs>
          <w:tab w:val="left" w:pos="284"/>
          <w:tab w:val="center" w:pos="4395"/>
          <w:tab w:val="right" w:pos="8931"/>
        </w:tabs>
        <w:spacing w:after="0" w:line="480" w:lineRule="auto"/>
        <w:ind w:firstLine="0"/>
        <w:jc w:val="center"/>
      </w:pPr>
      <w:r>
        <w:tab/>
      </w:r>
      <w:r>
        <w:tab/>
        <w:t>MAPE</w:t>
      </w:r>
      <w:r w:rsidRPr="0009111F">
        <w:t xml:space="preserve"> = </w:t>
      </w:r>
      <w:r>
        <w:t>(</w:t>
      </w:r>
      <w:r w:rsidRPr="0009111F">
        <w:t>1</w:t>
      </w:r>
      <w:r>
        <w:t>00/</w:t>
      </w:r>
      <w:r w:rsidRPr="00162C9E">
        <w:rPr>
          <w:i/>
        </w:rPr>
        <w:t>n</w:t>
      </w:r>
      <w:r>
        <w:t>)</w:t>
      </w:r>
      <w:r w:rsidRPr="0009111F">
        <w:rPr>
          <w:vertAlign w:val="subscript"/>
        </w:rPr>
        <w:t xml:space="preserve"> </w:t>
      </w:r>
      <w:r w:rsidRPr="0009111F">
        <w:t>Σ</w:t>
      </w:r>
      <w:r w:rsidRPr="00B335EC">
        <w:rPr>
          <w:i/>
          <w:vertAlign w:val="subscript"/>
        </w:rPr>
        <w:t>j</w:t>
      </w:r>
      <w:r w:rsidRPr="0009111F">
        <w:rPr>
          <w:vertAlign w:val="subscript"/>
        </w:rPr>
        <w:t xml:space="preserve"> </w:t>
      </w:r>
      <w:r w:rsidRPr="0009111F">
        <w:rPr>
          <w:spacing w:val="-2"/>
          <w:szCs w:val="22"/>
        </w:rPr>
        <w:t>|</w:t>
      </w:r>
      <w:r w:rsidRPr="00BF1DA4">
        <w:rPr>
          <w:position w:val="-14"/>
        </w:rPr>
        <w:object w:dxaOrig="900" w:dyaOrig="360">
          <v:shape id="_x0000_i1034" type="#_x0000_t75" style="width:43.85pt;height:19.4pt" o:ole="">
            <v:imagedata r:id="rId29" o:title=""/>
          </v:shape>
          <o:OLEObject Type="Embed" ProgID="Equation.3" ShapeID="_x0000_i1034" DrawAspect="Content" ObjectID="_1524667221" r:id="rId30"/>
        </w:object>
      </w:r>
      <w:r w:rsidRPr="0009111F">
        <w:rPr>
          <w:spacing w:val="-2"/>
          <w:szCs w:val="22"/>
        </w:rPr>
        <w:t>|</w:t>
      </w:r>
      <w:r w:rsidRPr="0009111F">
        <w:rPr>
          <w:spacing w:val="-2"/>
          <w:szCs w:val="22"/>
          <w:vertAlign w:val="subscript"/>
        </w:rPr>
        <w:t xml:space="preserve"> </w:t>
      </w:r>
      <w:r w:rsidRPr="0009111F">
        <w:t>/</w:t>
      </w:r>
      <w:r w:rsidRPr="0009111F">
        <w:rPr>
          <w:vertAlign w:val="subscript"/>
        </w:rPr>
        <w:t xml:space="preserve"> </w:t>
      </w:r>
      <w:r w:rsidRPr="0024027F">
        <w:rPr>
          <w:i/>
        </w:rPr>
        <w:t>m</w:t>
      </w:r>
      <w:r w:rsidRPr="0024027F">
        <w:rPr>
          <w:i/>
          <w:vertAlign w:val="subscript"/>
        </w:rPr>
        <w:t>j</w:t>
      </w:r>
      <w:r>
        <w:rPr>
          <w:i/>
          <w:vertAlign w:val="subscript"/>
        </w:rPr>
        <w:tab/>
      </w:r>
      <w:r>
        <w:t>(12)</w:t>
      </w:r>
    </w:p>
    <w:p w:rsidR="008505CE" w:rsidRDefault="008505CE" w:rsidP="008505CE">
      <w:pPr>
        <w:widowControl w:val="0"/>
        <w:tabs>
          <w:tab w:val="left" w:pos="284"/>
          <w:tab w:val="center" w:pos="4395"/>
          <w:tab w:val="right" w:pos="8931"/>
        </w:tabs>
        <w:spacing w:after="0" w:line="480" w:lineRule="auto"/>
        <w:ind w:firstLine="0"/>
      </w:pPr>
      <w:r>
        <w:t xml:space="preserve">where </w:t>
      </w:r>
      <w:r w:rsidRPr="0024027F">
        <w:rPr>
          <w:i/>
        </w:rPr>
        <w:t>m</w:t>
      </w:r>
      <w:r w:rsidRPr="0024027F">
        <w:rPr>
          <w:i/>
          <w:vertAlign w:val="subscript"/>
        </w:rPr>
        <w:t>j</w:t>
      </w:r>
      <w:r>
        <w:t xml:space="preserve"> is the type I output multiplier for sector </w:t>
      </w:r>
      <w:r w:rsidRPr="00162C9E">
        <w:rPr>
          <w:i/>
        </w:rPr>
        <w:t>j</w:t>
      </w:r>
      <w:r>
        <w:t xml:space="preserve"> and </w:t>
      </w:r>
      <w:r>
        <w:rPr>
          <w:i/>
        </w:rPr>
        <w:t>n</w:t>
      </w:r>
      <w:r>
        <w:t xml:space="preserve"> = 28 is the number of sectors.</w:t>
      </w:r>
    </w:p>
    <w:p w:rsidR="008505CE" w:rsidRPr="00592046" w:rsidRDefault="008505CE" w:rsidP="008505CE">
      <w:pPr>
        <w:widowControl w:val="0"/>
        <w:tabs>
          <w:tab w:val="left" w:pos="284"/>
          <w:tab w:val="center" w:pos="4395"/>
          <w:tab w:val="right" w:pos="8931"/>
        </w:tabs>
        <w:spacing w:after="0" w:line="480" w:lineRule="auto"/>
        <w:ind w:firstLine="0"/>
        <w:jc w:val="center"/>
        <w:rPr>
          <w:b/>
        </w:rPr>
      </w:pPr>
      <w:r>
        <w:rPr>
          <w:b/>
        </w:rPr>
        <w:t>Table 1 near here</w:t>
      </w:r>
    </w:p>
    <w:p w:rsidR="008505CE" w:rsidRDefault="008505CE" w:rsidP="008505CE">
      <w:pPr>
        <w:widowControl w:val="0"/>
        <w:tabs>
          <w:tab w:val="left" w:pos="284"/>
          <w:tab w:val="center" w:pos="4395"/>
          <w:tab w:val="right" w:pos="8931"/>
        </w:tabs>
        <w:spacing w:after="0" w:line="480" w:lineRule="auto"/>
        <w:ind w:firstLine="0"/>
      </w:pPr>
      <w:r>
        <w:tab/>
        <w:t xml:space="preserve">A selection of Zhao and Choi’s results is presented in Table 1.  As expected, the FLQ outperforms the SLQ and CILQ, yet the extent of this superior performance is striking.  It echoes the clear-cut findings </w:t>
      </w:r>
      <w:r>
        <w:rPr>
          <w:color w:val="000000"/>
          <w:lang w:val="sv-SE"/>
        </w:rPr>
        <w:t>in</w:t>
      </w:r>
      <w:r>
        <w:t xml:space="preserve"> the Monte Carlo study of Bonfiglio and Chelli (2008), yet other authors such as Flegg and Tohmo (2013a</w:t>
      </w:r>
      <w:r w:rsidR="00B26B63">
        <w:t xml:space="preserve">, </w:t>
      </w:r>
      <w:r>
        <w:t xml:space="preserve">2016), Flegg et al. (2016) and Kowalewski (2015) have found more modest differences in performance.  An interesting facet of the results is that MAPE is minimized at a relatively high value of </w:t>
      </w:r>
      <w:r w:rsidRPr="00B335EC">
        <w:rPr>
          <w:i/>
          <w:color w:val="000000"/>
        </w:rPr>
        <w:t>δ</w:t>
      </w:r>
      <w:r>
        <w:rPr>
          <w:color w:val="000000"/>
        </w:rPr>
        <w:t xml:space="preserve"> in both regions.  However, most other studies, including those mentioned above, have found much lower optimal values</w:t>
      </w:r>
      <w:r>
        <w:t>.</w:t>
      </w:r>
    </w:p>
    <w:p w:rsidR="008505CE" w:rsidRPr="00592046" w:rsidRDefault="008505CE" w:rsidP="008505CE">
      <w:pPr>
        <w:widowControl w:val="0"/>
        <w:tabs>
          <w:tab w:val="left" w:pos="284"/>
          <w:tab w:val="center" w:pos="4395"/>
          <w:tab w:val="right" w:pos="8931"/>
        </w:tabs>
        <w:spacing w:after="0" w:line="480" w:lineRule="auto"/>
        <w:ind w:firstLine="0"/>
        <w:jc w:val="center"/>
        <w:rPr>
          <w:b/>
        </w:rPr>
      </w:pPr>
      <w:r>
        <w:rPr>
          <w:b/>
        </w:rPr>
        <w:t>Table 2 near here</w:t>
      </w:r>
    </w:p>
    <w:p w:rsidR="008505CE" w:rsidRPr="00E974B0" w:rsidRDefault="008505CE" w:rsidP="008505CE">
      <w:pPr>
        <w:widowControl w:val="0"/>
        <w:tabs>
          <w:tab w:val="left" w:pos="284"/>
          <w:tab w:val="center" w:pos="4395"/>
          <w:tab w:val="right" w:pos="8931"/>
        </w:tabs>
        <w:spacing w:after="0" w:line="480" w:lineRule="auto"/>
        <w:ind w:firstLine="0"/>
      </w:pPr>
      <w:r>
        <w:tab/>
        <w:t xml:space="preserve">As the first step in our evaluation of Zhao and Choi’s study, we attempted to replicate their results using the assumptions stated in their paper.  Our findings are displayed in Table 2.  To attain greater accuracy, we used steps of 0.05 for </w:t>
      </w:r>
      <w:r w:rsidRPr="00B335EC">
        <w:rPr>
          <w:i/>
          <w:color w:val="000000"/>
        </w:rPr>
        <w:t>δ</w:t>
      </w:r>
      <w:r>
        <w:rPr>
          <w:color w:val="000000"/>
        </w:rPr>
        <w:t>.</w:t>
      </w:r>
      <w:r>
        <w:t xml:space="preserve">  It is evident that the results are somewhat different.  Having checked our own calculations carefully, it would seem that errors of an unknown nature must have occurred in Zhao and Choi’s simulations.</w:t>
      </w:r>
      <w:r>
        <w:rPr>
          <w:b/>
          <w:vertAlign w:val="superscript"/>
        </w:rPr>
        <w:t>4</w:t>
      </w:r>
      <w:r>
        <w:t xml:space="preserve">  Daegu is most affected by the re-estimation, with a cut in the optimal </w:t>
      </w:r>
      <w:r w:rsidRPr="00B335EC">
        <w:rPr>
          <w:i/>
          <w:color w:val="000000"/>
        </w:rPr>
        <w:t>δ</w:t>
      </w:r>
      <w:r>
        <w:rPr>
          <w:color w:val="000000"/>
        </w:rPr>
        <w:t xml:space="preserve"> from 0.5 to 0.4.  The performance of the SLQ and CILQ is also noticeably better.  By contrast, for Gyeongbuk, </w:t>
      </w:r>
      <w:r>
        <w:t xml:space="preserve">the optimal </w:t>
      </w:r>
      <w:r w:rsidRPr="00B335EC">
        <w:rPr>
          <w:i/>
          <w:color w:val="000000"/>
        </w:rPr>
        <w:t>δ</w:t>
      </w:r>
      <w:r>
        <w:t xml:space="preserve"> is still 0.6, although the corresponding value of MAPE has risen from 8.5% to 10.</w:t>
      </w:r>
      <w:r w:rsidR="007961E3">
        <w:t>5</w:t>
      </w:r>
      <w:r>
        <w:t>%.  The values of MAPE for the SLQ and CILQ in this region are little changed by the re-estimation.</w:t>
      </w:r>
    </w:p>
    <w:p w:rsidR="008505CE" w:rsidRPr="00503292" w:rsidRDefault="008505CE" w:rsidP="008505CE">
      <w:pPr>
        <w:widowControl w:val="0"/>
        <w:tabs>
          <w:tab w:val="left" w:pos="284"/>
          <w:tab w:val="center" w:pos="4395"/>
          <w:tab w:val="right" w:pos="8931"/>
        </w:tabs>
        <w:spacing w:after="0" w:line="480" w:lineRule="auto"/>
        <w:ind w:firstLine="0"/>
        <w:rPr>
          <w:b/>
          <w:color w:val="000000"/>
          <w:vertAlign w:val="superscript"/>
        </w:rPr>
      </w:pPr>
      <w:r>
        <w:tab/>
        <w:t xml:space="preserve">As noted earlier, a problem with Zhao and Choi’s approach is their use of a type A national coefficient matrix, which would have the effect of overstating the optimal values of of </w:t>
      </w:r>
      <w:r w:rsidRPr="00B335EC">
        <w:rPr>
          <w:i/>
          <w:color w:val="000000"/>
        </w:rPr>
        <w:t>δ</w:t>
      </w:r>
      <w:r>
        <w:rPr>
          <w:color w:val="000000"/>
        </w:rPr>
        <w:t xml:space="preserve">.  The explanation is straightforward: instead of using the equation </w:t>
      </w:r>
      <w:r w:rsidRPr="009A6E5B">
        <w:rPr>
          <w:position w:val="-14"/>
        </w:rPr>
        <w:object w:dxaOrig="240" w:dyaOrig="360">
          <v:shape id="_x0000_i1035" type="#_x0000_t75" style="width:13.15pt;height:19.4pt" o:ole="">
            <v:imagedata r:id="rId23" o:title=""/>
          </v:shape>
          <o:OLEObject Type="Embed" ProgID="Equation.3" ShapeID="_x0000_i1035" DrawAspect="Content" ObjectID="_1524667222" r:id="rId31"/>
        </w:object>
      </w:r>
      <w:r>
        <w:t xml:space="preserve">= </w:t>
      </w:r>
      <w:r>
        <w:rPr>
          <w:i/>
        </w:rPr>
        <w:t>F</w:t>
      </w:r>
      <w:r w:rsidRPr="00B5503B">
        <w:rPr>
          <w:i/>
        </w:rPr>
        <w:t>LQ</w:t>
      </w:r>
      <w:r w:rsidRPr="00B5503B">
        <w:rPr>
          <w:i/>
          <w:vertAlign w:val="subscript"/>
        </w:rPr>
        <w:t>i</w:t>
      </w:r>
      <w:r>
        <w:rPr>
          <w:i/>
          <w:vertAlign w:val="subscript"/>
        </w:rPr>
        <w:t>j</w:t>
      </w:r>
      <w:r>
        <w:t xml:space="preserve"> × </w:t>
      </w:r>
      <w:r w:rsidRPr="005C5CDD">
        <w:rPr>
          <w:i/>
        </w:rPr>
        <w:t>a</w:t>
      </w:r>
      <w:r w:rsidRPr="005C5CDD">
        <w:rPr>
          <w:i/>
          <w:vertAlign w:val="subscript"/>
        </w:rPr>
        <w:t>ij</w:t>
      </w:r>
      <w:r>
        <w:t xml:space="preserve"> to estimate the input coefficients, one would be using the equation </w:t>
      </w:r>
      <w:r w:rsidRPr="009A6E5B">
        <w:rPr>
          <w:position w:val="-14"/>
        </w:rPr>
        <w:object w:dxaOrig="240" w:dyaOrig="360">
          <v:shape id="_x0000_i1036" type="#_x0000_t75" style="width:13.15pt;height:19.4pt" o:ole="">
            <v:imagedata r:id="rId23" o:title=""/>
          </v:shape>
          <o:OLEObject Type="Embed" ProgID="Equation.3" ShapeID="_x0000_i1036" DrawAspect="Content" ObjectID="_1524667223" r:id="rId32"/>
        </w:object>
      </w:r>
      <w:r>
        <w:t xml:space="preserve">= </w:t>
      </w:r>
      <w:r>
        <w:rPr>
          <w:i/>
        </w:rPr>
        <w:t>F</w:t>
      </w:r>
      <w:r w:rsidRPr="00B5503B">
        <w:rPr>
          <w:i/>
        </w:rPr>
        <w:t>LQ</w:t>
      </w:r>
      <w:r w:rsidRPr="00B5503B">
        <w:rPr>
          <w:i/>
          <w:vertAlign w:val="subscript"/>
        </w:rPr>
        <w:t>i</w:t>
      </w:r>
      <w:r>
        <w:rPr>
          <w:i/>
          <w:vertAlign w:val="subscript"/>
        </w:rPr>
        <w:t>j</w:t>
      </w:r>
      <w:r>
        <w:t xml:space="preserve"> × (</w:t>
      </w:r>
      <w:r w:rsidRPr="005C5CDD">
        <w:rPr>
          <w:i/>
        </w:rPr>
        <w:t>a</w:t>
      </w:r>
      <w:r w:rsidRPr="005C5CDD">
        <w:rPr>
          <w:i/>
          <w:vertAlign w:val="subscript"/>
        </w:rPr>
        <w:t>ij</w:t>
      </w:r>
      <w:r>
        <w:t xml:space="preserve"> + </w:t>
      </w:r>
      <w:r>
        <w:rPr>
          <w:i/>
        </w:rPr>
        <w:t>f</w:t>
      </w:r>
      <w:r>
        <w:rPr>
          <w:i/>
          <w:vertAlign w:val="subscript"/>
        </w:rPr>
        <w:t>ij</w:t>
      </w:r>
      <w:r>
        <w:t xml:space="preserve">), where </w:t>
      </w:r>
      <w:r>
        <w:rPr>
          <w:i/>
        </w:rPr>
        <w:t>f</w:t>
      </w:r>
      <w:r>
        <w:rPr>
          <w:i/>
          <w:vertAlign w:val="subscript"/>
        </w:rPr>
        <w:t>ij</w:t>
      </w:r>
      <w:r>
        <w:t xml:space="preserve"> is the national propensity to import from abroad.  Minimizing MAPE would then require a higher value of </w:t>
      </w:r>
      <w:r w:rsidRPr="00B335EC">
        <w:rPr>
          <w:i/>
          <w:color w:val="000000"/>
        </w:rPr>
        <w:t>δ</w:t>
      </w:r>
      <w:r>
        <w:rPr>
          <w:color w:val="000000"/>
        </w:rPr>
        <w:t>.</w:t>
      </w:r>
      <w:r>
        <w:rPr>
          <w:b/>
          <w:color w:val="000000"/>
          <w:vertAlign w:val="superscript"/>
        </w:rPr>
        <w:t>5</w:t>
      </w:r>
    </w:p>
    <w:p w:rsidR="008505CE" w:rsidRDefault="008505CE" w:rsidP="008505CE">
      <w:pPr>
        <w:widowControl w:val="0"/>
        <w:tabs>
          <w:tab w:val="left" w:pos="284"/>
          <w:tab w:val="center" w:pos="4395"/>
          <w:tab w:val="right" w:pos="8931"/>
        </w:tabs>
        <w:spacing w:after="0" w:line="480" w:lineRule="auto"/>
        <w:ind w:firstLine="0"/>
        <w:jc w:val="center"/>
      </w:pPr>
      <w:r>
        <w:rPr>
          <w:b/>
        </w:rPr>
        <w:t>Table 3 near here</w:t>
      </w:r>
    </w:p>
    <w:p w:rsidR="008505CE" w:rsidRDefault="008505CE" w:rsidP="008505CE">
      <w:pPr>
        <w:widowControl w:val="0"/>
        <w:tabs>
          <w:tab w:val="left" w:pos="284"/>
          <w:tab w:val="center" w:pos="4395"/>
          <w:tab w:val="right" w:pos="8931"/>
        </w:tabs>
        <w:spacing w:after="0" w:line="480" w:lineRule="auto"/>
        <w:ind w:firstLine="0"/>
        <w:rPr>
          <w:color w:val="000000"/>
        </w:rPr>
      </w:pPr>
      <w:r>
        <w:tab/>
        <w:t xml:space="preserve">Table 3 illustrates the consequences of using a type A rather than type B national coefficient matrix.  The most striking change compared with Table 2 occurs </w:t>
      </w:r>
      <w:r>
        <w:rPr>
          <w:color w:val="000000"/>
        </w:rPr>
        <w:t>in Gyeongbuk:</w:t>
      </w:r>
      <w:r>
        <w:t xml:space="preserve"> there is a big fall in the optimal </w:t>
      </w:r>
      <w:r w:rsidRPr="00B335EC">
        <w:rPr>
          <w:i/>
          <w:color w:val="000000"/>
        </w:rPr>
        <w:t>δ</w:t>
      </w:r>
      <w:r>
        <w:rPr>
          <w:color w:val="000000"/>
        </w:rPr>
        <w:t xml:space="preserve"> from 0.6 to 0.35, while the corresponding value of MAPE is cut from 10.</w:t>
      </w:r>
      <w:r w:rsidR="007961E3">
        <w:rPr>
          <w:color w:val="000000"/>
        </w:rPr>
        <w:t>5</w:t>
      </w:r>
      <w:r>
        <w:rPr>
          <w:color w:val="000000"/>
        </w:rPr>
        <w:t>% to 6.</w:t>
      </w:r>
      <w:r w:rsidR="007961E3">
        <w:rPr>
          <w:color w:val="000000"/>
        </w:rPr>
        <w:t>5</w:t>
      </w:r>
      <w:r>
        <w:rPr>
          <w:color w:val="000000"/>
        </w:rPr>
        <w:t xml:space="preserve">%.  For Daegu, </w:t>
      </w:r>
      <w:r>
        <w:t xml:space="preserve">the optimal </w:t>
      </w:r>
      <w:r w:rsidRPr="00B335EC">
        <w:rPr>
          <w:i/>
          <w:color w:val="000000"/>
        </w:rPr>
        <w:t>δ</w:t>
      </w:r>
      <w:r>
        <w:rPr>
          <w:color w:val="000000"/>
        </w:rPr>
        <w:t xml:space="preserve"> remains at 0.4 but MAPE is lowered from 9.</w:t>
      </w:r>
      <w:r w:rsidR="007961E3">
        <w:rPr>
          <w:color w:val="000000"/>
        </w:rPr>
        <w:t>2</w:t>
      </w:r>
      <w:r>
        <w:rPr>
          <w:color w:val="000000"/>
        </w:rPr>
        <w:t>% to 7.1%.  There is a further improvement in the performance of the SLQ and CILQ, although these conventional LQs are still substantially less accurate than the FLQ.</w:t>
      </w:r>
    </w:p>
    <w:p w:rsidR="008505CE" w:rsidRDefault="008505CE" w:rsidP="008505CE">
      <w:pPr>
        <w:widowControl w:val="0"/>
        <w:tabs>
          <w:tab w:val="left" w:pos="284"/>
          <w:tab w:val="center" w:pos="4395"/>
          <w:tab w:val="right" w:pos="8931"/>
        </w:tabs>
        <w:spacing w:after="0" w:line="480" w:lineRule="auto"/>
        <w:ind w:firstLine="0"/>
        <w:jc w:val="center"/>
      </w:pPr>
      <w:r>
        <w:rPr>
          <w:color w:val="000000"/>
        </w:rPr>
        <w:tab/>
      </w:r>
      <w:r>
        <w:rPr>
          <w:b/>
        </w:rPr>
        <w:t>Table 4 near here</w:t>
      </w:r>
    </w:p>
    <w:p w:rsidR="008505CE" w:rsidRDefault="008505CE" w:rsidP="008505CE">
      <w:pPr>
        <w:widowControl w:val="0"/>
        <w:tabs>
          <w:tab w:val="left" w:pos="284"/>
          <w:tab w:val="center" w:pos="4395"/>
          <w:tab w:val="right" w:pos="8931"/>
        </w:tabs>
        <w:spacing w:after="0" w:line="480" w:lineRule="auto"/>
        <w:ind w:firstLine="0"/>
        <w:rPr>
          <w:color w:val="000000"/>
        </w:rPr>
      </w:pPr>
      <w:r>
        <w:tab/>
        <w:t>It was noted earlier that, wherever possible, it is preferable to use output rather than employment data since</w:t>
      </w:r>
      <w:r w:rsidRPr="00CA6F2E">
        <w:t xml:space="preserve"> </w:t>
      </w:r>
      <w:r>
        <w:t>interregional differences in productivity</w:t>
      </w:r>
      <w:r w:rsidRPr="00CA6F2E">
        <w:t xml:space="preserve"> </w:t>
      </w:r>
      <w:r>
        <w:t xml:space="preserve">are liable to distort any calculations based on employment.  Table 4 records the effects of using sectoral output data to compute the SLQ, CILQ and FLQ.  One can see that the optimal values of </w:t>
      </w:r>
      <w:r w:rsidRPr="00B335EC">
        <w:rPr>
          <w:i/>
          <w:color w:val="000000"/>
        </w:rPr>
        <w:t>δ</w:t>
      </w:r>
      <w:r>
        <w:rPr>
          <w:color w:val="000000"/>
        </w:rPr>
        <w:t xml:space="preserve"> are cut by 0.05 in both regions</w:t>
      </w:r>
      <w:r w:rsidR="007961E3">
        <w:rPr>
          <w:color w:val="000000"/>
        </w:rPr>
        <w:t xml:space="preserve"> and t</w:t>
      </w:r>
      <w:r>
        <w:rPr>
          <w:color w:val="000000"/>
        </w:rPr>
        <w:t xml:space="preserve">here is a </w:t>
      </w:r>
      <w:r w:rsidR="007961E3">
        <w:rPr>
          <w:color w:val="000000"/>
        </w:rPr>
        <w:t>modest</w:t>
      </w:r>
      <w:r>
        <w:rPr>
          <w:color w:val="000000"/>
        </w:rPr>
        <w:t xml:space="preserve"> fall in the corresponding MAPE</w:t>
      </w:r>
      <w:r w:rsidR="007961E3">
        <w:rPr>
          <w:color w:val="000000"/>
        </w:rPr>
        <w:t>s</w:t>
      </w:r>
      <w:r>
        <w:rPr>
          <w:color w:val="000000"/>
        </w:rPr>
        <w:t xml:space="preserve">.  Once more, an </w:t>
      </w:r>
      <w:r w:rsidR="007961E3">
        <w:rPr>
          <w:color w:val="000000"/>
        </w:rPr>
        <w:t>enhanced</w:t>
      </w:r>
      <w:r>
        <w:rPr>
          <w:color w:val="000000"/>
        </w:rPr>
        <w:t xml:space="preserve"> performance of the SLQ and CILQ is evident in both regions.</w:t>
      </w:r>
    </w:p>
    <w:p w:rsidR="008505CE" w:rsidRDefault="008505CE" w:rsidP="008505CE">
      <w:pPr>
        <w:widowControl w:val="0"/>
        <w:tabs>
          <w:tab w:val="left" w:pos="284"/>
          <w:tab w:val="center" w:pos="4395"/>
          <w:tab w:val="right" w:pos="8931"/>
        </w:tabs>
        <w:spacing w:after="0" w:line="480" w:lineRule="auto"/>
        <w:ind w:firstLine="0"/>
        <w:jc w:val="center"/>
        <w:rPr>
          <w:color w:val="000000"/>
        </w:rPr>
      </w:pPr>
      <w:r>
        <w:rPr>
          <w:b/>
        </w:rPr>
        <w:t>Table 5 near here</w:t>
      </w:r>
    </w:p>
    <w:p w:rsidR="008505CE" w:rsidRDefault="008505CE" w:rsidP="008505CE">
      <w:pPr>
        <w:widowControl w:val="0"/>
        <w:tabs>
          <w:tab w:val="left" w:pos="284"/>
          <w:tab w:val="center" w:pos="4395"/>
          <w:tab w:val="right" w:pos="8931"/>
        </w:tabs>
        <w:spacing w:after="0" w:line="480" w:lineRule="auto"/>
        <w:ind w:firstLine="0"/>
        <w:rPr>
          <w:color w:val="000000"/>
        </w:rPr>
      </w:pPr>
      <w:r>
        <w:tab/>
        <w:t xml:space="preserve">The consequences of </w:t>
      </w:r>
      <w:r>
        <w:rPr>
          <w:color w:val="000000"/>
        </w:rPr>
        <w:t>switching from an employment-based to an output-based measure of regional size</w:t>
      </w:r>
      <w:r>
        <w:t xml:space="preserve"> are captured in Table 5.  This change only affects the FLQ since the SLQ and CILQ do not incorporate an adjustment for regional size.  In terms of employment, regional size is 4.7% for Daegu and 5.4% for </w:t>
      </w:r>
      <w:r>
        <w:rPr>
          <w:color w:val="000000"/>
        </w:rPr>
        <w:t xml:space="preserve">Gyeongbuk; the corresponding figures for output are 2.9% and 8.4%, respectively.  As expected, Table 5 reveals that using output rather than employment to measure regional size has the effect of lowering the required </w:t>
      </w:r>
      <w:r w:rsidRPr="00B335EC">
        <w:rPr>
          <w:i/>
          <w:color w:val="000000"/>
        </w:rPr>
        <w:t>δ</w:t>
      </w:r>
      <w:r>
        <w:rPr>
          <w:color w:val="000000"/>
        </w:rPr>
        <w:t xml:space="preserve"> for Daegu, yet raising it for Gyeongbuk.   In effect, Daegu has become a smaller region, while Gyeongbuk has become a larger one.  Therefore, the FLQ would make a bigger allowance for regional imports in Daegu but a smaller one in Gyeongbuk.  The required values of </w:t>
      </w:r>
      <w:r w:rsidRPr="00B335EC">
        <w:rPr>
          <w:i/>
          <w:color w:val="000000"/>
        </w:rPr>
        <w:t>δ</w:t>
      </w:r>
      <w:r>
        <w:rPr>
          <w:color w:val="000000"/>
        </w:rPr>
        <w:t xml:space="preserve"> would change as a result.  There is, however, negligible impact on the corresponding values of MAPE.</w:t>
      </w:r>
    </w:p>
    <w:p w:rsidR="008505CE" w:rsidRDefault="008505CE" w:rsidP="008505CE">
      <w:pPr>
        <w:widowControl w:val="0"/>
        <w:tabs>
          <w:tab w:val="left" w:pos="284"/>
          <w:tab w:val="center" w:pos="4395"/>
          <w:tab w:val="right" w:pos="8931"/>
        </w:tabs>
        <w:spacing w:after="0" w:line="480" w:lineRule="auto"/>
        <w:ind w:firstLine="0"/>
        <w:rPr>
          <w:color w:val="000000"/>
        </w:rPr>
      </w:pPr>
      <w:r>
        <w:rPr>
          <w:color w:val="000000"/>
          <w:szCs w:val="26"/>
        </w:rPr>
        <w:tab/>
        <w:t xml:space="preserve">From the above discussion, it seems fair to conclude that </w:t>
      </w:r>
      <w:r>
        <w:t xml:space="preserve">Zhao and Choi (2015) have substantially overstated the required values of </w:t>
      </w:r>
      <w:r w:rsidRPr="00B335EC">
        <w:rPr>
          <w:i/>
          <w:color w:val="000000"/>
        </w:rPr>
        <w:t>δ</w:t>
      </w:r>
      <w:r w:rsidRPr="00275999">
        <w:rPr>
          <w:color w:val="000000"/>
        </w:rPr>
        <w:t xml:space="preserve"> </w:t>
      </w:r>
      <w:r>
        <w:rPr>
          <w:color w:val="000000"/>
        </w:rPr>
        <w:t>and understated the accuracy of the FLQ.  Also, even though the FLQ is still demonstrably more accurate than the SLQ and CILQ, the extent of this superiority is less marked than their results would suggest.</w:t>
      </w:r>
    </w:p>
    <w:p w:rsidR="008505CE" w:rsidRDefault="008505CE" w:rsidP="008505CE">
      <w:pPr>
        <w:widowControl w:val="0"/>
        <w:tabs>
          <w:tab w:val="left" w:pos="284"/>
          <w:tab w:val="center" w:pos="4395"/>
          <w:tab w:val="right" w:pos="8931"/>
        </w:tabs>
        <w:spacing w:after="0"/>
        <w:ind w:firstLine="0"/>
        <w:rPr>
          <w:b/>
        </w:rPr>
      </w:pPr>
    </w:p>
    <w:p w:rsidR="008505CE" w:rsidRDefault="008505CE" w:rsidP="008505CE">
      <w:pPr>
        <w:widowControl w:val="0"/>
        <w:tabs>
          <w:tab w:val="left" w:pos="284"/>
          <w:tab w:val="center" w:pos="4395"/>
          <w:tab w:val="right" w:pos="8931"/>
        </w:tabs>
        <w:spacing w:after="0" w:line="480" w:lineRule="auto"/>
        <w:ind w:firstLine="0"/>
        <w:rPr>
          <w:b/>
        </w:rPr>
      </w:pPr>
      <w:r>
        <w:rPr>
          <w:b/>
        </w:rPr>
        <w:t>3.2  The sector-specific approach using the SFLQ</w:t>
      </w:r>
    </w:p>
    <w:p w:rsidR="008505CE" w:rsidRPr="004F2FD9" w:rsidRDefault="008505CE" w:rsidP="008505CE">
      <w:pPr>
        <w:widowControl w:val="0"/>
        <w:tabs>
          <w:tab w:val="left" w:pos="284"/>
          <w:tab w:val="center" w:pos="4395"/>
          <w:tab w:val="right" w:pos="8931"/>
        </w:tabs>
        <w:spacing w:after="0" w:line="480" w:lineRule="auto"/>
        <w:ind w:firstLine="0"/>
        <w:rPr>
          <w:b/>
          <w:vertAlign w:val="superscript"/>
        </w:rPr>
      </w:pPr>
      <w:r>
        <w:rPr>
          <w:color w:val="000000"/>
          <w:szCs w:val="26"/>
        </w:rPr>
        <w:t xml:space="preserve">A key part of </w:t>
      </w:r>
      <w:r>
        <w:t xml:space="preserve">Zhao and Choi’s study is a test of a new sector-specific FLQ formula, the SFLQ, devised by Kowalewski (2015).  As explained earlier, this </w:t>
      </w:r>
      <w:r w:rsidR="00D1536B">
        <w:t>method</w:t>
      </w:r>
      <w:r>
        <w:t xml:space="preserve"> involves using the regression model (10) to generate sector-specific values of </w:t>
      </w:r>
      <w:r w:rsidRPr="00B335EC">
        <w:rPr>
          <w:i/>
          <w:color w:val="000000"/>
        </w:rPr>
        <w:t>δ</w:t>
      </w:r>
      <w:r>
        <w:rPr>
          <w:color w:val="000000"/>
        </w:rPr>
        <w:t xml:space="preserve"> for each region.  Kowalewski’s results for a German region are reproduced in Table 6, along with </w:t>
      </w:r>
      <w:r>
        <w:t>Zhao and Choi’s Korean findings and our own estimates.</w:t>
      </w:r>
      <w:r>
        <w:rPr>
          <w:color w:val="000000"/>
        </w:rPr>
        <w:t xml:space="preserve">  For consistency, we recomputed the </w:t>
      </w:r>
      <w:r>
        <w:rPr>
          <w:i/>
        </w:rPr>
        <w:t>SLQ</w:t>
      </w:r>
      <w:r>
        <w:rPr>
          <w:i/>
          <w:vertAlign w:val="subscript"/>
        </w:rPr>
        <w:t>j</w:t>
      </w:r>
      <w:r>
        <w:t xml:space="preserve"> using sectoral employment data.</w:t>
      </w:r>
    </w:p>
    <w:p w:rsidR="008505CE" w:rsidRDefault="008505CE" w:rsidP="008505CE">
      <w:pPr>
        <w:widowControl w:val="0"/>
        <w:tabs>
          <w:tab w:val="left" w:pos="284"/>
          <w:tab w:val="center" w:pos="4395"/>
          <w:tab w:val="right" w:pos="8931"/>
        </w:tabs>
        <w:spacing w:after="0" w:line="480" w:lineRule="auto"/>
        <w:ind w:firstLine="0"/>
        <w:jc w:val="center"/>
        <w:rPr>
          <w:color w:val="000000"/>
        </w:rPr>
      </w:pPr>
      <w:r>
        <w:rPr>
          <w:b/>
        </w:rPr>
        <w:t>Table 6 near here</w:t>
      </w:r>
    </w:p>
    <w:p w:rsidR="008505CE" w:rsidRDefault="008505CE" w:rsidP="008505CE">
      <w:pPr>
        <w:widowControl w:val="0"/>
        <w:tabs>
          <w:tab w:val="left" w:pos="284"/>
          <w:tab w:val="center" w:pos="4395"/>
          <w:tab w:val="right" w:pos="8931"/>
        </w:tabs>
        <w:spacing w:after="0" w:line="480" w:lineRule="auto"/>
        <w:ind w:firstLine="0"/>
      </w:pPr>
      <w:r>
        <w:tab/>
        <w:t xml:space="preserve">Looking first at Kowalewski’s results, it is striking how one of the regressors, </w:t>
      </w:r>
      <w:r>
        <w:rPr>
          <w:i/>
        </w:rPr>
        <w:t>CL</w:t>
      </w:r>
      <w:r>
        <w:rPr>
          <w:i/>
          <w:vertAlign w:val="subscript"/>
        </w:rPr>
        <w:t>j</w:t>
      </w:r>
      <w:r>
        <w:t xml:space="preserve">, is highly statistically significant, whereas the remaining three have low </w:t>
      </w:r>
      <w:r>
        <w:rPr>
          <w:i/>
        </w:rPr>
        <w:t>t</w:t>
      </w:r>
      <w:r>
        <w:t xml:space="preserve"> statistics.  The positive estimated coefficient of </w:t>
      </w:r>
      <w:r>
        <w:rPr>
          <w:i/>
        </w:rPr>
        <w:t>CL</w:t>
      </w:r>
      <w:r>
        <w:rPr>
          <w:i/>
          <w:vertAlign w:val="subscript"/>
        </w:rPr>
        <w:t>j</w:t>
      </w:r>
      <w:r>
        <w:t xml:space="preserve"> is consistent with Kowalewski’s argument that ‘the more an industry is concentrated in space, the higher the regional propensity to import goods or services of this industry’ (Kowalewski 2015, p. 248).  Such industries would require a higher value of </w:t>
      </w:r>
      <w:r w:rsidRPr="00B335EC">
        <w:rPr>
          <w:i/>
          <w:color w:val="000000"/>
        </w:rPr>
        <w:t>δ</w:t>
      </w:r>
      <w:r>
        <w:t xml:space="preserve"> to adjust for this higher propensity.  As expected, </w:t>
      </w:r>
      <w:r>
        <w:rPr>
          <w:i/>
        </w:rPr>
        <w:t>SLQ</w:t>
      </w:r>
      <w:r>
        <w:rPr>
          <w:i/>
          <w:vertAlign w:val="subscript"/>
        </w:rPr>
        <w:t>j</w:t>
      </w:r>
      <w:r>
        <w:t xml:space="preserve"> has a negative estimated coefficient.  Kowalewski’s rationale here is that ‘regional specialization would lead to an increase in intra-regional trade and a decrease in imports’, so that ‘one would expect a higher </w:t>
      </w:r>
      <w:r>
        <w:rPr>
          <w:i/>
        </w:rPr>
        <w:t>SLQ</w:t>
      </w:r>
      <w:r>
        <w:rPr>
          <w:i/>
          <w:vertAlign w:val="subscript"/>
        </w:rPr>
        <w:t>j</w:t>
      </w:r>
      <w:r>
        <w:t xml:space="preserve"> to be accompanied by a lower value of </w:t>
      </w:r>
      <w:r w:rsidRPr="00B335EC">
        <w:rPr>
          <w:i/>
          <w:color w:val="000000"/>
        </w:rPr>
        <w:t>δ</w:t>
      </w:r>
      <w:r>
        <w:rPr>
          <w:i/>
          <w:color w:val="000000"/>
          <w:vertAlign w:val="subscript"/>
        </w:rPr>
        <w:t>j</w:t>
      </w:r>
      <w:r>
        <w:t>, which would additionally (to the FLQ formula) dampen regional imports’ (Kowalewski 2015, p. 248).  However, the</w:t>
      </w:r>
      <w:r w:rsidRPr="00872517">
        <w:t xml:space="preserve"> </w:t>
      </w:r>
      <w:r>
        <w:rPr>
          <w:i/>
        </w:rPr>
        <w:t>t</w:t>
      </w:r>
      <w:r>
        <w:t xml:space="preserve"> statistic for </w:t>
      </w:r>
      <w:r>
        <w:rPr>
          <w:i/>
        </w:rPr>
        <w:t>SLQ</w:t>
      </w:r>
      <w:r>
        <w:rPr>
          <w:i/>
          <w:vertAlign w:val="subscript"/>
        </w:rPr>
        <w:t>j</w:t>
      </w:r>
      <w:r w:rsidRPr="00872517">
        <w:t xml:space="preserve"> </w:t>
      </w:r>
      <w:r>
        <w:t xml:space="preserve">is very low, which suggests that this variable may not be relevant.  Likewise, the results for both </w:t>
      </w:r>
      <w:r>
        <w:rPr>
          <w:i/>
        </w:rPr>
        <w:t>IM</w:t>
      </w:r>
      <w:r>
        <w:rPr>
          <w:i/>
          <w:vertAlign w:val="subscript"/>
        </w:rPr>
        <w:t>j</w:t>
      </w:r>
      <w:r>
        <w:t xml:space="preserve"> and </w:t>
      </w:r>
      <w:r>
        <w:rPr>
          <w:i/>
        </w:rPr>
        <w:t>VA</w:t>
      </w:r>
      <w:r>
        <w:rPr>
          <w:i/>
          <w:vertAlign w:val="subscript"/>
        </w:rPr>
        <w:t>j</w:t>
      </w:r>
      <w:r>
        <w:t xml:space="preserve"> cast doubt on their relevance.</w:t>
      </w:r>
    </w:p>
    <w:p w:rsidR="008505CE" w:rsidRDefault="008505CE" w:rsidP="008505CE">
      <w:pPr>
        <w:widowControl w:val="0"/>
        <w:tabs>
          <w:tab w:val="left" w:pos="284"/>
          <w:tab w:val="right" w:pos="8931"/>
        </w:tabs>
        <w:spacing w:after="0" w:line="480" w:lineRule="auto"/>
        <w:ind w:firstLine="0"/>
      </w:pPr>
      <w:r>
        <w:tab/>
        <w:t xml:space="preserve">Zhao and Choi’s results are puzzling.  Kowalewski’s method requires a separate regression for each region since the values of </w:t>
      </w:r>
      <w:r>
        <w:rPr>
          <w:i/>
        </w:rPr>
        <w:t>SLQ</w:t>
      </w:r>
      <w:r>
        <w:rPr>
          <w:i/>
          <w:vertAlign w:val="subscript"/>
        </w:rPr>
        <w:t>j</w:t>
      </w:r>
      <w:r>
        <w:t xml:space="preserve"> would vary across regions.  However, the authors report results for only one regression and offer no explanation as to how it was estimated or to which region it relates.  Moreover, the estimated coefficient of </w:t>
      </w:r>
      <w:r>
        <w:rPr>
          <w:i/>
        </w:rPr>
        <w:t>CL</w:t>
      </w:r>
      <w:r>
        <w:rPr>
          <w:i/>
          <w:vertAlign w:val="subscript"/>
        </w:rPr>
        <w:t>j</w:t>
      </w:r>
      <w:r>
        <w:t xml:space="preserve"> is implausibly large and is markedly out of line with both Kowalewski’s estimate and our own figures for Daegu and Gyeongbuk.  The credibility of Zhao and Choi’s results is also undermined by the fact that they were derived from a type A national coefficient matrix.</w:t>
      </w:r>
    </w:p>
    <w:p w:rsidR="008505CE" w:rsidRDefault="008505CE" w:rsidP="008505CE">
      <w:pPr>
        <w:widowControl w:val="0"/>
        <w:tabs>
          <w:tab w:val="left" w:pos="284"/>
          <w:tab w:val="right" w:pos="8931"/>
        </w:tabs>
        <w:spacing w:after="0" w:line="480" w:lineRule="auto"/>
        <w:ind w:firstLine="0"/>
      </w:pPr>
      <w:r>
        <w:tab/>
        <w:t xml:space="preserve">Turning now to our own regressions, the results for Daegu look sensible on the whole.  The </w:t>
      </w:r>
      <w:r>
        <w:rPr>
          <w:i/>
        </w:rPr>
        <w:t>R</w:t>
      </w:r>
      <w:r>
        <w:rPr>
          <w:i/>
          <w:vertAlign w:val="superscript"/>
        </w:rPr>
        <w:t>2</w:t>
      </w:r>
      <w:r>
        <w:t xml:space="preserve"> is only a little below that reported by Kowalewski.  Moreover, </w:t>
      </w:r>
      <w:r>
        <w:rPr>
          <w:i/>
        </w:rPr>
        <w:t>CL</w:t>
      </w:r>
      <w:r>
        <w:rPr>
          <w:i/>
          <w:vertAlign w:val="subscript"/>
        </w:rPr>
        <w:t>j</w:t>
      </w:r>
      <w:r>
        <w:t xml:space="preserve"> is statistically significant at the 1% level</w:t>
      </w:r>
      <w:r w:rsidRPr="00FF5CEB">
        <w:t xml:space="preserve"> </w:t>
      </w:r>
      <w:r>
        <w:t xml:space="preserve">and its estimated coefficient has the anticipated sign.  Although </w:t>
      </w:r>
      <w:r>
        <w:rPr>
          <w:i/>
        </w:rPr>
        <w:t>SLQ</w:t>
      </w:r>
      <w:r>
        <w:rPr>
          <w:i/>
          <w:vertAlign w:val="subscript"/>
        </w:rPr>
        <w:t>j</w:t>
      </w:r>
      <w:r w:rsidRPr="00B964DC">
        <w:rPr>
          <w:i/>
        </w:rPr>
        <w:t xml:space="preserve"> </w:t>
      </w:r>
      <w:r>
        <w:t xml:space="preserve">and </w:t>
      </w:r>
      <w:r>
        <w:rPr>
          <w:i/>
        </w:rPr>
        <w:t>VA</w:t>
      </w:r>
      <w:r>
        <w:rPr>
          <w:i/>
          <w:vertAlign w:val="subscript"/>
        </w:rPr>
        <w:t>j</w:t>
      </w:r>
      <w:r>
        <w:t xml:space="preserve"> are still not significant at conventional levels, their </w:t>
      </w:r>
      <w:r>
        <w:rPr>
          <w:i/>
        </w:rPr>
        <w:t>t</w:t>
      </w:r>
      <w:r>
        <w:t xml:space="preserve"> ratios are much better than in Kowalewski’s regression.  As for </w:t>
      </w:r>
      <w:r>
        <w:rPr>
          <w:i/>
        </w:rPr>
        <w:t>IM</w:t>
      </w:r>
      <w:r>
        <w:rPr>
          <w:i/>
          <w:vertAlign w:val="subscript"/>
        </w:rPr>
        <w:t>j</w:t>
      </w:r>
      <w:r>
        <w:t>, this does indeed seem to be a redundant variable.</w:t>
      </w:r>
    </w:p>
    <w:p w:rsidR="008505CE" w:rsidRPr="00FF5CEB" w:rsidRDefault="008505CE" w:rsidP="008505CE">
      <w:pPr>
        <w:widowControl w:val="0"/>
        <w:tabs>
          <w:tab w:val="left" w:pos="284"/>
          <w:tab w:val="right" w:pos="8931"/>
        </w:tabs>
        <w:spacing w:after="0" w:line="480" w:lineRule="auto"/>
        <w:ind w:firstLine="0"/>
      </w:pPr>
      <w:r>
        <w:tab/>
        <w:t xml:space="preserve">Our regression for Gyeongbuk leaves much to be desired in terms of both goodness of fit and the outcomes for </w:t>
      </w:r>
      <w:r>
        <w:rPr>
          <w:i/>
        </w:rPr>
        <w:t>CL</w:t>
      </w:r>
      <w:r>
        <w:rPr>
          <w:i/>
          <w:vertAlign w:val="subscript"/>
        </w:rPr>
        <w:t>j</w:t>
      </w:r>
      <w:r>
        <w:t xml:space="preserve"> and </w:t>
      </w:r>
      <w:r>
        <w:rPr>
          <w:i/>
        </w:rPr>
        <w:t>SLQ</w:t>
      </w:r>
      <w:r>
        <w:rPr>
          <w:i/>
          <w:vertAlign w:val="subscript"/>
        </w:rPr>
        <w:t>j</w:t>
      </w:r>
      <w:r>
        <w:t xml:space="preserve">.  However, a redeeming feature is the highly statistically significant result for </w:t>
      </w:r>
      <w:r>
        <w:rPr>
          <w:i/>
        </w:rPr>
        <w:t>VA</w:t>
      </w:r>
      <w:r>
        <w:rPr>
          <w:i/>
          <w:vertAlign w:val="subscript"/>
        </w:rPr>
        <w:t>j</w:t>
      </w:r>
      <w:r>
        <w:t xml:space="preserve">.  Kowalewski does not offer a rationale for including this variable but one might argue that a higher share of value added in total national output would mean a lower share of intermediate inputs and hence lower imports.  If this effect were transmitted to regions, it is possible that a lower </w:t>
      </w:r>
      <w:r w:rsidRPr="00B335EC">
        <w:rPr>
          <w:i/>
          <w:color w:val="000000"/>
        </w:rPr>
        <w:t>δ</w:t>
      </w:r>
      <w:r>
        <w:rPr>
          <w:i/>
          <w:color w:val="000000"/>
          <w:vertAlign w:val="subscript"/>
        </w:rPr>
        <w:t>j</w:t>
      </w:r>
      <w:r>
        <w:t xml:space="preserve"> would be needed, i.e. </w:t>
      </w:r>
      <w:r w:rsidRPr="00AA3093">
        <w:rPr>
          <w:i/>
          <w:color w:val="000000"/>
        </w:rPr>
        <w:t>β</w:t>
      </w:r>
      <w:r w:rsidRPr="00AA3093">
        <w:rPr>
          <w:i/>
          <w:color w:val="000000"/>
          <w:vertAlign w:val="subscript"/>
        </w:rPr>
        <w:t>4</w:t>
      </w:r>
      <w:r>
        <w:rPr>
          <w:color w:val="000000"/>
        </w:rPr>
        <w:t xml:space="preserve"> &lt; 0 in equation (10).</w:t>
      </w:r>
      <w:r>
        <w:t xml:space="preserve"> </w:t>
      </w:r>
    </w:p>
    <w:p w:rsidR="008505CE" w:rsidRDefault="008505CE" w:rsidP="008505CE">
      <w:pPr>
        <w:widowControl w:val="0"/>
        <w:tabs>
          <w:tab w:val="left" w:pos="284"/>
          <w:tab w:val="center" w:pos="4395"/>
          <w:tab w:val="right" w:pos="8931"/>
        </w:tabs>
        <w:spacing w:after="0" w:line="480" w:lineRule="auto"/>
        <w:ind w:firstLine="0"/>
        <w:jc w:val="center"/>
        <w:rPr>
          <w:color w:val="000000"/>
        </w:rPr>
      </w:pPr>
      <w:r>
        <w:rPr>
          <w:b/>
        </w:rPr>
        <w:t>Table 7 near here</w:t>
      </w:r>
    </w:p>
    <w:p w:rsidR="008505CE" w:rsidRDefault="008505CE" w:rsidP="008505CE">
      <w:pPr>
        <w:widowControl w:val="0"/>
        <w:tabs>
          <w:tab w:val="left" w:pos="284"/>
          <w:tab w:val="right" w:pos="8931"/>
        </w:tabs>
        <w:spacing w:after="0" w:line="480" w:lineRule="auto"/>
        <w:ind w:firstLine="0"/>
        <w:rPr>
          <w:color w:val="000000"/>
        </w:rPr>
      </w:pPr>
      <w:r>
        <w:tab/>
        <w:t xml:space="preserve">Table 7 displays estimates of </w:t>
      </w:r>
      <w:r w:rsidRPr="00B335EC">
        <w:rPr>
          <w:i/>
          <w:color w:val="000000"/>
        </w:rPr>
        <w:t>δ</w:t>
      </w:r>
      <w:r>
        <w:rPr>
          <w:i/>
          <w:color w:val="000000"/>
          <w:vertAlign w:val="subscript"/>
        </w:rPr>
        <w:t>j</w:t>
      </w:r>
      <w:r>
        <w:rPr>
          <w:color w:val="000000"/>
        </w:rPr>
        <w:t xml:space="preserve"> derived from our regressions, along with the ‘optimal’ values that would minimize MAPE for the type I output multipliers.  To compute the optimal </w:t>
      </w:r>
      <w:r w:rsidRPr="00B335EC">
        <w:rPr>
          <w:i/>
          <w:color w:val="000000"/>
        </w:rPr>
        <w:t>δ</w:t>
      </w:r>
      <w:r>
        <w:rPr>
          <w:i/>
          <w:color w:val="000000"/>
          <w:vertAlign w:val="subscript"/>
        </w:rPr>
        <w:t>j</w:t>
      </w:r>
      <w:r>
        <w:rPr>
          <w:color w:val="000000"/>
        </w:rPr>
        <w:t xml:space="preserve">, we performed the calculations on a sectoral basis, using steps of 0.025 for </w:t>
      </w:r>
      <w:r w:rsidRPr="00B335EC">
        <w:rPr>
          <w:i/>
          <w:color w:val="000000"/>
        </w:rPr>
        <w:t>δ</w:t>
      </w:r>
      <w:r>
        <w:rPr>
          <w:color w:val="000000"/>
        </w:rPr>
        <w:t>, and then applied linear interpolation.</w:t>
      </w:r>
    </w:p>
    <w:p w:rsidR="008505CE" w:rsidRDefault="008505CE" w:rsidP="008505CE">
      <w:pPr>
        <w:widowControl w:val="0"/>
        <w:tabs>
          <w:tab w:val="left" w:pos="284"/>
          <w:tab w:val="right" w:pos="8931"/>
        </w:tabs>
        <w:spacing w:after="0" w:line="480" w:lineRule="auto"/>
        <w:ind w:firstLine="0"/>
      </w:pPr>
      <w:r>
        <w:rPr>
          <w:color w:val="000000"/>
        </w:rPr>
        <w:tab/>
        <w:t xml:space="preserve">To shed some light on the quality of our estimates, we correlated </w:t>
      </w:r>
      <w:r w:rsidRPr="009A6E5B">
        <w:rPr>
          <w:position w:val="-14"/>
        </w:rPr>
        <w:object w:dxaOrig="279" w:dyaOrig="420">
          <v:shape id="_x0000_i1037" type="#_x0000_t75" style="width:14.4pt;height:21.3pt" o:ole="">
            <v:imagedata r:id="rId33" o:title=""/>
          </v:shape>
          <o:OLEObject Type="Embed" ProgID="Equation.3" ShapeID="_x0000_i1037" DrawAspect="Content" ObjectID="_1524667224" r:id="rId34"/>
        </w:object>
      </w:r>
      <w:r w:rsidR="001321CF">
        <w:t xml:space="preserve"> </w:t>
      </w:r>
      <w:r>
        <w:t xml:space="preserve">with </w:t>
      </w:r>
      <w:r w:rsidRPr="009A6E5B">
        <w:rPr>
          <w:position w:val="-14"/>
        </w:rPr>
        <w:object w:dxaOrig="279" w:dyaOrig="380">
          <v:shape id="_x0000_i1038" type="#_x0000_t75" style="width:14.4pt;height:19.4pt" o:ole="">
            <v:imagedata r:id="rId35" o:title=""/>
          </v:shape>
          <o:OLEObject Type="Embed" ProgID="Equation.3" ShapeID="_x0000_i1038" DrawAspect="Content" ObjectID="_1524667225" r:id="rId36"/>
        </w:object>
      </w:r>
      <w:r>
        <w:t xml:space="preserve">.  The simple correlation coefficient, </w:t>
      </w:r>
      <w:r>
        <w:rPr>
          <w:i/>
        </w:rPr>
        <w:t>r</w:t>
      </w:r>
      <w:r>
        <w:t>, was 0.739 (</w:t>
      </w:r>
      <w:r>
        <w:rPr>
          <w:i/>
        </w:rPr>
        <w:t>p</w:t>
      </w:r>
      <w:r>
        <w:t xml:space="preserve"> = 0.000) for Daegu and 0.640 (</w:t>
      </w:r>
      <w:r>
        <w:rPr>
          <w:i/>
        </w:rPr>
        <w:t>p</w:t>
      </w:r>
      <w:r>
        <w:t xml:space="preserve"> = 0.000) for Gyeongbuk.  The fact that both correlations are highly statistically significant lends support to Kowalewski’s approach, although there is clearly still much scope for enhanced accuracy.  As regards the difference in the size of </w:t>
      </w:r>
      <w:r>
        <w:rPr>
          <w:i/>
        </w:rPr>
        <w:t>r</w:t>
      </w:r>
      <w:r>
        <w:t xml:space="preserve">, this reflects the fact that Table 6 shows a higher </w:t>
      </w:r>
      <w:r>
        <w:rPr>
          <w:i/>
        </w:rPr>
        <w:t>R</w:t>
      </w:r>
      <w:r>
        <w:rPr>
          <w:i/>
          <w:vertAlign w:val="superscript"/>
        </w:rPr>
        <w:t>2</w:t>
      </w:r>
      <w:r>
        <w:t xml:space="preserve"> for Daegu than for Gyeongbuk.</w:t>
      </w:r>
    </w:p>
    <w:p w:rsidR="008505CE" w:rsidRDefault="008505CE" w:rsidP="008505CE">
      <w:pPr>
        <w:widowControl w:val="0"/>
        <w:tabs>
          <w:tab w:val="left" w:pos="284"/>
          <w:tab w:val="right" w:pos="8931"/>
        </w:tabs>
        <w:spacing w:after="0" w:line="480" w:lineRule="auto"/>
        <w:ind w:firstLine="0"/>
        <w:rPr>
          <w:color w:val="000000"/>
        </w:rPr>
      </w:pPr>
      <w:r>
        <w:rPr>
          <w:color w:val="000000"/>
        </w:rPr>
        <w:tab/>
        <w:t xml:space="preserve">In commenting on their results, </w:t>
      </w:r>
      <w:r>
        <w:t>Zhao and Choi (2015, pp. 911</w:t>
      </w:r>
      <w:r w:rsidRPr="00F7201E">
        <w:sym w:font="Symbol" w:char="F02D"/>
      </w:r>
      <w:r>
        <w:t>913) highlight two contrasting sectors, namely ‘Petroleum and coal products’ (7) and ‘Finance and insurance’ (23), which they note are the smallest and largest industries, respectively.  O</w:t>
      </w:r>
      <w:r>
        <w:rPr>
          <w:color w:val="000000"/>
        </w:rPr>
        <w:t>n the basis of their findings that</w:t>
      </w:r>
      <w:r>
        <w:t xml:space="preserve"> </w:t>
      </w:r>
      <w:r w:rsidRPr="00B335EC">
        <w:rPr>
          <w:i/>
          <w:color w:val="000000"/>
        </w:rPr>
        <w:t>δ</w:t>
      </w:r>
      <w:r>
        <w:rPr>
          <w:i/>
          <w:color w:val="000000"/>
          <w:vertAlign w:val="subscript"/>
        </w:rPr>
        <w:t>23</w:t>
      </w:r>
      <w:r>
        <w:rPr>
          <w:color w:val="000000"/>
        </w:rPr>
        <w:t xml:space="preserve"> equalled 0.1 for Daegu and 0.2 for</w:t>
      </w:r>
      <w:r>
        <w:t xml:space="preserve"> Gyeongbuk, whereas</w:t>
      </w:r>
      <w:r w:rsidRPr="00B335EC">
        <w:rPr>
          <w:i/>
          <w:color w:val="000000"/>
        </w:rPr>
        <w:t xml:space="preserve"> δ</w:t>
      </w:r>
      <w:r>
        <w:rPr>
          <w:i/>
          <w:color w:val="000000"/>
          <w:vertAlign w:val="subscript"/>
        </w:rPr>
        <w:t>7</w:t>
      </w:r>
      <w:r>
        <w:rPr>
          <w:color w:val="000000"/>
        </w:rPr>
        <w:t xml:space="preserve"> = 0.9 for both regions, t</w:t>
      </w:r>
      <w:r>
        <w:t xml:space="preserve">hey posit an inverse relationship between a sector’s size and the value of </w:t>
      </w:r>
      <w:r w:rsidRPr="00B335EC">
        <w:rPr>
          <w:i/>
          <w:color w:val="000000"/>
        </w:rPr>
        <w:t>δ</w:t>
      </w:r>
      <w:r>
        <w:rPr>
          <w:i/>
          <w:color w:val="000000"/>
          <w:vertAlign w:val="subscript"/>
        </w:rPr>
        <w:t>j</w:t>
      </w:r>
      <w:r>
        <w:rPr>
          <w:color w:val="000000"/>
        </w:rPr>
        <w:t xml:space="preserve">.  Whilst this hypothesis is plausible, we were unable to replicate their supporting calculations.  Indeed, instead of </w:t>
      </w:r>
      <w:r w:rsidRPr="00B335EC">
        <w:rPr>
          <w:i/>
          <w:color w:val="000000"/>
        </w:rPr>
        <w:t>δ</w:t>
      </w:r>
      <w:r>
        <w:rPr>
          <w:i/>
          <w:color w:val="000000"/>
          <w:vertAlign w:val="subscript"/>
        </w:rPr>
        <w:t>7</w:t>
      </w:r>
      <w:r>
        <w:rPr>
          <w:color w:val="000000"/>
        </w:rPr>
        <w:t xml:space="preserve"> = 0.9 for both regions, Table 7 gives values of 0.000 for Daegu and 0.369 for</w:t>
      </w:r>
      <w:r>
        <w:t xml:space="preserve"> Gyeongbuk.</w:t>
      </w:r>
      <w:r>
        <w:rPr>
          <w:b/>
          <w:vertAlign w:val="superscript"/>
        </w:rPr>
        <w:t>6</w:t>
      </w:r>
      <w:r>
        <w:t xml:space="preserve">  As for </w:t>
      </w:r>
      <w:r w:rsidRPr="00B335EC">
        <w:rPr>
          <w:i/>
          <w:color w:val="000000"/>
        </w:rPr>
        <w:t>δ</w:t>
      </w:r>
      <w:r>
        <w:rPr>
          <w:i/>
          <w:color w:val="000000"/>
          <w:vertAlign w:val="subscript"/>
        </w:rPr>
        <w:t>23</w:t>
      </w:r>
      <w:r>
        <w:rPr>
          <w:color w:val="000000"/>
        </w:rPr>
        <w:t xml:space="preserve">, our figures are 0.049 and 0.035, respectively. </w:t>
      </w:r>
      <w:r>
        <w:t xml:space="preserve"> More generally, there is a far from perfect association between their set of optimal values and ours: </w:t>
      </w:r>
      <w:r>
        <w:rPr>
          <w:i/>
        </w:rPr>
        <w:t>r</w:t>
      </w:r>
      <w:r>
        <w:t xml:space="preserve"> </w:t>
      </w:r>
      <w:r w:rsidR="00EB0641">
        <w:t>=</w:t>
      </w:r>
      <w:r>
        <w:t xml:space="preserve"> 0.548 (</w:t>
      </w:r>
      <w:r>
        <w:rPr>
          <w:i/>
        </w:rPr>
        <w:t>p</w:t>
      </w:r>
      <w:r>
        <w:t xml:space="preserve"> = 0.003) for Daegu and 0.573 (</w:t>
      </w:r>
      <w:r>
        <w:rPr>
          <w:i/>
        </w:rPr>
        <w:t>p</w:t>
      </w:r>
      <w:r>
        <w:t xml:space="preserve"> = 0.002) for Gyeongbuk.</w:t>
      </w:r>
    </w:p>
    <w:p w:rsidR="008505CE" w:rsidRDefault="008505CE" w:rsidP="008505CE">
      <w:pPr>
        <w:widowControl w:val="0"/>
        <w:tabs>
          <w:tab w:val="left" w:pos="284"/>
          <w:tab w:val="center" w:pos="4395"/>
          <w:tab w:val="right" w:pos="8931"/>
        </w:tabs>
        <w:spacing w:after="0" w:line="480" w:lineRule="auto"/>
        <w:ind w:firstLine="0"/>
        <w:jc w:val="center"/>
        <w:rPr>
          <w:color w:val="000000"/>
        </w:rPr>
      </w:pPr>
      <w:r>
        <w:rPr>
          <w:b/>
        </w:rPr>
        <w:t>Table 8 near here</w:t>
      </w:r>
    </w:p>
    <w:p w:rsidR="008505CE" w:rsidRDefault="008505CE" w:rsidP="008505CE">
      <w:pPr>
        <w:widowControl w:val="0"/>
        <w:tabs>
          <w:tab w:val="left" w:pos="284"/>
          <w:tab w:val="right" w:pos="8931"/>
        </w:tabs>
        <w:spacing w:after="0" w:line="480" w:lineRule="auto"/>
        <w:ind w:firstLine="0"/>
        <w:rPr>
          <w:color w:val="000000"/>
        </w:rPr>
      </w:pPr>
      <w:r>
        <w:tab/>
      </w:r>
      <w:r w:rsidR="00555709">
        <w:t>The relative p</w:t>
      </w:r>
      <w:r>
        <w:t xml:space="preserve">erformance </w:t>
      </w:r>
      <w:r w:rsidR="00555709">
        <w:t xml:space="preserve">of the SFLQ </w:t>
      </w:r>
      <w:r>
        <w:t>in terms of MAPE is examined in Table 8.</w:t>
      </w:r>
      <w:r w:rsidR="00232EED">
        <w:t xml:space="preserve">  </w:t>
      </w:r>
      <w:r w:rsidR="001C0C80">
        <w:t>The table</w:t>
      </w:r>
      <w:r w:rsidR="00232EED">
        <w:t xml:space="preserve"> distin</w:t>
      </w:r>
      <w:r w:rsidR="001C0C80">
        <w:t>guishes</w:t>
      </w:r>
      <w:r w:rsidR="00232EED">
        <w:t xml:space="preserve"> between </w:t>
      </w:r>
      <w:r w:rsidR="00A022A2">
        <w:t xml:space="preserve">cases where </w:t>
      </w:r>
      <w:r w:rsidR="007871D6">
        <w:t xml:space="preserve">the </w:t>
      </w:r>
      <w:r w:rsidR="007871D6" w:rsidRPr="00B335EC">
        <w:rPr>
          <w:i/>
          <w:color w:val="000000"/>
        </w:rPr>
        <w:t>δ</w:t>
      </w:r>
      <w:r w:rsidR="007871D6">
        <w:rPr>
          <w:i/>
          <w:color w:val="000000"/>
          <w:vertAlign w:val="subscript"/>
        </w:rPr>
        <w:t>j</w:t>
      </w:r>
      <w:r w:rsidR="007871D6">
        <w:t xml:space="preserve"> have been</w:t>
      </w:r>
      <w:r w:rsidR="007871D6">
        <w:rPr>
          <w:color w:val="000000"/>
        </w:rPr>
        <w:t xml:space="preserve"> estimated via regressions</w:t>
      </w:r>
      <w:r w:rsidR="007871D6">
        <w:t xml:space="preserve"> </w:t>
      </w:r>
      <w:r w:rsidR="007871D6">
        <w:rPr>
          <w:color w:val="000000"/>
        </w:rPr>
        <w:t>and those</w:t>
      </w:r>
      <w:r w:rsidR="007871D6">
        <w:t xml:space="preserve"> where </w:t>
      </w:r>
      <w:r w:rsidR="00232EED">
        <w:t xml:space="preserve">optimal values </w:t>
      </w:r>
      <w:r w:rsidR="007871D6">
        <w:t>have been</w:t>
      </w:r>
      <w:r w:rsidR="00D836B8">
        <w:rPr>
          <w:color w:val="000000"/>
        </w:rPr>
        <w:t xml:space="preserve"> used.  Of course, in reality, analysts </w:t>
      </w:r>
      <w:r w:rsidR="00A022A2">
        <w:rPr>
          <w:color w:val="000000"/>
        </w:rPr>
        <w:t xml:space="preserve">using non-survey methods </w:t>
      </w:r>
      <w:r w:rsidR="00D836B8">
        <w:rPr>
          <w:color w:val="000000"/>
        </w:rPr>
        <w:t xml:space="preserve">would not </w:t>
      </w:r>
      <w:r w:rsidR="00B077EF">
        <w:rPr>
          <w:color w:val="000000"/>
        </w:rPr>
        <w:t>know</w:t>
      </w:r>
      <w:r w:rsidR="00D836B8">
        <w:rPr>
          <w:color w:val="000000"/>
        </w:rPr>
        <w:t xml:space="preserve"> the optimal values, so the results </w:t>
      </w:r>
      <w:r w:rsidR="00E83D84">
        <w:rPr>
          <w:color w:val="000000"/>
        </w:rPr>
        <w:t>illustrate</w:t>
      </w:r>
      <w:r w:rsidR="00D836B8">
        <w:rPr>
          <w:color w:val="000000"/>
        </w:rPr>
        <w:t xml:space="preserve"> the best outcomes that could be attained </w:t>
      </w:r>
      <w:r w:rsidR="00E83D84">
        <w:rPr>
          <w:color w:val="000000"/>
        </w:rPr>
        <w:t xml:space="preserve">with the SFLQ </w:t>
      </w:r>
      <w:r w:rsidR="00D836B8">
        <w:rPr>
          <w:color w:val="000000"/>
        </w:rPr>
        <w:t>in a perfect world</w:t>
      </w:r>
      <w:r w:rsidR="00E83D84">
        <w:rPr>
          <w:color w:val="000000"/>
        </w:rPr>
        <w:t xml:space="preserve">.  </w:t>
      </w:r>
      <w:r w:rsidR="001C0C80">
        <w:rPr>
          <w:color w:val="000000"/>
        </w:rPr>
        <w:t>B</w:t>
      </w:r>
      <w:r w:rsidR="00CA7637">
        <w:rPr>
          <w:color w:val="000000"/>
        </w:rPr>
        <w:t>ased on our calculations,</w:t>
      </w:r>
      <w:r w:rsidR="00E83D84">
        <w:rPr>
          <w:color w:val="000000"/>
        </w:rPr>
        <w:t xml:space="preserve"> a residual error of a</w:t>
      </w:r>
      <w:r w:rsidR="001C0C80">
        <w:rPr>
          <w:color w:val="000000"/>
        </w:rPr>
        <w:t>bout</w:t>
      </w:r>
      <w:r w:rsidR="00E83D84">
        <w:rPr>
          <w:color w:val="000000"/>
        </w:rPr>
        <w:t xml:space="preserve"> 2% would remain</w:t>
      </w:r>
      <w:r w:rsidR="00CA7637">
        <w:rPr>
          <w:color w:val="000000"/>
        </w:rPr>
        <w:t xml:space="preserve"> in each region</w:t>
      </w:r>
      <w:r w:rsidR="00E83D84">
        <w:rPr>
          <w:color w:val="000000"/>
        </w:rPr>
        <w:t>.</w:t>
      </w:r>
    </w:p>
    <w:p w:rsidR="00232EED" w:rsidRDefault="00F42109" w:rsidP="008505CE">
      <w:pPr>
        <w:widowControl w:val="0"/>
        <w:tabs>
          <w:tab w:val="left" w:pos="284"/>
          <w:tab w:val="right" w:pos="8931"/>
        </w:tabs>
        <w:spacing w:after="0" w:line="480" w:lineRule="auto"/>
        <w:ind w:firstLine="0"/>
        <w:rPr>
          <w:color w:val="000000"/>
        </w:rPr>
      </w:pPr>
      <w:r>
        <w:rPr>
          <w:b/>
          <w:color w:val="000000"/>
        </w:rPr>
        <w:tab/>
      </w:r>
      <w:r w:rsidRPr="00F42109">
        <w:rPr>
          <w:color w:val="000000"/>
        </w:rPr>
        <w:t xml:space="preserve">Table </w:t>
      </w:r>
      <w:r>
        <w:rPr>
          <w:color w:val="000000"/>
        </w:rPr>
        <w:t xml:space="preserve">8 also reveals that our SFLQ regressions </w:t>
      </w:r>
      <w:r w:rsidR="00F05320">
        <w:rPr>
          <w:color w:val="000000"/>
        </w:rPr>
        <w:t>yield</w:t>
      </w:r>
      <w:r w:rsidR="00F80E83">
        <w:rPr>
          <w:color w:val="000000"/>
        </w:rPr>
        <w:t xml:space="preserve"> a lower</w:t>
      </w:r>
      <w:r>
        <w:rPr>
          <w:color w:val="000000"/>
        </w:rPr>
        <w:t xml:space="preserve"> MAPE </w:t>
      </w:r>
      <w:r w:rsidR="00F80E83">
        <w:rPr>
          <w:color w:val="000000"/>
        </w:rPr>
        <w:t xml:space="preserve">than the FLQ </w:t>
      </w:r>
      <w:r>
        <w:rPr>
          <w:color w:val="000000"/>
        </w:rPr>
        <w:t xml:space="preserve">in </w:t>
      </w:r>
      <w:r w:rsidR="00EB692E">
        <w:rPr>
          <w:color w:val="000000"/>
        </w:rPr>
        <w:t>Daegu but less obviously so in Gyeongbuk</w:t>
      </w:r>
      <w:r>
        <w:rPr>
          <w:color w:val="000000"/>
        </w:rPr>
        <w:t xml:space="preserve">.  </w:t>
      </w:r>
      <w:r w:rsidR="00352564">
        <w:rPr>
          <w:color w:val="000000"/>
        </w:rPr>
        <w:t xml:space="preserve">For instance, </w:t>
      </w:r>
      <w:r w:rsidR="00F05320">
        <w:rPr>
          <w:color w:val="000000"/>
        </w:rPr>
        <w:t>in the absence of any other information,</w:t>
      </w:r>
      <w:r w:rsidR="00F05320" w:rsidRPr="00B335EC">
        <w:rPr>
          <w:i/>
          <w:color w:val="000000"/>
        </w:rPr>
        <w:t xml:space="preserve"> </w:t>
      </w:r>
      <w:r w:rsidRPr="00B335EC">
        <w:rPr>
          <w:i/>
          <w:color w:val="000000"/>
        </w:rPr>
        <w:t>δ</w:t>
      </w:r>
      <w:r>
        <w:rPr>
          <w:color w:val="000000"/>
        </w:rPr>
        <w:t xml:space="preserve"> = 0.3 is a value an analyst might use for the FLQ. </w:t>
      </w:r>
      <w:r w:rsidR="00F05320">
        <w:rPr>
          <w:color w:val="000000"/>
        </w:rPr>
        <w:t xml:space="preserve"> </w:t>
      </w:r>
      <w:r>
        <w:rPr>
          <w:color w:val="000000"/>
        </w:rPr>
        <w:t xml:space="preserve">On that basis, the potential gain from using the SFLQ, </w:t>
      </w:r>
      <w:r w:rsidR="00352564">
        <w:rPr>
          <w:color w:val="000000"/>
        </w:rPr>
        <w:t>in conjunction with our regressions, would be 1.</w:t>
      </w:r>
      <w:r w:rsidR="00457E37">
        <w:rPr>
          <w:color w:val="000000"/>
        </w:rPr>
        <w:t>5</w:t>
      </w:r>
      <w:r w:rsidR="00352564">
        <w:rPr>
          <w:color w:val="000000"/>
        </w:rPr>
        <w:t xml:space="preserve"> percentage points in Diagu </w:t>
      </w:r>
      <w:r w:rsidR="00457E37">
        <w:rPr>
          <w:color w:val="000000"/>
        </w:rPr>
        <w:t>but only 0</w:t>
      </w:r>
      <w:r w:rsidR="00352564">
        <w:rPr>
          <w:color w:val="000000"/>
        </w:rPr>
        <w:t>.</w:t>
      </w:r>
      <w:r w:rsidR="00457E37">
        <w:rPr>
          <w:color w:val="000000"/>
        </w:rPr>
        <w:t>3</w:t>
      </w:r>
      <w:r w:rsidR="00352564">
        <w:rPr>
          <w:color w:val="000000"/>
        </w:rPr>
        <w:t xml:space="preserve"> in Gyeongbuk.</w:t>
      </w:r>
    </w:p>
    <w:p w:rsidR="00706A97" w:rsidRDefault="00706A97" w:rsidP="008505CE">
      <w:pPr>
        <w:widowControl w:val="0"/>
        <w:tabs>
          <w:tab w:val="left" w:pos="284"/>
          <w:tab w:val="right" w:pos="8931"/>
        </w:tabs>
        <w:spacing w:after="0" w:line="480" w:lineRule="auto"/>
        <w:ind w:firstLine="0"/>
        <w:rPr>
          <w:color w:val="000000"/>
        </w:rPr>
      </w:pPr>
      <w:r>
        <w:rPr>
          <w:color w:val="000000"/>
        </w:rPr>
        <w:tab/>
        <w:t xml:space="preserve">In discussing their findings, Zhao and Choi (2015, p. 913) comment that it is </w:t>
      </w:r>
      <w:r w:rsidR="003A0AC1">
        <w:rPr>
          <w:color w:val="000000"/>
        </w:rPr>
        <w:t>‘</w:t>
      </w:r>
      <w:r w:rsidR="00A359F2">
        <w:rPr>
          <w:color w:val="000000"/>
        </w:rPr>
        <w:t>u</w:t>
      </w:r>
      <w:r>
        <w:rPr>
          <w:color w:val="000000"/>
        </w:rPr>
        <w:t>n</w:t>
      </w:r>
      <w:r w:rsidR="00A359F2">
        <w:rPr>
          <w:color w:val="000000"/>
        </w:rPr>
        <w:t>d</w:t>
      </w:r>
      <w:r>
        <w:rPr>
          <w:color w:val="000000"/>
        </w:rPr>
        <w:t>e</w:t>
      </w:r>
      <w:r w:rsidR="00A359F2">
        <w:rPr>
          <w:color w:val="000000"/>
        </w:rPr>
        <w:t>n</w:t>
      </w:r>
      <w:r>
        <w:rPr>
          <w:color w:val="000000"/>
        </w:rPr>
        <w:t>iable</w:t>
      </w:r>
      <w:r w:rsidR="00A359F2">
        <w:rPr>
          <w:color w:val="000000"/>
        </w:rPr>
        <w:t xml:space="preserve"> that SFLQ presents an extraordinary ability to minimize errors produced by regionalization’.  However, this statement is </w:t>
      </w:r>
      <w:r w:rsidR="00BC58D5">
        <w:rPr>
          <w:color w:val="000000"/>
        </w:rPr>
        <w:t xml:space="preserve">based on a comparison </w:t>
      </w:r>
      <w:r w:rsidR="004C30CB">
        <w:rPr>
          <w:color w:val="000000"/>
        </w:rPr>
        <w:t>with</w:t>
      </w:r>
      <w:r w:rsidR="00BC58D5">
        <w:rPr>
          <w:color w:val="000000"/>
        </w:rPr>
        <w:t xml:space="preserve"> </w:t>
      </w:r>
      <w:r w:rsidR="00EE26A4">
        <w:rPr>
          <w:color w:val="000000"/>
        </w:rPr>
        <w:t xml:space="preserve">results </w:t>
      </w:r>
      <w:r w:rsidR="00913F48">
        <w:rPr>
          <w:color w:val="000000"/>
        </w:rPr>
        <w:t>deriv</w:t>
      </w:r>
      <w:r w:rsidR="00EE26A4">
        <w:rPr>
          <w:color w:val="000000"/>
        </w:rPr>
        <w:t xml:space="preserve">ed using </w:t>
      </w:r>
      <w:r w:rsidR="00DC04F0">
        <w:t>o</w:t>
      </w:r>
      <w:r w:rsidR="00AD5440">
        <w:t>ptimal values</w:t>
      </w:r>
      <w:r w:rsidR="00EE26A4">
        <w:rPr>
          <w:color w:val="000000"/>
        </w:rPr>
        <w:t xml:space="preserve">.  We would argue that the only relevant comparison is with regression-based estimates, which would be the only information </w:t>
      </w:r>
      <w:r w:rsidR="00A754BB">
        <w:rPr>
          <w:color w:val="000000"/>
        </w:rPr>
        <w:t xml:space="preserve">potentially </w:t>
      </w:r>
      <w:r w:rsidR="00EE26A4">
        <w:rPr>
          <w:color w:val="000000"/>
        </w:rPr>
        <w:t>available to an analyst using non-survey data.</w:t>
      </w:r>
      <w:r w:rsidR="008C69C8">
        <w:rPr>
          <w:color w:val="000000"/>
        </w:rPr>
        <w:t xml:space="preserve">  Clearly, with a MAPE of 19.5 for Daegu and 15.7 for Gyeongbuk, </w:t>
      </w:r>
      <w:r w:rsidR="00222F7E">
        <w:rPr>
          <w:color w:val="000000"/>
        </w:rPr>
        <w:t xml:space="preserve">Zhao and Choi’s results </w:t>
      </w:r>
      <w:r w:rsidR="008C69C8">
        <w:rPr>
          <w:color w:val="000000"/>
        </w:rPr>
        <w:t>would not be helpful in that respect.</w:t>
      </w:r>
    </w:p>
    <w:p w:rsidR="003C354F" w:rsidRDefault="00222F7E" w:rsidP="008505CE">
      <w:pPr>
        <w:widowControl w:val="0"/>
        <w:tabs>
          <w:tab w:val="left" w:pos="284"/>
          <w:tab w:val="right" w:pos="8931"/>
        </w:tabs>
        <w:spacing w:after="0" w:line="480" w:lineRule="auto"/>
        <w:ind w:firstLine="0"/>
        <w:rPr>
          <w:color w:val="000000"/>
        </w:rPr>
      </w:pPr>
      <w:r>
        <w:rPr>
          <w:color w:val="000000"/>
        </w:rPr>
        <w:tab/>
      </w:r>
      <w:r w:rsidR="00BA2334">
        <w:rPr>
          <w:color w:val="000000"/>
        </w:rPr>
        <w:t xml:space="preserve">It is evident that Kowalewski’s SFLQ approach can yield a useful, albeit modest, enhancement of accuracy relative to the FLQ </w:t>
      </w:r>
      <w:r w:rsidR="00FF2B69">
        <w:rPr>
          <w:color w:val="000000"/>
        </w:rPr>
        <w:t>if</w:t>
      </w:r>
      <w:r w:rsidR="00BA2334">
        <w:rPr>
          <w:color w:val="000000"/>
        </w:rPr>
        <w:t xml:space="preserve"> used in conjunction with a well-specified regression model.</w:t>
      </w:r>
      <w:r w:rsidR="0051253F">
        <w:rPr>
          <w:color w:val="000000"/>
        </w:rPr>
        <w:t xml:space="preserve">  Zhao and Choi (2015, p. 915)</w:t>
      </w:r>
      <w:r w:rsidR="00A271DD">
        <w:rPr>
          <w:color w:val="000000"/>
        </w:rPr>
        <w:t xml:space="preserve"> suggest that</w:t>
      </w:r>
      <w:r w:rsidR="0051253F">
        <w:rPr>
          <w:color w:val="000000"/>
        </w:rPr>
        <w:t xml:space="preserve"> </w:t>
      </w:r>
      <w:r w:rsidR="006763CE">
        <w:rPr>
          <w:color w:val="000000"/>
        </w:rPr>
        <w:t>possi</w:t>
      </w:r>
      <w:r w:rsidR="0051253F">
        <w:rPr>
          <w:color w:val="000000"/>
        </w:rPr>
        <w:t xml:space="preserve">ble ways of </w:t>
      </w:r>
      <w:r w:rsidR="007D5565">
        <w:rPr>
          <w:color w:val="000000"/>
        </w:rPr>
        <w:t>ref</w:t>
      </w:r>
      <w:r w:rsidR="0051253F">
        <w:rPr>
          <w:color w:val="000000"/>
        </w:rPr>
        <w:t>i</w:t>
      </w:r>
      <w:r w:rsidR="007D5565">
        <w:rPr>
          <w:color w:val="000000"/>
        </w:rPr>
        <w:t>n</w:t>
      </w:r>
      <w:r w:rsidR="0051253F">
        <w:rPr>
          <w:color w:val="000000"/>
        </w:rPr>
        <w:t>ing the</w:t>
      </w:r>
      <w:r w:rsidR="00A271DD">
        <w:rPr>
          <w:color w:val="000000"/>
        </w:rPr>
        <w:t>se</w:t>
      </w:r>
      <w:r w:rsidR="0051253F">
        <w:rPr>
          <w:color w:val="000000"/>
        </w:rPr>
        <w:t xml:space="preserve"> regressions could include </w:t>
      </w:r>
      <w:r w:rsidR="003C354F">
        <w:rPr>
          <w:color w:val="000000"/>
        </w:rPr>
        <w:t xml:space="preserve">(i) </w:t>
      </w:r>
      <w:r w:rsidR="00D17898">
        <w:rPr>
          <w:color w:val="000000"/>
        </w:rPr>
        <w:t xml:space="preserve">introducing new explanatory variables and (ii) </w:t>
      </w:r>
      <w:r w:rsidR="0051253F">
        <w:rPr>
          <w:color w:val="000000"/>
        </w:rPr>
        <w:t>using non-linear formulations</w:t>
      </w:r>
      <w:r w:rsidR="00D17898">
        <w:rPr>
          <w:color w:val="000000"/>
        </w:rPr>
        <w:t>.</w:t>
      </w:r>
      <w:r w:rsidR="0051253F">
        <w:rPr>
          <w:color w:val="000000"/>
        </w:rPr>
        <w:t xml:space="preserve">  </w:t>
      </w:r>
      <w:r w:rsidR="00D17898">
        <w:rPr>
          <w:color w:val="000000"/>
        </w:rPr>
        <w:t xml:space="preserve">Unfortunately, it is hard to think of new variables for which data would be readily available.  </w:t>
      </w:r>
      <w:r w:rsidR="003C354F">
        <w:rPr>
          <w:color w:val="000000"/>
        </w:rPr>
        <w:t xml:space="preserve">As regards </w:t>
      </w:r>
      <w:r w:rsidR="009C16DB">
        <w:rPr>
          <w:color w:val="000000"/>
        </w:rPr>
        <w:t xml:space="preserve">refinement </w:t>
      </w:r>
      <w:r w:rsidR="003C354F">
        <w:rPr>
          <w:color w:val="000000"/>
        </w:rPr>
        <w:t>(i</w:t>
      </w:r>
      <w:r w:rsidR="00D17898">
        <w:rPr>
          <w:color w:val="000000"/>
        </w:rPr>
        <w:t>i</w:t>
      </w:r>
      <w:r w:rsidR="003C354F">
        <w:rPr>
          <w:color w:val="000000"/>
        </w:rPr>
        <w:t xml:space="preserve">), </w:t>
      </w:r>
      <w:r w:rsidR="00C04CDC">
        <w:rPr>
          <w:color w:val="000000"/>
        </w:rPr>
        <w:t>we considered</w:t>
      </w:r>
      <w:r w:rsidR="003C354F">
        <w:rPr>
          <w:color w:val="000000"/>
        </w:rPr>
        <w:t xml:space="preserve"> the following </w:t>
      </w:r>
      <w:r w:rsidR="009C16DB">
        <w:rPr>
          <w:color w:val="000000"/>
        </w:rPr>
        <w:t xml:space="preserve">alternative </w:t>
      </w:r>
      <w:r w:rsidR="003C354F">
        <w:rPr>
          <w:color w:val="000000"/>
        </w:rPr>
        <w:t>non-linear models:</w:t>
      </w:r>
    </w:p>
    <w:p w:rsidR="001E74BA" w:rsidRDefault="001E74BA" w:rsidP="001E74BA">
      <w:pPr>
        <w:widowControl w:val="0"/>
        <w:tabs>
          <w:tab w:val="left" w:pos="284"/>
          <w:tab w:val="center" w:pos="4395"/>
          <w:tab w:val="right" w:pos="8931"/>
        </w:tabs>
        <w:spacing w:after="0" w:line="480" w:lineRule="auto"/>
        <w:ind w:firstLine="0"/>
        <w:jc w:val="center"/>
        <w:rPr>
          <w:color w:val="000000"/>
        </w:rPr>
      </w:pPr>
      <w:r>
        <w:rPr>
          <w:i/>
          <w:color w:val="000000"/>
        </w:rPr>
        <w:tab/>
      </w:r>
      <w:r>
        <w:rPr>
          <w:i/>
          <w:color w:val="000000"/>
        </w:rPr>
        <w:tab/>
      </w:r>
      <w:r>
        <w:rPr>
          <w:color w:val="000000"/>
        </w:rPr>
        <w:t>ln</w:t>
      </w:r>
      <w:r w:rsidR="009C16DB">
        <w:rPr>
          <w:color w:val="000000"/>
          <w:vertAlign w:val="subscript"/>
        </w:rPr>
        <w:t xml:space="preserve"> </w:t>
      </w:r>
      <w:r w:rsidRPr="00B335EC">
        <w:rPr>
          <w:i/>
          <w:color w:val="000000"/>
        </w:rPr>
        <w:t>δ</w:t>
      </w:r>
      <w:r>
        <w:rPr>
          <w:i/>
          <w:color w:val="000000"/>
          <w:vertAlign w:val="subscript"/>
        </w:rPr>
        <w:t>j</w:t>
      </w:r>
      <w:r w:rsidRPr="002333F2">
        <w:rPr>
          <w:color w:val="000000"/>
        </w:rPr>
        <w:t xml:space="preserve"> = </w:t>
      </w:r>
      <w:r w:rsidR="009C16DB">
        <w:rPr>
          <w:i/>
          <w:color w:val="000000"/>
        </w:rPr>
        <w:t>a + b</w:t>
      </w:r>
      <w:r w:rsidRPr="00AA3093">
        <w:rPr>
          <w:i/>
          <w:color w:val="000000"/>
          <w:vertAlign w:val="subscript"/>
        </w:rPr>
        <w:t xml:space="preserve">1 </w:t>
      </w:r>
      <w:r w:rsidRPr="00AA3093">
        <w:rPr>
          <w:i/>
          <w:color w:val="000000"/>
        </w:rPr>
        <w:t>CL</w:t>
      </w:r>
      <w:r w:rsidRPr="00AA3093">
        <w:rPr>
          <w:i/>
          <w:color w:val="000000"/>
          <w:vertAlign w:val="subscript"/>
        </w:rPr>
        <w:t>j</w:t>
      </w:r>
      <w:r w:rsidR="009C16DB">
        <w:rPr>
          <w:i/>
          <w:color w:val="000000"/>
        </w:rPr>
        <w:t xml:space="preserve"> + b</w:t>
      </w:r>
      <w:r w:rsidRPr="00AA3093">
        <w:rPr>
          <w:i/>
          <w:color w:val="000000"/>
          <w:vertAlign w:val="subscript"/>
        </w:rPr>
        <w:t xml:space="preserve">2 </w:t>
      </w:r>
      <w:r w:rsidRPr="00AA3093">
        <w:rPr>
          <w:i/>
          <w:color w:val="000000"/>
        </w:rPr>
        <w:t>SLQ</w:t>
      </w:r>
      <w:r w:rsidRPr="00AA3093">
        <w:rPr>
          <w:i/>
          <w:color w:val="000000"/>
          <w:vertAlign w:val="subscript"/>
        </w:rPr>
        <w:t>j</w:t>
      </w:r>
      <w:r w:rsidR="009C16DB">
        <w:rPr>
          <w:i/>
          <w:color w:val="000000"/>
        </w:rPr>
        <w:t xml:space="preserve"> + b</w:t>
      </w:r>
      <w:r w:rsidRPr="00AA3093">
        <w:rPr>
          <w:i/>
          <w:color w:val="000000"/>
          <w:vertAlign w:val="subscript"/>
        </w:rPr>
        <w:t xml:space="preserve">3 </w:t>
      </w:r>
      <w:r w:rsidRPr="00AA3093">
        <w:rPr>
          <w:i/>
          <w:color w:val="000000"/>
        </w:rPr>
        <w:t>IM</w:t>
      </w:r>
      <w:r w:rsidRPr="00AA3093">
        <w:rPr>
          <w:i/>
          <w:color w:val="000000"/>
          <w:vertAlign w:val="subscript"/>
        </w:rPr>
        <w:t>j</w:t>
      </w:r>
      <w:r w:rsidR="009C16DB">
        <w:rPr>
          <w:i/>
          <w:color w:val="000000"/>
        </w:rPr>
        <w:t xml:space="preserve"> + b</w:t>
      </w:r>
      <w:r w:rsidRPr="00AA3093">
        <w:rPr>
          <w:i/>
          <w:color w:val="000000"/>
          <w:vertAlign w:val="subscript"/>
        </w:rPr>
        <w:t xml:space="preserve">4 </w:t>
      </w:r>
      <w:r w:rsidRPr="00AA3093">
        <w:rPr>
          <w:i/>
          <w:color w:val="000000"/>
        </w:rPr>
        <w:t>VA</w:t>
      </w:r>
      <w:r w:rsidRPr="00AA3093">
        <w:rPr>
          <w:i/>
          <w:color w:val="000000"/>
          <w:vertAlign w:val="subscript"/>
        </w:rPr>
        <w:t>j</w:t>
      </w:r>
      <w:r w:rsidR="009C16DB">
        <w:rPr>
          <w:i/>
          <w:color w:val="000000"/>
        </w:rPr>
        <w:t xml:space="preserve"> + e</w:t>
      </w:r>
      <w:r w:rsidRPr="00AA3093">
        <w:rPr>
          <w:i/>
          <w:color w:val="000000"/>
          <w:vertAlign w:val="subscript"/>
        </w:rPr>
        <w:t>j</w:t>
      </w:r>
      <w:r>
        <w:rPr>
          <w:color w:val="000000"/>
        </w:rPr>
        <w:tab/>
        <w:t>(13)</w:t>
      </w:r>
    </w:p>
    <w:p w:rsidR="009C16DB" w:rsidRDefault="009C16DB" w:rsidP="001E74BA">
      <w:pPr>
        <w:widowControl w:val="0"/>
        <w:tabs>
          <w:tab w:val="left" w:pos="284"/>
          <w:tab w:val="center" w:pos="4395"/>
          <w:tab w:val="right" w:pos="8931"/>
        </w:tabs>
        <w:spacing w:after="0" w:line="480" w:lineRule="auto"/>
        <w:ind w:firstLine="0"/>
        <w:jc w:val="center"/>
        <w:rPr>
          <w:color w:val="000000"/>
        </w:rPr>
      </w:pPr>
      <w:r>
        <w:rPr>
          <w:i/>
          <w:color w:val="000000"/>
        </w:rPr>
        <w:tab/>
      </w:r>
      <w:r>
        <w:rPr>
          <w:i/>
          <w:color w:val="000000"/>
        </w:rPr>
        <w:tab/>
      </w:r>
      <w:r>
        <w:rPr>
          <w:color w:val="000000"/>
        </w:rPr>
        <w:t>ln</w:t>
      </w:r>
      <w:r>
        <w:rPr>
          <w:color w:val="000000"/>
          <w:vertAlign w:val="subscript"/>
        </w:rPr>
        <w:t xml:space="preserve"> </w:t>
      </w:r>
      <w:r w:rsidRPr="00B335EC">
        <w:rPr>
          <w:i/>
          <w:color w:val="000000"/>
        </w:rPr>
        <w:t>δ</w:t>
      </w:r>
      <w:r>
        <w:rPr>
          <w:i/>
          <w:color w:val="000000"/>
          <w:vertAlign w:val="subscript"/>
        </w:rPr>
        <w:t>j</w:t>
      </w:r>
      <w:r w:rsidRPr="002333F2">
        <w:rPr>
          <w:color w:val="000000"/>
        </w:rPr>
        <w:t xml:space="preserve"> = </w:t>
      </w:r>
      <w:r>
        <w:rPr>
          <w:i/>
          <w:color w:val="000000"/>
        </w:rPr>
        <w:t>c + d</w:t>
      </w:r>
      <w:r w:rsidRPr="00AA3093">
        <w:rPr>
          <w:i/>
          <w:color w:val="000000"/>
          <w:vertAlign w:val="subscript"/>
        </w:rPr>
        <w:t xml:space="preserve">1 </w:t>
      </w:r>
      <w:r>
        <w:rPr>
          <w:color w:val="000000"/>
        </w:rPr>
        <w:t>ln</w:t>
      </w:r>
      <w:r>
        <w:rPr>
          <w:i/>
          <w:color w:val="000000"/>
          <w:vertAlign w:val="subscript"/>
        </w:rPr>
        <w:t xml:space="preserve"> </w:t>
      </w:r>
      <w:r w:rsidRPr="00AA3093">
        <w:rPr>
          <w:i/>
          <w:color w:val="000000"/>
        </w:rPr>
        <w:t>CL</w:t>
      </w:r>
      <w:r w:rsidRPr="00AA3093">
        <w:rPr>
          <w:i/>
          <w:color w:val="000000"/>
          <w:vertAlign w:val="subscript"/>
        </w:rPr>
        <w:t>j</w:t>
      </w:r>
      <w:r>
        <w:rPr>
          <w:i/>
          <w:color w:val="000000"/>
        </w:rPr>
        <w:t xml:space="preserve"> + d</w:t>
      </w:r>
      <w:r w:rsidRPr="00AA3093">
        <w:rPr>
          <w:i/>
          <w:color w:val="000000"/>
          <w:vertAlign w:val="subscript"/>
        </w:rPr>
        <w:t xml:space="preserve">2 </w:t>
      </w:r>
      <w:r w:rsidRPr="009C16DB">
        <w:rPr>
          <w:color w:val="000000"/>
        </w:rPr>
        <w:t>ln</w:t>
      </w:r>
      <w:r>
        <w:rPr>
          <w:i/>
          <w:color w:val="000000"/>
          <w:vertAlign w:val="subscript"/>
        </w:rPr>
        <w:t xml:space="preserve"> </w:t>
      </w:r>
      <w:r w:rsidRPr="00AA3093">
        <w:rPr>
          <w:i/>
          <w:color w:val="000000"/>
        </w:rPr>
        <w:t>SLQ</w:t>
      </w:r>
      <w:r w:rsidRPr="00AA3093">
        <w:rPr>
          <w:i/>
          <w:color w:val="000000"/>
          <w:vertAlign w:val="subscript"/>
        </w:rPr>
        <w:t>j</w:t>
      </w:r>
      <w:r>
        <w:rPr>
          <w:i/>
          <w:color w:val="000000"/>
        </w:rPr>
        <w:t xml:space="preserve"> + d</w:t>
      </w:r>
      <w:r w:rsidRPr="00AA3093">
        <w:rPr>
          <w:i/>
          <w:color w:val="000000"/>
          <w:vertAlign w:val="subscript"/>
        </w:rPr>
        <w:t xml:space="preserve">3 </w:t>
      </w:r>
      <w:r>
        <w:rPr>
          <w:color w:val="000000"/>
        </w:rPr>
        <w:t>ln</w:t>
      </w:r>
      <w:r>
        <w:rPr>
          <w:i/>
          <w:color w:val="000000"/>
          <w:vertAlign w:val="subscript"/>
        </w:rPr>
        <w:t xml:space="preserve"> </w:t>
      </w:r>
      <w:r w:rsidRPr="00AA3093">
        <w:rPr>
          <w:i/>
          <w:color w:val="000000"/>
        </w:rPr>
        <w:t>IM</w:t>
      </w:r>
      <w:r w:rsidRPr="00AA3093">
        <w:rPr>
          <w:i/>
          <w:color w:val="000000"/>
          <w:vertAlign w:val="subscript"/>
        </w:rPr>
        <w:t>j</w:t>
      </w:r>
      <w:r>
        <w:rPr>
          <w:i/>
          <w:color w:val="000000"/>
        </w:rPr>
        <w:t xml:space="preserve"> + d</w:t>
      </w:r>
      <w:r w:rsidRPr="00AA3093">
        <w:rPr>
          <w:i/>
          <w:color w:val="000000"/>
          <w:vertAlign w:val="subscript"/>
        </w:rPr>
        <w:t xml:space="preserve">4 </w:t>
      </w:r>
      <w:r>
        <w:rPr>
          <w:color w:val="000000"/>
        </w:rPr>
        <w:t>ln</w:t>
      </w:r>
      <w:r>
        <w:rPr>
          <w:i/>
          <w:color w:val="000000"/>
          <w:vertAlign w:val="subscript"/>
        </w:rPr>
        <w:t xml:space="preserve"> </w:t>
      </w:r>
      <w:r w:rsidRPr="00AA3093">
        <w:rPr>
          <w:i/>
          <w:color w:val="000000"/>
        </w:rPr>
        <w:t>VA</w:t>
      </w:r>
      <w:r w:rsidRPr="00AA3093">
        <w:rPr>
          <w:i/>
          <w:color w:val="000000"/>
          <w:vertAlign w:val="subscript"/>
        </w:rPr>
        <w:t>j</w:t>
      </w:r>
      <w:r>
        <w:rPr>
          <w:i/>
          <w:color w:val="000000"/>
        </w:rPr>
        <w:t xml:space="preserve"> + f</w:t>
      </w:r>
      <w:r w:rsidRPr="00AA3093">
        <w:rPr>
          <w:i/>
          <w:color w:val="000000"/>
          <w:vertAlign w:val="subscript"/>
        </w:rPr>
        <w:t>j</w:t>
      </w:r>
      <w:r>
        <w:rPr>
          <w:color w:val="000000"/>
        </w:rPr>
        <w:tab/>
        <w:t>(14)</w:t>
      </w:r>
    </w:p>
    <w:p w:rsidR="003C354F" w:rsidRDefault="003C354F" w:rsidP="003C354F">
      <w:pPr>
        <w:widowControl w:val="0"/>
        <w:tabs>
          <w:tab w:val="left" w:pos="284"/>
          <w:tab w:val="center" w:pos="4395"/>
          <w:tab w:val="right" w:pos="8931"/>
        </w:tabs>
        <w:spacing w:after="0" w:line="480" w:lineRule="auto"/>
        <w:ind w:firstLine="0"/>
        <w:jc w:val="center"/>
      </w:pPr>
      <w:r>
        <w:rPr>
          <w:b/>
        </w:rPr>
        <w:t>Table 9 near here</w:t>
      </w:r>
    </w:p>
    <w:p w:rsidR="00D17898" w:rsidRPr="00C04CDC" w:rsidRDefault="00E90214" w:rsidP="00D17898">
      <w:pPr>
        <w:tabs>
          <w:tab w:val="left" w:pos="284"/>
        </w:tabs>
        <w:spacing w:after="0" w:line="480" w:lineRule="auto"/>
        <w:ind w:firstLine="0"/>
      </w:pPr>
      <w:r w:rsidRPr="00C04CDC">
        <w:t>Table 9</w:t>
      </w:r>
      <w:r w:rsidR="00C04CDC">
        <w:t xml:space="preserve"> reports a mixed outcome: the linear model is best for Daegu, whereas the double-log model (14) is best</w:t>
      </w:r>
      <w:r w:rsidR="00D17898" w:rsidRPr="00C04CDC">
        <w:t xml:space="preserve"> </w:t>
      </w:r>
      <w:r w:rsidR="00C04CDC">
        <w:t>for Gyeongbuk.  However, the differences in performance of the three models are not substantial.</w:t>
      </w:r>
    </w:p>
    <w:p w:rsidR="00D17898" w:rsidRDefault="00D17898" w:rsidP="00D17898">
      <w:pPr>
        <w:spacing w:after="0"/>
        <w:ind w:firstLine="0"/>
        <w:jc w:val="left"/>
        <w:rPr>
          <w:lang w:val="en-US"/>
        </w:rPr>
      </w:pPr>
    </w:p>
    <w:p w:rsidR="00D17898" w:rsidRDefault="00D17898" w:rsidP="007F7E75">
      <w:pPr>
        <w:spacing w:after="0" w:line="480" w:lineRule="auto"/>
        <w:ind w:firstLine="0"/>
        <w:jc w:val="left"/>
        <w:rPr>
          <w:lang w:val="en-US"/>
        </w:rPr>
      </w:pPr>
      <w:r>
        <w:rPr>
          <w:b/>
          <w:lang w:val="en-US"/>
        </w:rPr>
        <w:t>4</w:t>
      </w:r>
      <w:r w:rsidRPr="00812803">
        <w:rPr>
          <w:b/>
          <w:lang w:val="en-US"/>
        </w:rPr>
        <w:t xml:space="preserve">  </w:t>
      </w:r>
      <w:r>
        <w:rPr>
          <w:b/>
          <w:lang w:val="en-US"/>
        </w:rPr>
        <w:t>Extension to all regions</w:t>
      </w:r>
    </w:p>
    <w:p w:rsidR="007F7E75" w:rsidRPr="001C3E8B" w:rsidRDefault="007F7E75" w:rsidP="007F7E75">
      <w:pPr>
        <w:widowControl w:val="0"/>
        <w:spacing w:after="0" w:line="480" w:lineRule="auto"/>
        <w:ind w:firstLine="0"/>
        <w:rPr>
          <w:lang w:val="en-US"/>
        </w:rPr>
      </w:pPr>
      <w:r>
        <w:rPr>
          <w:b/>
          <w:lang w:val="en-US"/>
        </w:rPr>
        <w:t xml:space="preserve">4.1  Results for </w:t>
      </w:r>
      <w:r w:rsidR="002A6A0F">
        <w:rPr>
          <w:b/>
          <w:lang w:val="en-US"/>
        </w:rPr>
        <w:t>16</w:t>
      </w:r>
      <w:r>
        <w:rPr>
          <w:b/>
          <w:lang w:val="en-US"/>
        </w:rPr>
        <w:t xml:space="preserve"> regions</w:t>
      </w:r>
    </w:p>
    <w:p w:rsidR="00CF69BA" w:rsidRPr="00CF69BA" w:rsidRDefault="00CF69BA" w:rsidP="000777D3">
      <w:pPr>
        <w:widowControl w:val="0"/>
        <w:spacing w:after="0" w:line="480" w:lineRule="auto"/>
        <w:ind w:firstLine="0"/>
        <w:rPr>
          <w:lang w:val="en-US"/>
        </w:rPr>
      </w:pPr>
      <w:r>
        <w:rPr>
          <w:lang w:val="en-US"/>
        </w:rPr>
        <w:t xml:space="preserve">In this section, we expand our analysis to encompass all </w:t>
      </w:r>
      <w:r w:rsidR="00361C5E">
        <w:rPr>
          <w:lang w:val="en-US"/>
        </w:rPr>
        <w:t xml:space="preserve">16 </w:t>
      </w:r>
      <w:r>
        <w:rPr>
          <w:lang w:val="en-US"/>
        </w:rPr>
        <w:t>South Korean regions.  The main objective is to produce results that are more generally valid, particularly in terms of finding appropriate values for the unknown parameter</w:t>
      </w:r>
      <w:r w:rsidRPr="00B335EC">
        <w:rPr>
          <w:i/>
          <w:color w:val="000000"/>
        </w:rPr>
        <w:t xml:space="preserve"> δ</w:t>
      </w:r>
      <w:r>
        <w:rPr>
          <w:color w:val="000000"/>
        </w:rPr>
        <w:t xml:space="preserve"> in the FLQ formula.</w:t>
      </w:r>
      <w:r w:rsidR="00C55C13">
        <w:rPr>
          <w:color w:val="000000"/>
        </w:rPr>
        <w:t xml:space="preserve">  Before considering </w:t>
      </w:r>
      <w:r w:rsidR="00564EBD">
        <w:rPr>
          <w:color w:val="000000"/>
        </w:rPr>
        <w:t>our findings</w:t>
      </w:r>
      <w:r w:rsidR="00C55C13">
        <w:rPr>
          <w:color w:val="000000"/>
        </w:rPr>
        <w:t xml:space="preserve">, it may be helpful to examine the key regional characteristics </w:t>
      </w:r>
      <w:r w:rsidR="00ED464A">
        <w:rPr>
          <w:color w:val="000000"/>
        </w:rPr>
        <w:t>present</w:t>
      </w:r>
      <w:r w:rsidR="00564EBD">
        <w:rPr>
          <w:color w:val="000000"/>
        </w:rPr>
        <w:t>ed</w:t>
      </w:r>
      <w:r w:rsidR="00C55C13">
        <w:rPr>
          <w:color w:val="000000"/>
        </w:rPr>
        <w:t xml:space="preserve"> in Table 10.</w:t>
      </w:r>
    </w:p>
    <w:p w:rsidR="00C55C13" w:rsidRDefault="00C55C13" w:rsidP="00C55C13">
      <w:pPr>
        <w:widowControl w:val="0"/>
        <w:tabs>
          <w:tab w:val="left" w:pos="284"/>
          <w:tab w:val="center" w:pos="4395"/>
          <w:tab w:val="right" w:pos="8931"/>
        </w:tabs>
        <w:spacing w:after="0" w:line="480" w:lineRule="auto"/>
        <w:ind w:firstLine="0"/>
        <w:jc w:val="center"/>
      </w:pPr>
      <w:r>
        <w:rPr>
          <w:b/>
        </w:rPr>
        <w:t>Table 10 near here</w:t>
      </w:r>
    </w:p>
    <w:p w:rsidR="00967A61" w:rsidRDefault="00967A61" w:rsidP="004F70C0">
      <w:pPr>
        <w:widowControl w:val="0"/>
        <w:tabs>
          <w:tab w:val="left" w:pos="284"/>
          <w:tab w:val="right" w:pos="8222"/>
        </w:tabs>
        <w:spacing w:after="0" w:line="480" w:lineRule="auto"/>
        <w:ind w:firstLine="0"/>
        <w:rPr>
          <w:color w:val="000000"/>
        </w:rPr>
      </w:pPr>
      <w:r>
        <w:rPr>
          <w:color w:val="000000"/>
        </w:rPr>
        <w:tab/>
      </w:r>
      <w:r w:rsidR="00A75C0B">
        <w:rPr>
          <w:color w:val="000000"/>
        </w:rPr>
        <w:t xml:space="preserve">Table 10 </w:t>
      </w:r>
      <w:r w:rsidR="0031719C">
        <w:rPr>
          <w:color w:val="000000"/>
        </w:rPr>
        <w:t>examines</w:t>
      </w:r>
      <w:r w:rsidR="00ED464A">
        <w:rPr>
          <w:color w:val="000000"/>
        </w:rPr>
        <w:t xml:space="preserve"> two </w:t>
      </w:r>
      <w:r w:rsidR="00A75C0B">
        <w:rPr>
          <w:color w:val="000000"/>
        </w:rPr>
        <w:t xml:space="preserve">alternative ways of measuring regional size.  </w:t>
      </w:r>
      <w:r w:rsidR="005A6934">
        <w:rPr>
          <w:color w:val="000000"/>
        </w:rPr>
        <w:t xml:space="preserve">Although </w:t>
      </w:r>
      <w:r w:rsidR="00AF47D1">
        <w:rPr>
          <w:color w:val="000000"/>
        </w:rPr>
        <w:t>o</w:t>
      </w:r>
      <w:r w:rsidR="004A3131">
        <w:rPr>
          <w:color w:val="000000"/>
        </w:rPr>
        <w:t xml:space="preserve">ne can see at a glance that the output and employment shares are not </w:t>
      </w:r>
      <w:r w:rsidR="000573EE">
        <w:rPr>
          <w:color w:val="000000"/>
        </w:rPr>
        <w:t xml:space="preserve">perfectly </w:t>
      </w:r>
      <w:r w:rsidR="004A3131">
        <w:rPr>
          <w:color w:val="000000"/>
        </w:rPr>
        <w:t>matched, there is agreement that Gyeonggi-do and Seoul are the two biggest regions and that Jeju-do is the smallest.</w:t>
      </w:r>
      <w:r w:rsidR="000B3B30">
        <w:rPr>
          <w:color w:val="000000"/>
        </w:rPr>
        <w:t xml:space="preserve">  Clearly,</w:t>
      </w:r>
      <w:r w:rsidR="00AF47D1" w:rsidRPr="00AF47D1">
        <w:rPr>
          <w:color w:val="000000"/>
        </w:rPr>
        <w:t xml:space="preserve"> </w:t>
      </w:r>
      <w:r w:rsidR="00AF47D1">
        <w:rPr>
          <w:color w:val="000000"/>
        </w:rPr>
        <w:t xml:space="preserve">with </w:t>
      </w:r>
      <w:r w:rsidR="00AF47D1">
        <w:rPr>
          <w:i/>
          <w:color w:val="000000"/>
        </w:rPr>
        <w:t>r</w:t>
      </w:r>
      <w:r w:rsidR="00AF47D1">
        <w:rPr>
          <w:color w:val="000000"/>
        </w:rPr>
        <w:t xml:space="preserve"> = </w:t>
      </w:r>
      <w:r w:rsidR="00AF47D1" w:rsidRPr="004E422E">
        <w:rPr>
          <w:color w:val="000000"/>
        </w:rPr>
        <w:t>0.921</w:t>
      </w:r>
      <w:r w:rsidR="00AF47D1">
        <w:rPr>
          <w:color w:val="000000"/>
        </w:rPr>
        <w:t xml:space="preserve">, </w:t>
      </w:r>
      <w:r w:rsidR="006248B0">
        <w:rPr>
          <w:color w:val="000000"/>
        </w:rPr>
        <w:t>one would not expect the choice of</w:t>
      </w:r>
      <w:r w:rsidR="000B3B30">
        <w:rPr>
          <w:color w:val="000000"/>
        </w:rPr>
        <w:t xml:space="preserve"> measure </w:t>
      </w:r>
      <w:r w:rsidR="006248B0">
        <w:rPr>
          <w:color w:val="000000"/>
        </w:rPr>
        <w:t>to</w:t>
      </w:r>
      <w:r w:rsidR="00660630">
        <w:rPr>
          <w:color w:val="000000"/>
        </w:rPr>
        <w:t xml:space="preserve"> </w:t>
      </w:r>
      <w:r w:rsidR="000B3B30">
        <w:rPr>
          <w:color w:val="000000"/>
        </w:rPr>
        <w:t xml:space="preserve">make </w:t>
      </w:r>
      <w:r w:rsidR="00AF47D1">
        <w:rPr>
          <w:color w:val="000000"/>
        </w:rPr>
        <w:t xml:space="preserve">a major </w:t>
      </w:r>
      <w:r w:rsidR="000B3B30">
        <w:rPr>
          <w:color w:val="000000"/>
        </w:rPr>
        <w:t xml:space="preserve">difference to </w:t>
      </w:r>
      <w:r w:rsidR="00564EBD">
        <w:rPr>
          <w:color w:val="000000"/>
        </w:rPr>
        <w:t>most</w:t>
      </w:r>
      <w:r w:rsidR="000B3B30">
        <w:rPr>
          <w:color w:val="000000"/>
        </w:rPr>
        <w:t xml:space="preserve"> outcomes for the FLQ.</w:t>
      </w:r>
      <w:r w:rsidR="005A6934">
        <w:rPr>
          <w:color w:val="000000"/>
        </w:rPr>
        <w:t xml:space="preserve">  Even so, output would be our preferred measure s</w:t>
      </w:r>
      <w:r w:rsidR="00660630">
        <w:rPr>
          <w:color w:val="000000"/>
        </w:rPr>
        <w:t>ince</w:t>
      </w:r>
      <w:r w:rsidR="005A6934">
        <w:rPr>
          <w:color w:val="000000"/>
        </w:rPr>
        <w:t xml:space="preserve"> it is not distorted by interregional </w:t>
      </w:r>
      <w:r w:rsidR="00283838">
        <w:rPr>
          <w:color w:val="000000"/>
        </w:rPr>
        <w:t>variation</w:t>
      </w:r>
      <w:r w:rsidR="005A6934">
        <w:rPr>
          <w:color w:val="000000"/>
        </w:rPr>
        <w:t>s in productivity.</w:t>
      </w:r>
    </w:p>
    <w:p w:rsidR="00637C98" w:rsidRDefault="00637C98" w:rsidP="00967A61">
      <w:pPr>
        <w:tabs>
          <w:tab w:val="left" w:pos="284"/>
          <w:tab w:val="right" w:pos="8222"/>
        </w:tabs>
        <w:spacing w:after="0" w:line="480" w:lineRule="auto"/>
        <w:ind w:firstLine="0"/>
        <w:rPr>
          <w:color w:val="000000"/>
        </w:rPr>
      </w:pPr>
      <w:r>
        <w:rPr>
          <w:color w:val="000000"/>
        </w:rPr>
        <w:tab/>
      </w:r>
      <w:r w:rsidR="0079284E">
        <w:rPr>
          <w:color w:val="000000"/>
        </w:rPr>
        <w:t xml:space="preserve">LQ-based approaches presuppose that </w:t>
      </w:r>
      <w:r w:rsidR="00620461">
        <w:rPr>
          <w:color w:val="000000"/>
        </w:rPr>
        <w:t>the share of foreign imports in gross output does</w:t>
      </w:r>
      <w:r w:rsidR="000409CF">
        <w:rPr>
          <w:color w:val="000000"/>
        </w:rPr>
        <w:t xml:space="preserve"> </w:t>
      </w:r>
      <w:r w:rsidR="00620461">
        <w:rPr>
          <w:color w:val="000000"/>
        </w:rPr>
        <w:t>n</w:t>
      </w:r>
      <w:r w:rsidR="000409CF">
        <w:rPr>
          <w:color w:val="000000"/>
        </w:rPr>
        <w:t>o</w:t>
      </w:r>
      <w:r w:rsidR="00620461">
        <w:rPr>
          <w:color w:val="000000"/>
        </w:rPr>
        <w:t>t vary across regions</w:t>
      </w:r>
      <w:r w:rsidR="0055632C">
        <w:rPr>
          <w:color w:val="000000"/>
        </w:rPr>
        <w:t>.  A</w:t>
      </w:r>
      <w:r w:rsidR="000409CF">
        <w:rPr>
          <w:color w:val="000000"/>
        </w:rPr>
        <w:t>ny deviations from the mean would introduce inaccuracies into the simulations</w:t>
      </w:r>
      <w:r w:rsidR="0055632C">
        <w:rPr>
          <w:color w:val="000000"/>
        </w:rPr>
        <w:t>, yet</w:t>
      </w:r>
      <w:r w:rsidR="00620461">
        <w:rPr>
          <w:color w:val="000000"/>
        </w:rPr>
        <w:t xml:space="preserve"> Table 10 </w:t>
      </w:r>
      <w:r w:rsidR="001E1BF6">
        <w:rPr>
          <w:color w:val="000000"/>
        </w:rPr>
        <w:t>reveal</w:t>
      </w:r>
      <w:r w:rsidR="00620461">
        <w:rPr>
          <w:color w:val="000000"/>
        </w:rPr>
        <w:t xml:space="preserve">s that this assumption </w:t>
      </w:r>
      <w:r w:rsidR="00CC40A0">
        <w:rPr>
          <w:color w:val="000000"/>
        </w:rPr>
        <w:t xml:space="preserve">of constant shares </w:t>
      </w:r>
      <w:r w:rsidR="00620461">
        <w:rPr>
          <w:color w:val="000000"/>
        </w:rPr>
        <w:t>is far from being satisfied</w:t>
      </w:r>
      <w:r w:rsidR="00CC40A0">
        <w:rPr>
          <w:color w:val="000000"/>
        </w:rPr>
        <w:t xml:space="preserve">. </w:t>
      </w:r>
      <w:r w:rsidR="000409CF">
        <w:rPr>
          <w:color w:val="000000"/>
        </w:rPr>
        <w:t xml:space="preserve"> </w:t>
      </w:r>
      <w:r w:rsidR="00620461">
        <w:rPr>
          <w:color w:val="000000"/>
        </w:rPr>
        <w:t>Ulsan</w:t>
      </w:r>
      <w:r w:rsidR="006D5A76">
        <w:rPr>
          <w:color w:val="000000"/>
        </w:rPr>
        <w:t>, in particular,</w:t>
      </w:r>
      <w:r w:rsidR="00620461">
        <w:rPr>
          <w:color w:val="000000"/>
        </w:rPr>
        <w:t xml:space="preserve"> stands out as having an especially high share of foreign imports</w:t>
      </w:r>
      <w:r w:rsidR="007F6310">
        <w:rPr>
          <w:color w:val="000000"/>
        </w:rPr>
        <w:t>.</w:t>
      </w:r>
      <w:r w:rsidR="007750D7" w:rsidRPr="007750D7">
        <w:rPr>
          <w:color w:val="000000"/>
        </w:rPr>
        <w:t xml:space="preserve"> </w:t>
      </w:r>
      <w:r w:rsidR="007750D7">
        <w:rPr>
          <w:color w:val="000000"/>
        </w:rPr>
        <w:t xml:space="preserve"> As regards imports from other regions, Seoul and </w:t>
      </w:r>
      <w:r w:rsidR="007750D7" w:rsidRPr="007750D7">
        <w:rPr>
          <w:color w:val="000000"/>
        </w:rPr>
        <w:t>Jeollanam-do</w:t>
      </w:r>
      <w:r w:rsidR="007750D7">
        <w:rPr>
          <w:color w:val="000000"/>
        </w:rPr>
        <w:t xml:space="preserve"> exhibit noticeably lower shares than </w:t>
      </w:r>
      <w:r w:rsidR="00A13BE2">
        <w:rPr>
          <w:color w:val="000000"/>
        </w:rPr>
        <w:t xml:space="preserve">those </w:t>
      </w:r>
      <w:r w:rsidR="00240EF0">
        <w:rPr>
          <w:color w:val="000000"/>
        </w:rPr>
        <w:t>in</w:t>
      </w:r>
      <w:r w:rsidR="00A13BE2">
        <w:rPr>
          <w:color w:val="000000"/>
        </w:rPr>
        <w:t xml:space="preserve"> </w:t>
      </w:r>
      <w:r w:rsidR="001E1BF6">
        <w:rPr>
          <w:color w:val="000000"/>
        </w:rPr>
        <w:t>t</w:t>
      </w:r>
      <w:r w:rsidR="007750D7">
        <w:rPr>
          <w:color w:val="000000"/>
        </w:rPr>
        <w:t xml:space="preserve">he other regions, </w:t>
      </w:r>
      <w:r w:rsidR="00A13BE2">
        <w:rPr>
          <w:color w:val="000000"/>
        </w:rPr>
        <w:t>where</w:t>
      </w:r>
      <w:r w:rsidR="007750D7">
        <w:rPr>
          <w:color w:val="000000"/>
        </w:rPr>
        <w:t xml:space="preserve"> the shares do not vary </w:t>
      </w:r>
      <w:r w:rsidR="00A13BE2">
        <w:rPr>
          <w:color w:val="000000"/>
        </w:rPr>
        <w:t>much</w:t>
      </w:r>
      <w:r w:rsidR="007750D7">
        <w:rPr>
          <w:color w:val="000000"/>
        </w:rPr>
        <w:t xml:space="preserve"> from the mean. </w:t>
      </w:r>
      <w:r w:rsidR="00291F60">
        <w:rPr>
          <w:color w:val="000000"/>
        </w:rPr>
        <w:t xml:space="preserve"> In fact, the coefficient of variation, </w:t>
      </w:r>
      <w:r w:rsidR="00291F60" w:rsidRPr="00A13BE2">
        <w:rPr>
          <w:i/>
          <w:color w:val="000000"/>
        </w:rPr>
        <w:t>V</w:t>
      </w:r>
      <w:r w:rsidR="00291F60">
        <w:rPr>
          <w:color w:val="000000"/>
        </w:rPr>
        <w:t>, shows that the dispersion in this variable is low.</w:t>
      </w:r>
      <w:r w:rsidR="007750D7">
        <w:rPr>
          <w:color w:val="000000"/>
        </w:rPr>
        <w:t xml:space="preserve"> Accounting for differences</w:t>
      </w:r>
      <w:r w:rsidR="00DD3542">
        <w:rPr>
          <w:color w:val="000000"/>
        </w:rPr>
        <w:t xml:space="preserve"> in the propensity to purchase inputs from other regions is, of course, something that the FLQ is designed to do.</w:t>
      </w:r>
    </w:p>
    <w:p w:rsidR="00B413B4" w:rsidRPr="001E1BF6" w:rsidRDefault="00B413B4" w:rsidP="00967A61">
      <w:pPr>
        <w:tabs>
          <w:tab w:val="left" w:pos="284"/>
          <w:tab w:val="right" w:pos="8222"/>
        </w:tabs>
        <w:spacing w:after="0" w:line="480" w:lineRule="auto"/>
        <w:ind w:firstLine="0"/>
      </w:pPr>
      <w:r>
        <w:rPr>
          <w:color w:val="000000"/>
        </w:rPr>
        <w:tab/>
        <w:t xml:space="preserve">Herfindahl’s index, </w:t>
      </w:r>
      <w:r>
        <w:rPr>
          <w:i/>
          <w:color w:val="000000"/>
        </w:rPr>
        <w:t>H</w:t>
      </w:r>
      <w:r>
        <w:rPr>
          <w:i/>
          <w:color w:val="000000"/>
          <w:vertAlign w:val="subscript"/>
        </w:rPr>
        <w:t>r</w:t>
      </w:r>
      <w:r w:rsidRPr="00817C35">
        <w:rPr>
          <w:i/>
          <w:color w:val="000000"/>
          <w:lang w:val="sv-SE"/>
        </w:rPr>
        <w:t xml:space="preserve"> </w:t>
      </w:r>
      <w:r>
        <w:rPr>
          <w:i/>
        </w:rPr>
        <w:t>=</w:t>
      </w:r>
      <w:r w:rsidRPr="00817C35">
        <w:rPr>
          <w:i/>
          <w:color w:val="000000"/>
          <w:lang w:val="sv-SE"/>
        </w:rPr>
        <w:t xml:space="preserve"> </w:t>
      </w:r>
      <w:r w:rsidRPr="0025239F">
        <w:rPr>
          <w:position w:val="-12"/>
        </w:rPr>
        <w:object w:dxaOrig="1460" w:dyaOrig="400">
          <v:shape id="_x0000_i1039" type="#_x0000_t75" style="width:1in;height:21.3pt" o:ole="">
            <v:imagedata r:id="rId37" o:title=""/>
          </v:shape>
          <o:OLEObject Type="Embed" ProgID="Equation.3" ShapeID="_x0000_i1039" DrawAspect="Content" ObjectID="_1524667226" r:id="rId38"/>
        </w:object>
      </w:r>
      <w:r>
        <w:t xml:space="preserve">, where </w:t>
      </w:r>
      <w:r w:rsidRPr="0025239F">
        <w:rPr>
          <w:position w:val="-12"/>
        </w:rPr>
        <w:object w:dxaOrig="420" w:dyaOrig="460">
          <v:shape id="_x0000_i1040" type="#_x0000_t75" style="width:21.3pt;height:24.4pt" o:ole="">
            <v:imagedata r:id="rId39" o:title=""/>
          </v:shape>
          <o:OLEObject Type="Embed" ProgID="Equation.3" ShapeID="_x0000_i1040" DrawAspect="Content" ObjectID="_1524667227" r:id="rId40"/>
        </w:object>
      </w:r>
      <w:r>
        <w:t xml:space="preserve">is the output of sector </w:t>
      </w:r>
      <w:r>
        <w:rPr>
          <w:i/>
        </w:rPr>
        <w:t>i</w:t>
      </w:r>
      <w:r>
        <w:t xml:space="preserve"> in region </w:t>
      </w:r>
      <w:r>
        <w:rPr>
          <w:i/>
        </w:rPr>
        <w:t>r</w:t>
      </w:r>
      <w:r>
        <w:t xml:space="preserve">, measures the extent to which each region’s output is concentrated in </w:t>
      </w:r>
      <w:r w:rsidR="00254167">
        <w:t>one or more</w:t>
      </w:r>
      <w:r>
        <w:t xml:space="preserve"> sectors.</w:t>
      </w:r>
      <w:r w:rsidR="001E1BF6">
        <w:t xml:space="preserve"> </w:t>
      </w:r>
      <w:r w:rsidR="00291F60">
        <w:t xml:space="preserve"> </w:t>
      </w:r>
      <w:r w:rsidR="00291F60">
        <w:rPr>
          <w:color w:val="000000"/>
        </w:rPr>
        <w:t xml:space="preserve">Ulsan again stands out as having an unusually high value for </w:t>
      </w:r>
      <w:r w:rsidR="00254167">
        <w:rPr>
          <w:i/>
          <w:color w:val="000000"/>
        </w:rPr>
        <w:t>H</w:t>
      </w:r>
      <w:r w:rsidR="00254167">
        <w:rPr>
          <w:i/>
          <w:color w:val="000000"/>
          <w:vertAlign w:val="subscript"/>
        </w:rPr>
        <w:t>r</w:t>
      </w:r>
      <w:r w:rsidR="00254167">
        <w:rPr>
          <w:color w:val="000000"/>
        </w:rPr>
        <w:t xml:space="preserve">.  However, apart from Seoul, Gyeongbuk and Jeollanam-do, the remaining regions all have values </w:t>
      </w:r>
      <w:r w:rsidR="0092043B">
        <w:rPr>
          <w:color w:val="000000"/>
        </w:rPr>
        <w:t xml:space="preserve">fairly </w:t>
      </w:r>
      <w:r w:rsidR="00254167">
        <w:rPr>
          <w:color w:val="000000"/>
        </w:rPr>
        <w:t>close to the mean.</w:t>
      </w:r>
    </w:p>
    <w:p w:rsidR="001C3E8B" w:rsidRDefault="001C3E8B" w:rsidP="001C3E8B">
      <w:pPr>
        <w:spacing w:after="0" w:line="480" w:lineRule="auto"/>
        <w:ind w:firstLine="0"/>
        <w:jc w:val="center"/>
      </w:pPr>
      <w:r>
        <w:rPr>
          <w:b/>
        </w:rPr>
        <w:t>Table 11 near here</w:t>
      </w:r>
    </w:p>
    <w:p w:rsidR="00491ACA" w:rsidRPr="002D5AE5" w:rsidRDefault="00491ACA" w:rsidP="00491ACA">
      <w:pPr>
        <w:widowControl w:val="0"/>
        <w:tabs>
          <w:tab w:val="left" w:pos="284"/>
        </w:tabs>
        <w:spacing w:after="0" w:line="480" w:lineRule="auto"/>
        <w:ind w:firstLine="0"/>
        <w:rPr>
          <w:lang w:val="en-US"/>
        </w:rPr>
      </w:pPr>
      <w:r>
        <w:tab/>
      </w:r>
      <w:r w:rsidR="00EB1438">
        <w:t>T</w:t>
      </w:r>
      <w:r w:rsidR="00EB1438">
        <w:rPr>
          <w:color w:val="000000"/>
        </w:rPr>
        <w:t xml:space="preserve">he minimum MAPE </w:t>
      </w:r>
      <w:r w:rsidR="00240EF0">
        <w:rPr>
          <w:color w:val="000000"/>
        </w:rPr>
        <w:t>in</w:t>
      </w:r>
      <w:r w:rsidR="00EB1438">
        <w:rPr>
          <w:color w:val="000000"/>
        </w:rPr>
        <w:t xml:space="preserve"> each region is </w:t>
      </w:r>
      <w:r w:rsidR="00B65CA8">
        <w:rPr>
          <w:color w:val="000000"/>
        </w:rPr>
        <w:t xml:space="preserve">identified </w:t>
      </w:r>
      <w:r w:rsidR="00EB1438">
        <w:rPr>
          <w:color w:val="000000"/>
        </w:rPr>
        <w:t>in bold in Table 11, along with the corresponding</w:t>
      </w:r>
      <w:r>
        <w:t xml:space="preserve"> </w:t>
      </w:r>
      <w:r w:rsidR="002D5AE5">
        <w:t xml:space="preserve">optimal </w:t>
      </w:r>
      <w:r>
        <w:t xml:space="preserve">value of </w:t>
      </w:r>
      <w:r w:rsidRPr="00B335EC">
        <w:rPr>
          <w:i/>
          <w:color w:val="000000"/>
        </w:rPr>
        <w:t>δ</w:t>
      </w:r>
      <w:r w:rsidR="002010A7">
        <w:rPr>
          <w:color w:val="000000"/>
        </w:rPr>
        <w:t>.</w:t>
      </w:r>
      <w:r w:rsidR="00243239">
        <w:rPr>
          <w:b/>
          <w:color w:val="000000"/>
          <w:vertAlign w:val="superscript"/>
        </w:rPr>
        <w:t>7</w:t>
      </w:r>
      <w:r w:rsidR="00FB299E">
        <w:rPr>
          <w:color w:val="000000"/>
        </w:rPr>
        <w:t xml:space="preserve">  It is evident that there is much interregional variation in the </w:t>
      </w:r>
      <w:r w:rsidR="002F5BF7">
        <w:rPr>
          <w:color w:val="000000"/>
        </w:rPr>
        <w:t xml:space="preserve">optimal </w:t>
      </w:r>
      <w:r w:rsidR="001F51B1">
        <w:t xml:space="preserve">values of </w:t>
      </w:r>
      <w:r w:rsidR="001F51B1" w:rsidRPr="00B335EC">
        <w:rPr>
          <w:i/>
          <w:color w:val="000000"/>
        </w:rPr>
        <w:t>δ</w:t>
      </w:r>
      <w:r w:rsidR="00FB299E">
        <w:rPr>
          <w:color w:val="000000"/>
        </w:rPr>
        <w:t>, yet it is also true that ten of these values lie</w:t>
      </w:r>
      <w:r w:rsidR="001F51B1">
        <w:rPr>
          <w:color w:val="000000"/>
        </w:rPr>
        <w:t xml:space="preserve"> in the range 0.4 </w:t>
      </w:r>
      <w:r w:rsidR="002F5BF7">
        <w:rPr>
          <w:color w:val="000000"/>
        </w:rPr>
        <w:t>± 0.05</w:t>
      </w:r>
      <w:r w:rsidR="0089303E">
        <w:rPr>
          <w:color w:val="000000"/>
        </w:rPr>
        <w:t xml:space="preserve">, where MAPE is about 8%.  Gangwon-do and Jeju-do are atypical in requiring </w:t>
      </w:r>
      <w:r w:rsidR="006316A0" w:rsidRPr="00B335EC">
        <w:rPr>
          <w:i/>
          <w:color w:val="000000"/>
        </w:rPr>
        <w:t>δ</w:t>
      </w:r>
      <w:r w:rsidR="006316A0">
        <w:rPr>
          <w:i/>
          <w:color w:val="000000"/>
        </w:rPr>
        <w:t xml:space="preserve"> </w:t>
      </w:r>
      <w:r w:rsidR="006316A0">
        <w:rPr>
          <w:color w:val="000000"/>
        </w:rPr>
        <w:t>=</w:t>
      </w:r>
      <w:r w:rsidR="006316A0" w:rsidRPr="0089303E">
        <w:rPr>
          <w:color w:val="000000"/>
        </w:rPr>
        <w:t xml:space="preserve"> 0.2</w:t>
      </w:r>
      <w:r w:rsidR="0089303E">
        <w:rPr>
          <w:color w:val="000000"/>
        </w:rPr>
        <w:t xml:space="preserve">.  </w:t>
      </w:r>
      <w:r w:rsidR="00240EF0">
        <w:rPr>
          <w:color w:val="000000"/>
        </w:rPr>
        <w:t>On the other hand</w:t>
      </w:r>
      <w:r w:rsidR="0089303E">
        <w:rPr>
          <w:color w:val="000000"/>
        </w:rPr>
        <w:t>, three regions need</w:t>
      </w:r>
      <w:r w:rsidR="006316A0">
        <w:rPr>
          <w:color w:val="000000"/>
        </w:rPr>
        <w:t xml:space="preserve"> at least</w:t>
      </w:r>
      <w:r w:rsidR="0089303E">
        <w:rPr>
          <w:color w:val="000000"/>
        </w:rPr>
        <w:t xml:space="preserve"> </w:t>
      </w:r>
      <w:r w:rsidR="0089303E" w:rsidRPr="00B335EC">
        <w:rPr>
          <w:i/>
          <w:color w:val="000000"/>
        </w:rPr>
        <w:t>δ</w:t>
      </w:r>
      <w:r w:rsidR="0089303E">
        <w:rPr>
          <w:i/>
          <w:color w:val="000000"/>
        </w:rPr>
        <w:t xml:space="preserve"> </w:t>
      </w:r>
      <w:r w:rsidR="0089303E">
        <w:rPr>
          <w:color w:val="000000"/>
        </w:rPr>
        <w:t>=</w:t>
      </w:r>
      <w:r w:rsidR="0089303E" w:rsidRPr="0089303E">
        <w:rPr>
          <w:color w:val="000000"/>
        </w:rPr>
        <w:t xml:space="preserve"> 0.</w:t>
      </w:r>
      <w:r w:rsidR="0089303E">
        <w:rPr>
          <w:color w:val="000000"/>
        </w:rPr>
        <w:t>5.</w:t>
      </w:r>
      <w:r w:rsidR="00243239">
        <w:rPr>
          <w:b/>
          <w:color w:val="000000"/>
          <w:vertAlign w:val="superscript"/>
        </w:rPr>
        <w:t>8</w:t>
      </w:r>
      <w:r w:rsidR="002D5AE5">
        <w:rPr>
          <w:color w:val="000000"/>
        </w:rPr>
        <w:t xml:space="preserve">  Looking at the </w:t>
      </w:r>
      <w:r w:rsidR="0055632C">
        <w:rPr>
          <w:color w:val="000000"/>
        </w:rPr>
        <w:t>overall pattern of results</w:t>
      </w:r>
      <w:r w:rsidR="002D5AE5">
        <w:rPr>
          <w:color w:val="000000"/>
        </w:rPr>
        <w:t xml:space="preserve">, there does </w:t>
      </w:r>
      <w:r w:rsidR="00240EF0">
        <w:rPr>
          <w:color w:val="000000"/>
        </w:rPr>
        <w:t>seem</w:t>
      </w:r>
      <w:r w:rsidR="002D5AE5">
        <w:rPr>
          <w:color w:val="000000"/>
        </w:rPr>
        <w:t xml:space="preserve"> to be some tendency for the m</w:t>
      </w:r>
      <w:r w:rsidR="005A06E0">
        <w:rPr>
          <w:color w:val="000000"/>
        </w:rPr>
        <w:t>inim</w:t>
      </w:r>
      <w:r w:rsidR="0055632C">
        <w:rPr>
          <w:color w:val="000000"/>
        </w:rPr>
        <w:t>um</w:t>
      </w:r>
      <w:r w:rsidR="002D5AE5">
        <w:rPr>
          <w:color w:val="000000"/>
        </w:rPr>
        <w:t xml:space="preserve"> MAPE to rise along with the </w:t>
      </w:r>
      <w:r w:rsidR="0055632C">
        <w:t xml:space="preserve">optimal </w:t>
      </w:r>
      <w:r w:rsidR="002D5AE5" w:rsidRPr="00B335EC">
        <w:rPr>
          <w:i/>
          <w:color w:val="000000"/>
        </w:rPr>
        <w:t>δ</w:t>
      </w:r>
      <w:r w:rsidR="002D5AE5">
        <w:rPr>
          <w:color w:val="000000"/>
        </w:rPr>
        <w:t>.</w:t>
      </w:r>
    </w:p>
    <w:p w:rsidR="001C3E8B" w:rsidRDefault="001C3E8B" w:rsidP="001C3E8B">
      <w:pPr>
        <w:spacing w:after="0"/>
        <w:ind w:firstLine="0"/>
        <w:rPr>
          <w:lang w:val="en-US"/>
        </w:rPr>
      </w:pPr>
    </w:p>
    <w:p w:rsidR="001C3E8B" w:rsidRPr="001C3E8B" w:rsidRDefault="001C3E8B" w:rsidP="001C3E8B">
      <w:pPr>
        <w:spacing w:after="0" w:line="480" w:lineRule="auto"/>
        <w:ind w:firstLine="0"/>
        <w:rPr>
          <w:lang w:val="en-US"/>
        </w:rPr>
      </w:pPr>
      <w:r>
        <w:rPr>
          <w:b/>
          <w:lang w:val="en-US"/>
        </w:rPr>
        <w:t>4.2  Sensitivity analysis using different criteria</w:t>
      </w:r>
    </w:p>
    <w:p w:rsidR="0094298E" w:rsidRDefault="00F30A13" w:rsidP="00355690">
      <w:pPr>
        <w:widowControl w:val="0"/>
        <w:spacing w:after="0" w:line="480" w:lineRule="auto"/>
        <w:ind w:firstLine="0"/>
        <w:rPr>
          <w:lang w:val="en-US"/>
        </w:rPr>
      </w:pPr>
      <w:r>
        <w:rPr>
          <w:lang w:val="en-US"/>
        </w:rPr>
        <w:t xml:space="preserve">The simulations thus far have been evaluated solely in terms of MAPE, thereby facilitating comparisons with the work of Zhao and Choi (2015).  </w:t>
      </w:r>
      <w:r w:rsidR="003A0AC1">
        <w:rPr>
          <w:lang w:val="en-US"/>
        </w:rPr>
        <w:t xml:space="preserve">Although </w:t>
      </w:r>
      <w:r>
        <w:rPr>
          <w:lang w:val="en-US"/>
        </w:rPr>
        <w:t>MAPE has some desirable properties</w:t>
      </w:r>
      <w:r w:rsidR="00F730E0">
        <w:rPr>
          <w:lang w:val="en-US"/>
        </w:rPr>
        <w:t xml:space="preserve"> </w:t>
      </w:r>
      <w:r w:rsidR="002B6017">
        <w:rPr>
          <w:lang w:val="en-US"/>
        </w:rPr>
        <w:t>as a criterion</w:t>
      </w:r>
      <w:r w:rsidR="00100FB9">
        <w:rPr>
          <w:lang w:val="en-US"/>
        </w:rPr>
        <w:t xml:space="preserve">, </w:t>
      </w:r>
      <w:r w:rsidR="00F730E0">
        <w:rPr>
          <w:lang w:val="en-US"/>
        </w:rPr>
        <w:t>it does</w:t>
      </w:r>
      <w:r w:rsidR="00860401">
        <w:rPr>
          <w:lang w:val="en-US"/>
        </w:rPr>
        <w:t xml:space="preserve"> </w:t>
      </w:r>
      <w:r w:rsidR="00F730E0">
        <w:rPr>
          <w:lang w:val="en-US"/>
        </w:rPr>
        <w:t>n</w:t>
      </w:r>
      <w:r w:rsidR="00860401">
        <w:rPr>
          <w:lang w:val="en-US"/>
        </w:rPr>
        <w:t>o</w:t>
      </w:r>
      <w:r w:rsidR="00F730E0">
        <w:rPr>
          <w:lang w:val="en-US"/>
        </w:rPr>
        <w:t xml:space="preserve">t capture all aspects </w:t>
      </w:r>
      <w:r w:rsidR="00B26B63">
        <w:rPr>
          <w:lang w:val="en-US"/>
        </w:rPr>
        <w:t>relevant t</w:t>
      </w:r>
      <w:r w:rsidR="00F730E0">
        <w:rPr>
          <w:lang w:val="en-US"/>
        </w:rPr>
        <w:t xml:space="preserve">o the choice of method.  </w:t>
      </w:r>
      <w:r w:rsidR="00100FB9">
        <w:rPr>
          <w:lang w:val="en-US"/>
        </w:rPr>
        <w:t>I</w:t>
      </w:r>
      <w:r w:rsidR="00F730E0">
        <w:rPr>
          <w:lang w:val="en-US"/>
        </w:rPr>
        <w:t>t is desirable</w:t>
      </w:r>
      <w:r w:rsidR="00100FB9">
        <w:rPr>
          <w:lang w:val="en-US"/>
        </w:rPr>
        <w:t>, therefore,</w:t>
      </w:r>
      <w:r w:rsidR="00F730E0">
        <w:rPr>
          <w:lang w:val="en-US"/>
        </w:rPr>
        <w:t xml:space="preserve"> to </w:t>
      </w:r>
      <w:r w:rsidR="0081619B">
        <w:rPr>
          <w:lang w:val="en-US"/>
        </w:rPr>
        <w:t>employ</w:t>
      </w:r>
      <w:r w:rsidR="00F730E0">
        <w:rPr>
          <w:lang w:val="en-US"/>
        </w:rPr>
        <w:t xml:space="preserve"> a range of criteria with different properties.  </w:t>
      </w:r>
      <w:r w:rsidR="0094298E" w:rsidRPr="00043CA1">
        <w:rPr>
          <w:lang w:val="en-US"/>
        </w:rPr>
        <w:t>Fo</w:t>
      </w:r>
      <w:r w:rsidR="0094298E">
        <w:rPr>
          <w:lang w:val="en-US"/>
        </w:rPr>
        <w:t>llowing previous research (</w:t>
      </w:r>
      <w:r w:rsidR="0094298E">
        <w:rPr>
          <w:color w:val="000000"/>
        </w:rPr>
        <w:t>Flegg and Tohmo 2013a</w:t>
      </w:r>
      <w:r w:rsidR="00B26B63">
        <w:rPr>
          <w:color w:val="000000"/>
        </w:rPr>
        <w:t>,</w:t>
      </w:r>
      <w:r w:rsidR="0094298E">
        <w:rPr>
          <w:color w:val="000000"/>
        </w:rPr>
        <w:t xml:space="preserve"> 2016</w:t>
      </w:r>
      <w:r w:rsidR="00B26B63">
        <w:rPr>
          <w:color w:val="000000"/>
        </w:rPr>
        <w:t>;</w:t>
      </w:r>
      <w:r w:rsidR="007A7712">
        <w:rPr>
          <w:color w:val="000000"/>
        </w:rPr>
        <w:t xml:space="preserve"> Flegg et al. 2016</w:t>
      </w:r>
      <w:r w:rsidR="0094298E">
        <w:rPr>
          <w:lang w:val="en-US"/>
        </w:rPr>
        <w:t xml:space="preserve">), </w:t>
      </w:r>
      <w:r w:rsidR="009C3268">
        <w:rPr>
          <w:lang w:val="en-US"/>
        </w:rPr>
        <w:t>the following</w:t>
      </w:r>
      <w:r w:rsidR="0094298E">
        <w:rPr>
          <w:lang w:val="en-US"/>
        </w:rPr>
        <w:t xml:space="preserve"> additional statistics will be employed to assess the accuracy of the estimated multipliers:</w:t>
      </w:r>
    </w:p>
    <w:p w:rsidR="0094298E" w:rsidRDefault="0094298E" w:rsidP="0094298E">
      <w:pPr>
        <w:pStyle w:val="Normaali1"/>
        <w:tabs>
          <w:tab w:val="left" w:pos="567"/>
          <w:tab w:val="center" w:pos="4536"/>
          <w:tab w:val="right" w:pos="8931"/>
        </w:tabs>
        <w:spacing w:line="480" w:lineRule="auto"/>
        <w:rPr>
          <w:rFonts w:ascii="Times New Roman" w:hAnsi="Times New Roman"/>
          <w:lang w:val="en-GB"/>
        </w:rPr>
      </w:pPr>
      <w:r>
        <w:rPr>
          <w:rFonts w:ascii="Times New Roman" w:hAnsi="Times New Roman"/>
          <w:lang w:val="en-GB"/>
        </w:rPr>
        <w:tab/>
      </w:r>
      <w:r>
        <w:rPr>
          <w:rFonts w:ascii="Times New Roman" w:hAnsi="Times New Roman"/>
          <w:lang w:val="en-GB"/>
        </w:rPr>
        <w:tab/>
        <w:t>MPE</w:t>
      </w:r>
      <w:r w:rsidRPr="0009111F">
        <w:rPr>
          <w:rFonts w:ascii="Times New Roman" w:hAnsi="Times New Roman"/>
          <w:lang w:val="en-GB"/>
        </w:rPr>
        <w:t xml:space="preserve"> = (100/</w:t>
      </w:r>
      <w:r>
        <w:rPr>
          <w:rFonts w:ascii="Times New Roman" w:hAnsi="Times New Roman"/>
          <w:lang w:val="en-GB"/>
        </w:rPr>
        <w:t>28</w:t>
      </w:r>
      <w:r w:rsidRPr="0009111F">
        <w:rPr>
          <w:rFonts w:ascii="Times New Roman" w:hAnsi="Times New Roman"/>
          <w:lang w:val="en-GB"/>
        </w:rPr>
        <w:t>)</w:t>
      </w:r>
      <w:r w:rsidRPr="0009111F">
        <w:rPr>
          <w:rFonts w:ascii="Times New Roman" w:hAnsi="Times New Roman"/>
          <w:vertAlign w:val="subscript"/>
          <w:lang w:val="en-GB"/>
        </w:rPr>
        <w:t xml:space="preserve"> </w:t>
      </w:r>
      <w:r w:rsidRPr="0009111F">
        <w:rPr>
          <w:rFonts w:ascii="Times New Roman" w:hAnsi="Times New Roman"/>
          <w:lang w:val="en-GB"/>
        </w:rPr>
        <w:t>Σ</w:t>
      </w:r>
      <w:r w:rsidRPr="00B335EC">
        <w:rPr>
          <w:rFonts w:ascii="Times New Roman" w:hAnsi="Times New Roman"/>
          <w:i/>
          <w:vertAlign w:val="subscript"/>
          <w:lang w:val="en-GB"/>
        </w:rPr>
        <w:t>j</w:t>
      </w:r>
      <w:r w:rsidRPr="0009111F">
        <w:rPr>
          <w:rFonts w:ascii="Times New Roman" w:hAnsi="Times New Roman"/>
          <w:vertAlign w:val="subscript"/>
          <w:lang w:val="en-GB"/>
        </w:rPr>
        <w:t xml:space="preserve"> </w:t>
      </w:r>
      <w:r w:rsidR="004F4B34" w:rsidRPr="00270256">
        <w:rPr>
          <w:rFonts w:ascii="Times New Roman" w:hAnsi="Times New Roman"/>
          <w:position w:val="-14"/>
        </w:rPr>
        <w:object w:dxaOrig="1520" w:dyaOrig="380">
          <v:shape id="_x0000_i1041" type="#_x0000_t75" style="width:73.9pt;height:19.4pt" o:ole="">
            <v:imagedata r:id="rId41" o:title=""/>
          </v:shape>
          <o:OLEObject Type="Embed" ProgID="Equation.3" ShapeID="_x0000_i1041" DrawAspect="Content" ObjectID="_1524667228" r:id="rId42"/>
        </w:object>
      </w:r>
      <w:r>
        <w:rPr>
          <w:rFonts w:ascii="Times New Roman" w:hAnsi="Times New Roman"/>
        </w:rPr>
        <w:tab/>
        <w:t>(15)</w:t>
      </w:r>
    </w:p>
    <w:p w:rsidR="0094298E" w:rsidRPr="00D12F8F" w:rsidRDefault="0094298E" w:rsidP="0094298E">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t>WM</w:t>
      </w:r>
      <w:r w:rsidR="0029345A">
        <w:rPr>
          <w:rFonts w:ascii="Times New Roman" w:hAnsi="Times New Roman"/>
          <w:lang w:val="en-GB"/>
        </w:rPr>
        <w:t>P</w:t>
      </w:r>
      <w:r>
        <w:rPr>
          <w:rFonts w:ascii="Times New Roman" w:hAnsi="Times New Roman"/>
          <w:lang w:val="en-GB"/>
        </w:rPr>
        <w:t>E</w:t>
      </w:r>
      <w:r w:rsidRPr="0009111F">
        <w:rPr>
          <w:rFonts w:ascii="Times New Roman" w:hAnsi="Times New Roman"/>
          <w:lang w:val="en-GB"/>
        </w:rPr>
        <w:t xml:space="preserve"> =</w:t>
      </w:r>
      <w:r w:rsidR="0029345A">
        <w:rPr>
          <w:rFonts w:ascii="Times New Roman" w:hAnsi="Times New Roman"/>
          <w:lang w:val="en-GB"/>
        </w:rPr>
        <w:t xml:space="preserve"> 100</w:t>
      </w:r>
      <w:r w:rsidR="0029345A">
        <w:rPr>
          <w:rFonts w:ascii="Times New Roman" w:hAnsi="Times New Roman"/>
          <w:vertAlign w:val="subscript"/>
          <w:lang w:val="en-GB"/>
        </w:rPr>
        <w:t xml:space="preserve"> </w:t>
      </w:r>
      <w:r w:rsidRPr="0009111F">
        <w:rPr>
          <w:rFonts w:ascii="Times New Roman" w:hAnsi="Times New Roman"/>
          <w:lang w:val="en-GB"/>
        </w:rPr>
        <w:t>Σ</w:t>
      </w:r>
      <w:r w:rsidRPr="00B335EC">
        <w:rPr>
          <w:rFonts w:ascii="Times New Roman" w:hAnsi="Times New Roman"/>
          <w:i/>
          <w:vertAlign w:val="subscript"/>
          <w:lang w:val="en-GB"/>
        </w:rPr>
        <w:t>j</w:t>
      </w:r>
      <w:r w:rsidRPr="0009111F">
        <w:rPr>
          <w:rFonts w:ascii="Times New Roman" w:hAnsi="Times New Roman"/>
          <w:vertAlign w:val="subscript"/>
          <w:lang w:val="en-GB"/>
        </w:rPr>
        <w:t xml:space="preserve"> </w:t>
      </w:r>
      <w:r w:rsidRPr="0024027F">
        <w:rPr>
          <w:rFonts w:ascii="Times New Roman" w:hAnsi="Times New Roman"/>
          <w:i/>
          <w:lang w:val="en-GB"/>
        </w:rPr>
        <w:t>w</w:t>
      </w:r>
      <w:r w:rsidRPr="0024027F">
        <w:rPr>
          <w:rFonts w:ascii="Times New Roman" w:hAnsi="Times New Roman"/>
          <w:i/>
          <w:vertAlign w:val="subscript"/>
          <w:lang w:val="en-GB"/>
        </w:rPr>
        <w:t>j</w:t>
      </w:r>
      <w:r w:rsidRPr="0009111F">
        <w:rPr>
          <w:rFonts w:ascii="Times New Roman" w:hAnsi="Times New Roman"/>
          <w:vertAlign w:val="subscript"/>
          <w:lang w:val="en-GB"/>
        </w:rPr>
        <w:t xml:space="preserve"> </w:t>
      </w:r>
      <w:r w:rsidR="0029345A" w:rsidRPr="00BF1DA4">
        <w:rPr>
          <w:rFonts w:ascii="Times New Roman" w:hAnsi="Times New Roman"/>
          <w:position w:val="-14"/>
        </w:rPr>
        <w:object w:dxaOrig="1520" w:dyaOrig="380">
          <v:shape id="_x0000_i1042" type="#_x0000_t75" style="width:72.65pt;height:19.4pt" o:ole="">
            <v:imagedata r:id="rId43" o:title=""/>
          </v:shape>
          <o:OLEObject Type="Embed" ProgID="Equation.3" ShapeID="_x0000_i1042" DrawAspect="Content" ObjectID="_1524667229" r:id="rId44"/>
        </w:object>
      </w:r>
      <w:r>
        <w:rPr>
          <w:rFonts w:ascii="Times New Roman" w:hAnsi="Times New Roman"/>
        </w:rPr>
        <w:tab/>
        <w:t>(16)</w:t>
      </w:r>
    </w:p>
    <w:p w:rsidR="0094298E" w:rsidRPr="00D12F8F" w:rsidRDefault="0094298E" w:rsidP="0094298E">
      <w:pPr>
        <w:pStyle w:val="Normaali1"/>
        <w:tabs>
          <w:tab w:val="left" w:pos="426"/>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0029345A">
        <w:rPr>
          <w:rFonts w:ascii="Times New Roman" w:hAnsi="Times New Roman"/>
          <w:lang w:val="en-GB"/>
        </w:rPr>
        <w:t>SDSD</w:t>
      </w:r>
      <w:r w:rsidRPr="00257882">
        <w:rPr>
          <w:rFonts w:ascii="Times New Roman" w:hAnsi="Times New Roman"/>
          <w:szCs w:val="24"/>
        </w:rPr>
        <w:t xml:space="preserve"> </w:t>
      </w:r>
      <w:r w:rsidRPr="0009111F">
        <w:rPr>
          <w:rFonts w:ascii="Times New Roman" w:hAnsi="Times New Roman"/>
          <w:lang w:val="en-GB"/>
        </w:rPr>
        <w:t xml:space="preserve">= </w:t>
      </w:r>
      <w:r w:rsidR="0029345A" w:rsidRPr="00BF1DA4">
        <w:rPr>
          <w:rFonts w:ascii="Times New Roman" w:hAnsi="Times New Roman"/>
          <w:position w:val="-14"/>
        </w:rPr>
        <w:object w:dxaOrig="1900" w:dyaOrig="420">
          <v:shape id="_x0000_i1043" type="#_x0000_t75" style="width:95.8pt;height:21.3pt" o:ole="">
            <v:imagedata r:id="rId45" o:title=""/>
          </v:shape>
          <o:OLEObject Type="Embed" ProgID="Equation.3" ShapeID="_x0000_i1043" DrawAspect="Content" ObjectID="_1524667230" r:id="rId46"/>
        </w:object>
      </w:r>
      <w:r>
        <w:rPr>
          <w:rFonts w:ascii="Times New Roman" w:hAnsi="Times New Roman"/>
        </w:rPr>
        <w:tab/>
        <w:t>(1</w:t>
      </w:r>
      <w:r w:rsidR="0029345A">
        <w:rPr>
          <w:rFonts w:ascii="Times New Roman" w:hAnsi="Times New Roman"/>
        </w:rPr>
        <w:t>7</w:t>
      </w:r>
      <w:r>
        <w:rPr>
          <w:rFonts w:ascii="Times New Roman" w:hAnsi="Times New Roman"/>
        </w:rPr>
        <w:t>)</w:t>
      </w:r>
    </w:p>
    <w:p w:rsidR="0094298E" w:rsidRDefault="0094298E" w:rsidP="0094298E">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t>U</w:t>
      </w:r>
      <w:r w:rsidRPr="0009111F">
        <w:rPr>
          <w:rFonts w:ascii="Times New Roman" w:hAnsi="Times New Roman"/>
          <w:lang w:val="en-GB"/>
        </w:rPr>
        <w:t xml:space="preserve"> = 100</w:t>
      </w:r>
      <w:r w:rsidR="005F1711" w:rsidRPr="005F1711">
        <w:rPr>
          <w:rFonts w:ascii="Times New Roman" w:hAnsi="Times New Roman"/>
          <w:position w:val="-40"/>
        </w:rPr>
        <w:object w:dxaOrig="1700" w:dyaOrig="920">
          <v:shape id="_x0000_i1044" type="#_x0000_t75" style="width:83.9pt;height:45.7pt" o:ole="">
            <v:imagedata r:id="rId47" o:title=""/>
          </v:shape>
          <o:OLEObject Type="Embed" ProgID="Equation.3" ShapeID="_x0000_i1044" DrawAspect="Content" ObjectID="_1524667231" r:id="rId48"/>
        </w:object>
      </w:r>
      <w:r>
        <w:rPr>
          <w:rFonts w:ascii="Times New Roman" w:hAnsi="Times New Roman"/>
        </w:rPr>
        <w:tab/>
        <w:t>(1</w:t>
      </w:r>
      <w:r w:rsidR="0029345A">
        <w:rPr>
          <w:rFonts w:ascii="Times New Roman" w:hAnsi="Times New Roman"/>
        </w:rPr>
        <w:t>8</w:t>
      </w:r>
      <w:r>
        <w:rPr>
          <w:rFonts w:ascii="Times New Roman" w:hAnsi="Times New Roman"/>
        </w:rPr>
        <w:t>)</w:t>
      </w:r>
    </w:p>
    <w:p w:rsidR="00B4078B" w:rsidRDefault="00BA28D6" w:rsidP="000144B8">
      <w:pPr>
        <w:pStyle w:val="Normaali1"/>
        <w:tabs>
          <w:tab w:val="left" w:pos="284"/>
          <w:tab w:val="center" w:pos="4536"/>
          <w:tab w:val="right" w:pos="9214"/>
        </w:tabs>
        <w:spacing w:line="480" w:lineRule="auto"/>
      </w:pPr>
      <w:r>
        <w:rPr>
          <w:rFonts w:ascii="Times New Roman" w:hAnsi="Times New Roman"/>
        </w:rPr>
        <w:tab/>
      </w:r>
      <w:r w:rsidR="0094298E">
        <w:rPr>
          <w:rFonts w:ascii="Times New Roman" w:hAnsi="Times New Roman"/>
        </w:rPr>
        <w:t xml:space="preserve">MPE </w:t>
      </w:r>
      <w:r w:rsidR="002B6017">
        <w:rPr>
          <w:rFonts w:ascii="Times New Roman" w:hAnsi="Times New Roman"/>
        </w:rPr>
        <w:t>i</w:t>
      </w:r>
      <w:r w:rsidR="0094298E">
        <w:rPr>
          <w:rFonts w:ascii="Times New Roman" w:hAnsi="Times New Roman"/>
        </w:rPr>
        <w:t>s the mean percentage error.</w:t>
      </w:r>
      <w:r w:rsidR="0094298E">
        <w:rPr>
          <w:rFonts w:ascii="Times New Roman" w:hAnsi="Times New Roman"/>
          <w:szCs w:val="24"/>
        </w:rPr>
        <w:t xml:space="preserve">  This statistic has been added to the set of criteria because it offers a co</w:t>
      </w:r>
      <w:r w:rsidR="0081619B">
        <w:rPr>
          <w:rFonts w:ascii="Times New Roman" w:hAnsi="Times New Roman"/>
          <w:szCs w:val="24"/>
        </w:rPr>
        <w:t>n</w:t>
      </w:r>
      <w:r w:rsidR="0094298E">
        <w:rPr>
          <w:rFonts w:ascii="Times New Roman" w:hAnsi="Times New Roman"/>
          <w:szCs w:val="24"/>
        </w:rPr>
        <w:t>venient way of measuring the amount of bias in a relative sense.  It</w:t>
      </w:r>
      <w:r w:rsidR="0094298E" w:rsidRPr="00D05726">
        <w:t xml:space="preserve"> </w:t>
      </w:r>
      <w:r w:rsidR="0094298E">
        <w:t xml:space="preserve">has also been used in many previous studies. </w:t>
      </w:r>
      <w:r w:rsidR="00197A49">
        <w:t xml:space="preserve"> </w:t>
      </w:r>
      <w:r w:rsidR="00B4078B">
        <w:t xml:space="preserve">WMAE </w:t>
      </w:r>
      <w:r w:rsidR="002B6017">
        <w:t>i</w:t>
      </w:r>
      <w:r w:rsidR="000144B8">
        <w:t>s</w:t>
      </w:r>
      <w:r w:rsidR="00B4078B">
        <w:t xml:space="preserve"> </w:t>
      </w:r>
      <w:r w:rsidR="000144B8">
        <w:t xml:space="preserve">the weighted </w:t>
      </w:r>
      <w:r w:rsidR="005B099E">
        <w:t xml:space="preserve">mean </w:t>
      </w:r>
      <w:r w:rsidR="00B4078B">
        <w:t>percentage error</w:t>
      </w:r>
      <w:r w:rsidR="002B6017">
        <w:t>, which takes into account the relative importance of each sector</w:t>
      </w:r>
      <w:r w:rsidR="00B4078B">
        <w:t xml:space="preserve">.  </w:t>
      </w:r>
      <w:r w:rsidR="00B4078B" w:rsidRPr="0024027F">
        <w:rPr>
          <w:i/>
        </w:rPr>
        <w:t>w</w:t>
      </w:r>
      <w:r w:rsidR="00B4078B" w:rsidRPr="0024027F">
        <w:rPr>
          <w:i/>
          <w:vertAlign w:val="subscript"/>
        </w:rPr>
        <w:t>j</w:t>
      </w:r>
      <w:r w:rsidR="00B4078B">
        <w:t xml:space="preserve"> is the proportion of total regional output produced in sector </w:t>
      </w:r>
      <w:r w:rsidR="00B4078B">
        <w:rPr>
          <w:i/>
        </w:rPr>
        <w:t>j</w:t>
      </w:r>
      <w:r w:rsidR="00B4078B">
        <w:t xml:space="preserve">.  </w:t>
      </w:r>
      <w:r w:rsidR="00581FDA">
        <w:t xml:space="preserve">The </w:t>
      </w:r>
      <w:r w:rsidR="00100FB9">
        <w:t xml:space="preserve">role of the </w:t>
      </w:r>
      <w:r w:rsidR="00581FDA">
        <w:t xml:space="preserve">squared difference in standard deviations (SDSD) </w:t>
      </w:r>
      <w:r w:rsidR="00100FB9">
        <w:t>i</w:t>
      </w:r>
      <w:r w:rsidR="00581FDA">
        <w:t xml:space="preserve">s </w:t>
      </w:r>
      <w:r w:rsidR="00B4078B">
        <w:t xml:space="preserve">to assess how far each method is able to replicate the dispersion of the benchmark distribution of </w:t>
      </w:r>
      <w:r w:rsidR="00581FDA">
        <w:t>multipliers</w:t>
      </w:r>
      <w:r w:rsidR="00B4078B">
        <w:t>.  Finally, U is Theil’s well-known index of inequality, which has the merit that it encompasses both bias and variance (T</w:t>
      </w:r>
      <w:r w:rsidR="00B4078B" w:rsidRPr="00BF3F05">
        <w:t>heil</w:t>
      </w:r>
      <w:r w:rsidR="00B4078B">
        <w:rPr>
          <w:sz w:val="20"/>
        </w:rPr>
        <w:t xml:space="preserve"> </w:t>
      </w:r>
      <w:r w:rsidR="00B4078B" w:rsidRPr="009F5FB9">
        <w:t>et al.</w:t>
      </w:r>
      <w:r w:rsidR="00B4078B" w:rsidRPr="00410A8C">
        <w:t xml:space="preserve"> 1966</w:t>
      </w:r>
      <w:r w:rsidR="00B4078B">
        <w:t xml:space="preserve">, pp. </w:t>
      </w:r>
      <w:r w:rsidR="00B4078B" w:rsidRPr="00F6456B">
        <w:t>15</w:t>
      </w:r>
      <w:r w:rsidR="00B4078B" w:rsidRPr="00F6456B">
        <w:sym w:font="Symbol" w:char="F02D"/>
      </w:r>
      <w:r w:rsidR="00B4078B" w:rsidRPr="00F6456B">
        <w:t>43</w:t>
      </w:r>
      <w:r w:rsidR="00B4078B" w:rsidRPr="00410A8C">
        <w:t>)</w:t>
      </w:r>
      <w:r w:rsidR="00B4078B">
        <w:t>.</w:t>
      </w:r>
      <w:r w:rsidR="00100FB9">
        <w:t xml:space="preserve"> </w:t>
      </w:r>
      <w:r w:rsidR="00100FB9" w:rsidRPr="00100FB9">
        <w:rPr>
          <w:rFonts w:ascii="Times New Roman" w:hAnsi="Times New Roman"/>
          <w:szCs w:val="24"/>
        </w:rPr>
        <w:t xml:space="preserve"> </w:t>
      </w:r>
      <w:r w:rsidR="00100FB9">
        <w:rPr>
          <w:rFonts w:ascii="Times New Roman" w:hAnsi="Times New Roman"/>
          <w:szCs w:val="24"/>
        </w:rPr>
        <w:t>A selection of results is presented in Table 12.</w:t>
      </w:r>
    </w:p>
    <w:p w:rsidR="006172A3" w:rsidRDefault="006172A3" w:rsidP="006172A3">
      <w:pPr>
        <w:widowControl w:val="0"/>
        <w:tabs>
          <w:tab w:val="left" w:pos="284"/>
          <w:tab w:val="center" w:pos="4395"/>
          <w:tab w:val="right" w:pos="8931"/>
        </w:tabs>
        <w:spacing w:after="0" w:line="480" w:lineRule="auto"/>
        <w:ind w:firstLine="0"/>
        <w:jc w:val="center"/>
      </w:pPr>
      <w:r>
        <w:rPr>
          <w:b/>
        </w:rPr>
        <w:t>Table 12 near here</w:t>
      </w:r>
    </w:p>
    <w:p w:rsidR="00011FC8" w:rsidRDefault="00011FC8" w:rsidP="005162C3">
      <w:pPr>
        <w:widowControl w:val="0"/>
        <w:spacing w:after="0" w:line="480" w:lineRule="auto"/>
        <w:ind w:firstLine="284"/>
      </w:pPr>
      <w:r w:rsidRPr="005162C3">
        <w:t>Table 12</w:t>
      </w:r>
      <w:r w:rsidR="005162C3">
        <w:t xml:space="preserve"> reveals a high degree of consistency in the results across different criteria</w:t>
      </w:r>
      <w:r w:rsidRPr="005162C3">
        <w:t>.</w:t>
      </w:r>
      <w:r w:rsidR="005162C3">
        <w:t xml:space="preserve">  </w:t>
      </w:r>
      <w:r w:rsidR="007540E9">
        <w:t>In particular</w:t>
      </w:r>
      <w:r w:rsidR="00A57EAA">
        <w:t>, r</w:t>
      </w:r>
      <w:r w:rsidR="005162C3">
        <w:t xml:space="preserve">egardless of which criterion is used, </w:t>
      </w:r>
      <w:r w:rsidR="009A2375">
        <w:t xml:space="preserve">the SLQ and CILQ </w:t>
      </w:r>
      <w:r w:rsidR="005E333C">
        <w:t xml:space="preserve">yield very similar results and both </w:t>
      </w:r>
      <w:r w:rsidR="009A2375">
        <w:t xml:space="preserve">perform very poorly indeed relative to the FLQ.  </w:t>
      </w:r>
      <w:r w:rsidR="007540E9">
        <w:t>T</w:t>
      </w:r>
      <w:r w:rsidR="009A2375">
        <w:t xml:space="preserve">he </w:t>
      </w:r>
      <w:r w:rsidR="00A57EAA">
        <w:t>MPE shows</w:t>
      </w:r>
      <w:r w:rsidR="007540E9">
        <w:t>,</w:t>
      </w:r>
      <w:r w:rsidR="00A57EAA">
        <w:t xml:space="preserve"> </w:t>
      </w:r>
      <w:r w:rsidR="007540E9">
        <w:t xml:space="preserve">for example, </w:t>
      </w:r>
      <w:r w:rsidR="00A57EAA">
        <w:t>that th</w:t>
      </w:r>
      <w:r w:rsidR="007540E9">
        <w:t>e SLQ</w:t>
      </w:r>
      <w:r w:rsidR="00A57EAA">
        <w:t xml:space="preserve"> would overstate the sectoral multipliers by 21.2% on average across the 16 regions, whereas the FLQ with </w:t>
      </w:r>
      <w:r w:rsidR="006675BD" w:rsidRPr="00B335EC">
        <w:rPr>
          <w:i/>
          <w:color w:val="000000"/>
        </w:rPr>
        <w:t>δ</w:t>
      </w:r>
      <w:r w:rsidR="006675BD">
        <w:rPr>
          <w:i/>
          <w:color w:val="000000"/>
        </w:rPr>
        <w:t xml:space="preserve"> </w:t>
      </w:r>
      <w:r w:rsidR="006675BD">
        <w:rPr>
          <w:color w:val="000000"/>
        </w:rPr>
        <w:t>=</w:t>
      </w:r>
      <w:r w:rsidR="006675BD" w:rsidRPr="0089303E">
        <w:rPr>
          <w:color w:val="000000"/>
        </w:rPr>
        <w:t xml:space="preserve"> 0.</w:t>
      </w:r>
      <w:r w:rsidR="006675BD">
        <w:rPr>
          <w:color w:val="000000"/>
        </w:rPr>
        <w:t>35</w:t>
      </w:r>
      <w:r w:rsidR="00A57EAA">
        <w:t xml:space="preserve"> </w:t>
      </w:r>
      <w:r w:rsidR="006675BD">
        <w:t>w</w:t>
      </w:r>
      <w:r w:rsidR="00A57EAA">
        <w:t xml:space="preserve">ould </w:t>
      </w:r>
      <w:r w:rsidR="006675BD">
        <w:t>reduce</w:t>
      </w:r>
      <w:r w:rsidR="00A57EAA">
        <w:t xml:space="preserve"> </w:t>
      </w:r>
      <w:r w:rsidR="006675BD">
        <w:t xml:space="preserve">this overstatement to 1.2%.  With a </w:t>
      </w:r>
      <w:r w:rsidR="006675BD" w:rsidRPr="00B335EC">
        <w:rPr>
          <w:i/>
          <w:color w:val="000000"/>
        </w:rPr>
        <w:t>δ</w:t>
      </w:r>
      <w:r w:rsidR="006675BD">
        <w:rPr>
          <w:color w:val="000000"/>
        </w:rPr>
        <w:t xml:space="preserve"> </w:t>
      </w:r>
      <w:r w:rsidR="00A62067">
        <w:rPr>
          <w:color w:val="000000"/>
        </w:rPr>
        <w:t>slightly above</w:t>
      </w:r>
      <w:r w:rsidR="006675BD" w:rsidRPr="0089303E">
        <w:rPr>
          <w:color w:val="000000"/>
        </w:rPr>
        <w:t xml:space="preserve"> 0.</w:t>
      </w:r>
      <w:r w:rsidR="006675BD">
        <w:rPr>
          <w:color w:val="000000"/>
        </w:rPr>
        <w:t>375, the bias would vanish.</w:t>
      </w:r>
      <w:r w:rsidR="004200E7">
        <w:rPr>
          <w:color w:val="000000"/>
        </w:rPr>
        <w:t xml:space="preserve">  </w:t>
      </w:r>
      <w:r w:rsidR="005E333C">
        <w:t xml:space="preserve">What is more, </w:t>
      </w:r>
      <w:r w:rsidR="004200E7">
        <w:t>apart from the sign, the M</w:t>
      </w:r>
      <w:r w:rsidR="009A2375">
        <w:t>PE and</w:t>
      </w:r>
      <w:r w:rsidR="004200E7">
        <w:t xml:space="preserve"> MAPE </w:t>
      </w:r>
      <w:r w:rsidR="005F4B8B">
        <w:t xml:space="preserve">for the SLQ </w:t>
      </w:r>
      <w:r w:rsidR="007540E9">
        <w:t>are very similar</w:t>
      </w:r>
      <w:r w:rsidR="002B140F">
        <w:t xml:space="preserve">, which shows that the simulation errors </w:t>
      </w:r>
      <w:r w:rsidR="007540E9">
        <w:t xml:space="preserve">are </w:t>
      </w:r>
      <w:r w:rsidR="002B140F">
        <w:t>nearly always over</w:t>
      </w:r>
      <w:r w:rsidR="00977AAF">
        <w:t>esti</w:t>
      </w:r>
      <w:r w:rsidR="002B140F">
        <w:t>m</w:t>
      </w:r>
      <w:r w:rsidR="00977AAF">
        <w:t>a</w:t>
      </w:r>
      <w:r w:rsidR="002B140F">
        <w:t>t</w:t>
      </w:r>
      <w:r w:rsidR="00977AAF">
        <w:t>e</w:t>
      </w:r>
      <w:r w:rsidR="002B140F">
        <w:t>s.  Th</w:t>
      </w:r>
      <w:r w:rsidR="00884462">
        <w:t>is</w:t>
      </w:r>
      <w:r w:rsidR="002B140F">
        <w:t xml:space="preserve"> is true </w:t>
      </w:r>
      <w:r w:rsidR="007540E9">
        <w:t>too</w:t>
      </w:r>
      <w:r w:rsidR="002B140F">
        <w:t xml:space="preserve"> for the CILQ.</w:t>
      </w:r>
    </w:p>
    <w:p w:rsidR="00285D33" w:rsidRPr="009248BA" w:rsidRDefault="00285D33" w:rsidP="00285D33">
      <w:pPr>
        <w:widowControl w:val="0"/>
        <w:tabs>
          <w:tab w:val="left" w:pos="284"/>
        </w:tabs>
        <w:spacing w:after="0" w:line="480" w:lineRule="auto"/>
        <w:ind w:firstLine="0"/>
        <w:rPr>
          <w:lang w:val="en-US"/>
        </w:rPr>
      </w:pPr>
      <w:r>
        <w:tab/>
      </w:r>
      <w:r w:rsidR="00F01766">
        <w:t xml:space="preserve">The </w:t>
      </w:r>
      <w:r w:rsidR="00CE0A87">
        <w:t xml:space="preserve">fact that </w:t>
      </w:r>
      <w:r w:rsidR="00F01766">
        <w:t>MPE</w:t>
      </w:r>
      <w:r w:rsidR="00CE0A87">
        <w:t xml:space="preserve">, </w:t>
      </w:r>
      <w:r w:rsidR="00F01766">
        <w:t xml:space="preserve">SDSD </w:t>
      </w:r>
      <w:r w:rsidR="00CE0A87">
        <w:t xml:space="preserve">and </w:t>
      </w:r>
      <w:r w:rsidR="00CE0A87" w:rsidRPr="00BE00D7">
        <w:rPr>
          <w:i/>
        </w:rPr>
        <w:t>U</w:t>
      </w:r>
      <w:r w:rsidR="00CE0A87">
        <w:t xml:space="preserve"> all</w:t>
      </w:r>
      <w:r w:rsidR="00F01766">
        <w:t xml:space="preserve"> indicate an optimal </w:t>
      </w:r>
      <w:r w:rsidR="00F01766" w:rsidRPr="00B335EC">
        <w:rPr>
          <w:i/>
          <w:color w:val="000000"/>
        </w:rPr>
        <w:t>δ</w:t>
      </w:r>
      <w:r w:rsidR="00F01766">
        <w:rPr>
          <w:i/>
          <w:color w:val="000000"/>
        </w:rPr>
        <w:t xml:space="preserve"> </w:t>
      </w:r>
      <w:r w:rsidR="00F01766">
        <w:rPr>
          <w:color w:val="000000"/>
        </w:rPr>
        <w:t>≈</w:t>
      </w:r>
      <w:r w:rsidR="00F01766" w:rsidRPr="0089303E">
        <w:rPr>
          <w:color w:val="000000"/>
        </w:rPr>
        <w:t xml:space="preserve"> 0.</w:t>
      </w:r>
      <w:r w:rsidR="00F01766">
        <w:rPr>
          <w:color w:val="000000"/>
        </w:rPr>
        <w:t>375</w:t>
      </w:r>
      <w:r w:rsidR="00F01766">
        <w:t xml:space="preserve"> is interesting </w:t>
      </w:r>
      <w:r w:rsidR="00CE0A87">
        <w:t>a</w:t>
      </w:r>
      <w:r w:rsidR="00F01766">
        <w:t>s it shows that there is no conflict between minimizing bias and variance in this data set.</w:t>
      </w:r>
      <w:r w:rsidR="00BE00D7">
        <w:t xml:space="preserve">  </w:t>
      </w:r>
      <w:r w:rsidR="00CE0A87">
        <w:t>It is also evident that the</w:t>
      </w:r>
      <w:r w:rsidR="005F4B8B">
        <w:t xml:space="preserve"> accuracy of the</w:t>
      </w:r>
      <w:r w:rsidR="00CE0A87">
        <w:t xml:space="preserve"> FLQ greatly surpasses that of the SLQ and CILQ in </w:t>
      </w:r>
      <w:r w:rsidR="005F4B8B">
        <w:t>both</w:t>
      </w:r>
      <w:r w:rsidR="00CE0A87">
        <w:t xml:space="preserve"> respects.</w:t>
      </w:r>
      <w:r w:rsidR="009248BA">
        <w:t xml:space="preserve">  </w:t>
      </w:r>
      <w:r w:rsidR="005F4B8B">
        <w:t>Furthermore</w:t>
      </w:r>
      <w:r w:rsidR="009248BA">
        <w:rPr>
          <w:color w:val="000000"/>
        </w:rPr>
        <w:t xml:space="preserve">, one would not go far wrong </w:t>
      </w:r>
      <w:r w:rsidR="00F06B02">
        <w:rPr>
          <w:color w:val="000000"/>
        </w:rPr>
        <w:t>in</w:t>
      </w:r>
      <w:r w:rsidR="009248BA">
        <w:rPr>
          <w:color w:val="000000"/>
        </w:rPr>
        <w:t xml:space="preserve"> setting </w:t>
      </w:r>
      <w:r w:rsidR="009248BA" w:rsidRPr="00B335EC">
        <w:rPr>
          <w:i/>
          <w:color w:val="000000"/>
        </w:rPr>
        <w:t>δ</w:t>
      </w:r>
      <w:r w:rsidR="009248BA">
        <w:rPr>
          <w:i/>
          <w:color w:val="000000"/>
        </w:rPr>
        <w:t xml:space="preserve"> </w:t>
      </w:r>
      <w:r w:rsidR="009248BA">
        <w:rPr>
          <w:color w:val="000000"/>
        </w:rPr>
        <w:t>=</w:t>
      </w:r>
      <w:r w:rsidR="009248BA" w:rsidRPr="0089303E">
        <w:rPr>
          <w:color w:val="000000"/>
        </w:rPr>
        <w:t xml:space="preserve"> 0.</w:t>
      </w:r>
      <w:r w:rsidR="009248BA">
        <w:rPr>
          <w:color w:val="000000"/>
        </w:rPr>
        <w:t xml:space="preserve">375, although it is true that WMPE indicates </w:t>
      </w:r>
      <w:r w:rsidR="009248BA" w:rsidRPr="00B335EC">
        <w:rPr>
          <w:i/>
          <w:color w:val="000000"/>
        </w:rPr>
        <w:t>δ</w:t>
      </w:r>
      <w:r w:rsidR="009248BA">
        <w:rPr>
          <w:i/>
          <w:color w:val="000000"/>
        </w:rPr>
        <w:t xml:space="preserve"> </w:t>
      </w:r>
      <w:r w:rsidR="009248BA">
        <w:rPr>
          <w:color w:val="000000"/>
        </w:rPr>
        <w:t>=</w:t>
      </w:r>
      <w:r w:rsidR="009248BA" w:rsidRPr="0089303E">
        <w:rPr>
          <w:color w:val="000000"/>
        </w:rPr>
        <w:t xml:space="preserve"> 0.</w:t>
      </w:r>
      <w:r w:rsidR="009248BA">
        <w:rPr>
          <w:color w:val="000000"/>
        </w:rPr>
        <w:t xml:space="preserve">3.  This difference suggests that </w:t>
      </w:r>
      <w:r w:rsidR="00833A39">
        <w:rPr>
          <w:color w:val="000000"/>
        </w:rPr>
        <w:t xml:space="preserve">a somewhat smaller </w:t>
      </w:r>
      <w:r w:rsidR="00833A39" w:rsidRPr="00B335EC">
        <w:rPr>
          <w:i/>
          <w:color w:val="000000"/>
        </w:rPr>
        <w:t>δ</w:t>
      </w:r>
      <w:r w:rsidR="00833A39">
        <w:rPr>
          <w:color w:val="000000"/>
        </w:rPr>
        <w:t xml:space="preserve"> may be required for </w:t>
      </w:r>
      <w:r w:rsidR="009248BA">
        <w:rPr>
          <w:color w:val="000000"/>
        </w:rPr>
        <w:t>the relatively larger sectors</w:t>
      </w:r>
      <w:r w:rsidR="00833A39">
        <w:rPr>
          <w:color w:val="000000"/>
        </w:rPr>
        <w:t>.</w:t>
      </w:r>
      <w:r w:rsidR="009248BA">
        <w:rPr>
          <w:color w:val="000000"/>
        </w:rPr>
        <w:t xml:space="preserve"> </w:t>
      </w:r>
      <w:r w:rsidR="00833A39">
        <w:rPr>
          <w:color w:val="000000"/>
        </w:rPr>
        <w:t xml:space="preserve"> It is worth noting that a </w:t>
      </w:r>
      <w:r w:rsidR="00833A39" w:rsidRPr="00B335EC">
        <w:rPr>
          <w:i/>
          <w:color w:val="000000"/>
        </w:rPr>
        <w:t>δ</w:t>
      </w:r>
      <w:r w:rsidR="00833A39">
        <w:rPr>
          <w:color w:val="000000"/>
        </w:rPr>
        <w:t xml:space="preserve"> in the range 0.</w:t>
      </w:r>
      <w:r w:rsidR="00FD0C67">
        <w:rPr>
          <w:color w:val="000000"/>
        </w:rPr>
        <w:t>4 ±</w:t>
      </w:r>
      <w:r w:rsidR="00833A39">
        <w:rPr>
          <w:color w:val="000000"/>
        </w:rPr>
        <w:t xml:space="preserve"> 0.</w:t>
      </w:r>
      <w:r w:rsidR="00FD0C67">
        <w:rPr>
          <w:color w:val="000000"/>
        </w:rPr>
        <w:t>02</w:t>
      </w:r>
      <w:r w:rsidR="00F06388">
        <w:rPr>
          <w:color w:val="000000"/>
        </w:rPr>
        <w:t>5</w:t>
      </w:r>
      <w:r w:rsidR="00833A39">
        <w:rPr>
          <w:color w:val="000000"/>
        </w:rPr>
        <w:t xml:space="preserve"> would yield MAPE </w:t>
      </w:r>
      <w:r w:rsidR="00F06388">
        <w:rPr>
          <w:color w:val="000000"/>
        </w:rPr>
        <w:t>≈</w:t>
      </w:r>
      <w:r w:rsidR="00F06388" w:rsidRPr="0089303E">
        <w:rPr>
          <w:color w:val="000000"/>
        </w:rPr>
        <w:t xml:space="preserve"> </w:t>
      </w:r>
      <w:r w:rsidR="00833A39">
        <w:rPr>
          <w:color w:val="000000"/>
        </w:rPr>
        <w:t>8</w:t>
      </w:r>
      <w:r w:rsidR="00F06388">
        <w:rPr>
          <w:color w:val="000000"/>
        </w:rPr>
        <w:t>.0</w:t>
      </w:r>
      <w:r w:rsidR="00833A39">
        <w:rPr>
          <w:color w:val="000000"/>
        </w:rPr>
        <w:t>%.</w:t>
      </w:r>
    </w:p>
    <w:p w:rsidR="00E56A3F" w:rsidRDefault="00E56A3F">
      <w:pPr>
        <w:spacing w:after="0"/>
        <w:ind w:firstLine="0"/>
        <w:jc w:val="left"/>
        <w:rPr>
          <w:b/>
          <w:lang w:val="en-US"/>
        </w:rPr>
      </w:pPr>
    </w:p>
    <w:p w:rsidR="00782EE6" w:rsidRPr="00396162" w:rsidRDefault="00782EE6" w:rsidP="00782EE6">
      <w:pPr>
        <w:spacing w:after="0" w:line="480" w:lineRule="auto"/>
        <w:ind w:firstLine="0"/>
        <w:rPr>
          <w:b/>
          <w:lang w:val="en-US"/>
        </w:rPr>
      </w:pPr>
      <w:r>
        <w:rPr>
          <w:b/>
          <w:lang w:val="en-US"/>
        </w:rPr>
        <w:t>4.3  Choosing value</w:t>
      </w:r>
      <w:r w:rsidR="00675155">
        <w:rPr>
          <w:b/>
          <w:lang w:val="en-US"/>
        </w:rPr>
        <w:t>s</w:t>
      </w:r>
      <w:r>
        <w:rPr>
          <w:b/>
          <w:lang w:val="en-US"/>
        </w:rPr>
        <w:t xml:space="preserve"> for </w:t>
      </w:r>
      <w:r w:rsidRPr="00782EE6">
        <w:rPr>
          <w:b/>
          <w:i/>
          <w:color w:val="000000"/>
        </w:rPr>
        <w:t>δ</w:t>
      </w:r>
    </w:p>
    <w:p w:rsidR="001C3E8B" w:rsidRDefault="00E90CBF" w:rsidP="00E90CBF">
      <w:pPr>
        <w:spacing w:after="0" w:line="480" w:lineRule="auto"/>
        <w:ind w:firstLine="0"/>
        <w:rPr>
          <w:color w:val="000000"/>
        </w:rPr>
      </w:pPr>
      <w:r>
        <w:rPr>
          <w:lang w:val="en-US"/>
        </w:rPr>
        <w:t xml:space="preserve">Although the </w:t>
      </w:r>
      <w:r w:rsidR="002A6A0F">
        <w:rPr>
          <w:lang w:val="en-US"/>
        </w:rPr>
        <w:t>results presented earlier</w:t>
      </w:r>
      <w:r>
        <w:rPr>
          <w:lang w:val="en-US"/>
        </w:rPr>
        <w:t xml:space="preserve"> offer some guidance regarding appropriate values of </w:t>
      </w:r>
      <w:r w:rsidRPr="00B335EC">
        <w:rPr>
          <w:i/>
          <w:color w:val="000000"/>
        </w:rPr>
        <w:t>δ</w:t>
      </w:r>
      <w:r>
        <w:rPr>
          <w:color w:val="000000"/>
        </w:rPr>
        <w:t>, it would be helpful if a</w:t>
      </w:r>
      <w:r w:rsidR="006D62AF">
        <w:rPr>
          <w:color w:val="000000"/>
        </w:rPr>
        <w:t xml:space="preserve"> suitable </w:t>
      </w:r>
      <w:r>
        <w:rPr>
          <w:color w:val="000000"/>
        </w:rPr>
        <w:t xml:space="preserve">estimating equation could be developed.  </w:t>
      </w:r>
      <w:r w:rsidR="006D62AF">
        <w:rPr>
          <w:color w:val="000000"/>
        </w:rPr>
        <w:t xml:space="preserve">With this aim in mind, </w:t>
      </w:r>
      <w:r w:rsidR="001C3E8B">
        <w:rPr>
          <w:color w:val="000000"/>
        </w:rPr>
        <w:t>Flegg and Tohmo (2013a</w:t>
      </w:r>
      <w:r w:rsidR="006D62AF">
        <w:rPr>
          <w:color w:val="000000"/>
        </w:rPr>
        <w:t>, p. 713</w:t>
      </w:r>
      <w:r w:rsidR="001C3E8B">
        <w:rPr>
          <w:color w:val="000000"/>
        </w:rPr>
        <w:t xml:space="preserve">) </w:t>
      </w:r>
      <w:r w:rsidR="006D62AF">
        <w:rPr>
          <w:color w:val="000000"/>
        </w:rPr>
        <w:t>fitted</w:t>
      </w:r>
      <w:r w:rsidR="001C3E8B">
        <w:rPr>
          <w:color w:val="000000"/>
        </w:rPr>
        <w:t xml:space="preserve"> </w:t>
      </w:r>
      <w:r w:rsidR="006316A0">
        <w:rPr>
          <w:color w:val="000000"/>
        </w:rPr>
        <w:t>the following</w:t>
      </w:r>
      <w:r w:rsidR="001C3E8B">
        <w:rPr>
          <w:color w:val="000000"/>
        </w:rPr>
        <w:t xml:space="preserve"> </w:t>
      </w:r>
      <w:r w:rsidR="00DE3E13">
        <w:rPr>
          <w:color w:val="000000"/>
        </w:rPr>
        <w:t>model</w:t>
      </w:r>
      <w:r w:rsidR="001C3E8B">
        <w:rPr>
          <w:color w:val="000000"/>
        </w:rPr>
        <w:t xml:space="preserve"> </w:t>
      </w:r>
      <w:r w:rsidR="006D62AF">
        <w:rPr>
          <w:color w:val="000000"/>
        </w:rPr>
        <w:t>to</w:t>
      </w:r>
      <w:r w:rsidR="001C3E8B">
        <w:rPr>
          <w:color w:val="000000"/>
        </w:rPr>
        <w:t xml:space="preserve"> survey-based data for twenty Finnish regions in 1995:</w:t>
      </w:r>
    </w:p>
    <w:p w:rsidR="001C3E8B" w:rsidRDefault="001C3E8B" w:rsidP="001C3E8B">
      <w:pPr>
        <w:widowControl w:val="0"/>
        <w:tabs>
          <w:tab w:val="center" w:pos="4536"/>
          <w:tab w:val="right" w:pos="8931"/>
        </w:tabs>
        <w:spacing w:after="0" w:line="480" w:lineRule="auto"/>
        <w:jc w:val="left"/>
      </w:pPr>
      <w:r>
        <w:tab/>
      </w:r>
      <w:r w:rsidR="00757152">
        <w:rPr>
          <w:color w:val="000000"/>
        </w:rPr>
        <w:t>l</w:t>
      </w:r>
      <w:r>
        <w:rPr>
          <w:color w:val="000000"/>
        </w:rPr>
        <w:t>n</w:t>
      </w:r>
      <w:r>
        <w:rPr>
          <w:color w:val="000000"/>
          <w:vertAlign w:val="subscript"/>
        </w:rPr>
        <w:t xml:space="preserve"> </w:t>
      </w:r>
      <w:r w:rsidRPr="006316A0">
        <w:rPr>
          <w:i/>
          <w:color w:val="000000"/>
        </w:rPr>
        <w:t>δ</w:t>
      </w:r>
      <w:r>
        <w:rPr>
          <w:color w:val="000000"/>
        </w:rPr>
        <w:t xml:space="preserve"> = </w:t>
      </w:r>
      <w:r>
        <w:rPr>
          <w:color w:val="000000"/>
        </w:rPr>
        <w:sym w:font="Symbol" w:char="002D"/>
      </w:r>
      <w:r>
        <w:rPr>
          <w:color w:val="000000"/>
        </w:rPr>
        <w:t>1.8379 + 0.33195</w:t>
      </w:r>
      <w:r>
        <w:rPr>
          <w:color w:val="000000"/>
          <w:vertAlign w:val="subscript"/>
        </w:rPr>
        <w:t xml:space="preserve"> </w:t>
      </w:r>
      <w:r>
        <w:rPr>
          <w:color w:val="000000"/>
        </w:rPr>
        <w:t>ln</w:t>
      </w:r>
      <w:r>
        <w:rPr>
          <w:color w:val="000000"/>
          <w:vertAlign w:val="subscript"/>
        </w:rPr>
        <w:t xml:space="preserve"> </w:t>
      </w:r>
      <w:r w:rsidRPr="002C3A29">
        <w:rPr>
          <w:i/>
          <w:color w:val="000000"/>
        </w:rPr>
        <w:t>R</w:t>
      </w:r>
      <w:r>
        <w:rPr>
          <w:color w:val="000000"/>
        </w:rPr>
        <w:t xml:space="preserve"> + 1.5834</w:t>
      </w:r>
      <w:r>
        <w:rPr>
          <w:color w:val="000000"/>
          <w:vertAlign w:val="subscript"/>
        </w:rPr>
        <w:t xml:space="preserve"> </w:t>
      </w:r>
      <w:r>
        <w:rPr>
          <w:color w:val="000000"/>
        </w:rPr>
        <w:t>ln</w:t>
      </w:r>
      <w:r>
        <w:rPr>
          <w:color w:val="000000"/>
          <w:vertAlign w:val="subscript"/>
        </w:rPr>
        <w:t xml:space="preserve"> </w:t>
      </w:r>
      <w:r w:rsidRPr="002C3A29">
        <w:rPr>
          <w:i/>
          <w:color w:val="000000"/>
        </w:rPr>
        <w:t>P</w:t>
      </w:r>
      <w:r>
        <w:rPr>
          <w:color w:val="000000"/>
        </w:rPr>
        <w:t xml:space="preserve"> </w:t>
      </w:r>
      <w:r>
        <w:rPr>
          <w:color w:val="000000"/>
        </w:rPr>
        <w:sym w:font="Symbol" w:char="002D"/>
      </w:r>
      <w:r>
        <w:rPr>
          <w:color w:val="000000"/>
        </w:rPr>
        <w:t xml:space="preserve"> 2.8812</w:t>
      </w:r>
      <w:r>
        <w:rPr>
          <w:color w:val="000000"/>
          <w:vertAlign w:val="subscript"/>
        </w:rPr>
        <w:t xml:space="preserve"> </w:t>
      </w:r>
      <w:r>
        <w:rPr>
          <w:color w:val="000000"/>
        </w:rPr>
        <w:t>ln</w:t>
      </w:r>
      <w:r>
        <w:rPr>
          <w:color w:val="000000"/>
          <w:vertAlign w:val="subscript"/>
        </w:rPr>
        <w:t xml:space="preserve"> </w:t>
      </w:r>
      <w:r w:rsidRPr="002C3A29">
        <w:rPr>
          <w:i/>
          <w:color w:val="000000"/>
        </w:rPr>
        <w:t>I</w:t>
      </w:r>
      <w:r>
        <w:rPr>
          <w:color w:val="000000"/>
        </w:rPr>
        <w:t xml:space="preserve"> + </w:t>
      </w:r>
      <w:r w:rsidRPr="00FA4653">
        <w:rPr>
          <w:i/>
          <w:color w:val="000000"/>
        </w:rPr>
        <w:t>e</w:t>
      </w:r>
      <w:r>
        <w:tab/>
        <w:t>(</w:t>
      </w:r>
      <w:r w:rsidR="006316A0">
        <w:t>19</w:t>
      </w:r>
      <w:r>
        <w:t>)</w:t>
      </w:r>
    </w:p>
    <w:p w:rsidR="00782EE6" w:rsidRPr="004A3AE5" w:rsidRDefault="001C3E8B" w:rsidP="00355690">
      <w:pPr>
        <w:widowControl w:val="0"/>
        <w:spacing w:after="0" w:line="480" w:lineRule="auto"/>
        <w:ind w:firstLine="0"/>
        <w:rPr>
          <w:color w:val="000000"/>
        </w:rPr>
      </w:pPr>
      <w:r>
        <w:t xml:space="preserve">where </w:t>
      </w:r>
      <w:r w:rsidRPr="002C3A29">
        <w:rPr>
          <w:i/>
        </w:rPr>
        <w:t>R</w:t>
      </w:r>
      <w:r>
        <w:t xml:space="preserve"> is regional size measured in terms of output and expressed as a percentage; </w:t>
      </w:r>
      <w:r w:rsidRPr="002C3A29">
        <w:rPr>
          <w:i/>
        </w:rPr>
        <w:t>P</w:t>
      </w:r>
      <w:r w:rsidR="007F7729">
        <w:t xml:space="preserve"> is </w:t>
      </w:r>
      <w:r w:rsidR="0073023C">
        <w:t xml:space="preserve">the proportion of </w:t>
      </w:r>
      <w:r>
        <w:t xml:space="preserve">each region’s </w:t>
      </w:r>
      <w:r w:rsidR="0073023C">
        <w:t>gross output</w:t>
      </w:r>
      <w:r>
        <w:t xml:space="preserve"> import</w:t>
      </w:r>
      <w:r w:rsidR="0073023C">
        <w:t>ed</w:t>
      </w:r>
      <w:r>
        <w:t xml:space="preserve"> from other regions,</w:t>
      </w:r>
      <w:r w:rsidR="007F7729">
        <w:t xml:space="preserve"> averaged over all sectors and</w:t>
      </w:r>
      <w:r>
        <w:t xml:space="preserve"> divided by the mean for all regions; </w:t>
      </w:r>
      <w:r w:rsidRPr="002C3A29">
        <w:rPr>
          <w:i/>
        </w:rPr>
        <w:t>I</w:t>
      </w:r>
      <w:r>
        <w:t xml:space="preserve"> is each region’s </w:t>
      </w:r>
      <w:r w:rsidR="007F7729">
        <w:t>average</w:t>
      </w:r>
      <w:r>
        <w:t xml:space="preserve"> use of intermediate inputs (including </w:t>
      </w:r>
      <w:r w:rsidR="0073023C">
        <w:t>inputs</w:t>
      </w:r>
      <w:r>
        <w:t xml:space="preserve"> from other regions), divided by the </w:t>
      </w:r>
      <w:r w:rsidR="009D3848">
        <w:t xml:space="preserve">corresponding </w:t>
      </w:r>
      <w:r>
        <w:t xml:space="preserve">national </w:t>
      </w:r>
      <w:r w:rsidR="007F7729">
        <w:t>average</w:t>
      </w:r>
      <w:r>
        <w:t xml:space="preserve">; </w:t>
      </w:r>
      <w:r w:rsidRPr="00FA4653">
        <w:rPr>
          <w:i/>
        </w:rPr>
        <w:t>e</w:t>
      </w:r>
      <w:r>
        <w:t xml:space="preserve"> is a residual.  Observations on </w:t>
      </w:r>
      <w:r w:rsidRPr="00DA701B">
        <w:t>ln</w:t>
      </w:r>
      <w:r w:rsidR="00757152">
        <w:rPr>
          <w:vertAlign w:val="subscript"/>
        </w:rPr>
        <w:t xml:space="preserve"> </w:t>
      </w:r>
      <w:r w:rsidRPr="00B335EC">
        <w:rPr>
          <w:i/>
          <w:color w:val="000000"/>
        </w:rPr>
        <w:t>δ</w:t>
      </w:r>
      <w:r>
        <w:t xml:space="preserve"> were derived by finding the value of </w:t>
      </w:r>
      <w:r w:rsidRPr="00B335EC">
        <w:rPr>
          <w:i/>
          <w:color w:val="000000"/>
        </w:rPr>
        <w:t>δ</w:t>
      </w:r>
      <w:r>
        <w:rPr>
          <w:i/>
          <w:color w:val="000000"/>
        </w:rPr>
        <w:t xml:space="preserve"> </w:t>
      </w:r>
      <w:r>
        <w:rPr>
          <w:color w:val="000000"/>
        </w:rPr>
        <w:t>that minimized MPE for each Finnish region.</w:t>
      </w:r>
      <w:r w:rsidR="00A8011C">
        <w:rPr>
          <w:color w:val="000000"/>
        </w:rPr>
        <w:t xml:space="preserve">  </w:t>
      </w:r>
      <w:r w:rsidR="00AD4D95" w:rsidRPr="00860401">
        <w:rPr>
          <w:i/>
          <w:color w:val="000000"/>
        </w:rPr>
        <w:t>R</w:t>
      </w:r>
      <w:r w:rsidR="00AD4D95" w:rsidRPr="00860401">
        <w:rPr>
          <w:i/>
          <w:color w:val="000000"/>
          <w:vertAlign w:val="superscript"/>
        </w:rPr>
        <w:t>2</w:t>
      </w:r>
      <w:r w:rsidR="00AD4D95">
        <w:rPr>
          <w:color w:val="000000"/>
        </w:rPr>
        <w:t xml:space="preserve"> = 0.915 and t</w:t>
      </w:r>
      <w:r w:rsidR="00E45DD2">
        <w:rPr>
          <w:color w:val="000000"/>
        </w:rPr>
        <w:t>he</w:t>
      </w:r>
      <w:r w:rsidR="00860401">
        <w:rPr>
          <w:color w:val="000000"/>
        </w:rPr>
        <w:t xml:space="preserve"> </w:t>
      </w:r>
      <w:r w:rsidR="00A8011C" w:rsidRPr="00A8011C">
        <w:rPr>
          <w:i/>
          <w:color w:val="000000"/>
        </w:rPr>
        <w:t>t</w:t>
      </w:r>
      <w:r w:rsidR="00A8011C">
        <w:rPr>
          <w:color w:val="000000"/>
        </w:rPr>
        <w:t xml:space="preserve"> ratios </w:t>
      </w:r>
      <w:r w:rsidR="00402BCE">
        <w:rPr>
          <w:color w:val="000000"/>
        </w:rPr>
        <w:t xml:space="preserve">for the three regressors </w:t>
      </w:r>
      <w:r w:rsidR="00E45DD2">
        <w:rPr>
          <w:color w:val="000000"/>
        </w:rPr>
        <w:t>were</w:t>
      </w:r>
      <w:r w:rsidR="00A8011C">
        <w:rPr>
          <w:color w:val="000000"/>
        </w:rPr>
        <w:t xml:space="preserve"> 11.66, 6.25 and </w:t>
      </w:r>
      <w:r w:rsidR="00A8011C">
        <w:rPr>
          <w:color w:val="000000"/>
        </w:rPr>
        <w:sym w:font="Symbol" w:char="002D"/>
      </w:r>
      <w:r w:rsidR="00A8011C">
        <w:rPr>
          <w:color w:val="000000"/>
        </w:rPr>
        <w:t>3.33,</w:t>
      </w:r>
      <w:r w:rsidR="00402BCE">
        <w:rPr>
          <w:color w:val="000000"/>
        </w:rPr>
        <w:t xml:space="preserve"> respectively</w:t>
      </w:r>
      <w:r w:rsidR="009D3848">
        <w:rPr>
          <w:color w:val="000000"/>
        </w:rPr>
        <w:t>.  T</w:t>
      </w:r>
      <w:r w:rsidR="00E45DD2">
        <w:rPr>
          <w:color w:val="000000"/>
        </w:rPr>
        <w:t>he model</w:t>
      </w:r>
      <w:r w:rsidR="00860401">
        <w:rPr>
          <w:color w:val="000000"/>
        </w:rPr>
        <w:t xml:space="preserve"> </w:t>
      </w:r>
      <w:r w:rsidR="006D62AF">
        <w:rPr>
          <w:color w:val="000000"/>
        </w:rPr>
        <w:t>comfortably passed</w:t>
      </w:r>
      <w:r w:rsidR="00A8011C">
        <w:rPr>
          <w:color w:val="000000"/>
        </w:rPr>
        <w:t xml:space="preserve"> the </w:t>
      </w:r>
      <w:r w:rsidR="004A3AE5" w:rsidRPr="004A3AE5">
        <w:rPr>
          <w:i/>
        </w:rPr>
        <w:t>χ</w:t>
      </w:r>
      <w:r w:rsidR="004A3AE5" w:rsidRPr="004A3AE5">
        <w:rPr>
          <w:i/>
          <w:vertAlign w:val="superscript"/>
        </w:rPr>
        <w:t>2</w:t>
      </w:r>
      <w:r w:rsidR="004A3AE5" w:rsidRPr="004A3AE5">
        <w:t xml:space="preserve"> </w:t>
      </w:r>
      <w:r w:rsidR="004A3AE5">
        <w:t>diagnostic tests for</w:t>
      </w:r>
      <w:r w:rsidR="004A3AE5" w:rsidRPr="004A3AE5">
        <w:t xml:space="preserve"> </w:t>
      </w:r>
      <w:r w:rsidR="00CD0248">
        <w:t>functional form, normality and heteros</w:t>
      </w:r>
      <w:r w:rsidR="00AF4947">
        <w:t>c</w:t>
      </w:r>
      <w:r w:rsidR="00CD0248">
        <w:t>edasticity.</w:t>
      </w:r>
    </w:p>
    <w:p w:rsidR="00150E1C" w:rsidRDefault="00150E1C" w:rsidP="00CD0248">
      <w:pPr>
        <w:tabs>
          <w:tab w:val="left" w:pos="284"/>
        </w:tabs>
        <w:spacing w:after="0" w:line="480" w:lineRule="auto"/>
        <w:ind w:firstLine="0"/>
        <w:jc w:val="center"/>
      </w:pPr>
      <w:r>
        <w:rPr>
          <w:b/>
        </w:rPr>
        <w:t>Table 13 near here</w:t>
      </w:r>
    </w:p>
    <w:p w:rsidR="00F40203" w:rsidRDefault="00CD0248" w:rsidP="00691ED8">
      <w:pPr>
        <w:widowControl w:val="0"/>
        <w:tabs>
          <w:tab w:val="left" w:pos="284"/>
        </w:tabs>
        <w:spacing w:after="0" w:line="480" w:lineRule="auto"/>
        <w:ind w:firstLine="0"/>
        <w:rPr>
          <w:color w:val="000000"/>
        </w:rPr>
      </w:pPr>
      <w:r>
        <w:rPr>
          <w:b/>
          <w:lang w:val="en-US"/>
        </w:rPr>
        <w:tab/>
      </w:r>
      <w:r>
        <w:rPr>
          <w:lang w:val="en-US"/>
        </w:rPr>
        <w:t xml:space="preserve">Table 13 </w:t>
      </w:r>
      <w:r w:rsidR="00F40203">
        <w:rPr>
          <w:lang w:val="en-US"/>
        </w:rPr>
        <w:t>record</w:t>
      </w:r>
      <w:r>
        <w:rPr>
          <w:lang w:val="en-US"/>
        </w:rPr>
        <w:t xml:space="preserve">s the results of our re-estimation of </w:t>
      </w:r>
      <w:r>
        <w:rPr>
          <w:color w:val="000000"/>
        </w:rPr>
        <w:t xml:space="preserve">Flegg and Tohmo’s model using </w:t>
      </w:r>
      <w:r w:rsidR="00401CB1">
        <w:rPr>
          <w:color w:val="000000"/>
        </w:rPr>
        <w:t xml:space="preserve">data for all 16 </w:t>
      </w:r>
      <w:r>
        <w:rPr>
          <w:color w:val="000000"/>
        </w:rPr>
        <w:t xml:space="preserve">South Korean </w:t>
      </w:r>
      <w:r w:rsidR="00401CB1">
        <w:rPr>
          <w:color w:val="000000"/>
        </w:rPr>
        <w:t>regions</w:t>
      </w:r>
      <w:r>
        <w:rPr>
          <w:color w:val="000000"/>
        </w:rPr>
        <w:t>.</w:t>
      </w:r>
      <w:r w:rsidR="00243239">
        <w:rPr>
          <w:b/>
          <w:color w:val="000000"/>
          <w:vertAlign w:val="superscript"/>
        </w:rPr>
        <w:t>9</w:t>
      </w:r>
      <w:r w:rsidR="00576E6E">
        <w:rPr>
          <w:color w:val="000000"/>
        </w:rPr>
        <w:t xml:space="preserve">  </w:t>
      </w:r>
      <w:r w:rsidR="00576E6E">
        <w:t xml:space="preserve">Observations on </w:t>
      </w:r>
      <w:r w:rsidR="00576E6E" w:rsidRPr="00DA701B">
        <w:t>ln</w:t>
      </w:r>
      <w:r w:rsidR="00757152">
        <w:rPr>
          <w:vertAlign w:val="subscript"/>
        </w:rPr>
        <w:t xml:space="preserve"> </w:t>
      </w:r>
      <w:r w:rsidR="00576E6E" w:rsidRPr="00B335EC">
        <w:rPr>
          <w:i/>
          <w:color w:val="000000"/>
        </w:rPr>
        <w:t>δ</w:t>
      </w:r>
      <w:r w:rsidR="00576E6E">
        <w:t xml:space="preserve"> were derived by finding the value of </w:t>
      </w:r>
      <w:r w:rsidR="00576E6E" w:rsidRPr="00B335EC">
        <w:rPr>
          <w:i/>
          <w:color w:val="000000"/>
        </w:rPr>
        <w:t>δ</w:t>
      </w:r>
      <w:r w:rsidR="00576E6E">
        <w:rPr>
          <w:i/>
          <w:color w:val="000000"/>
        </w:rPr>
        <w:t xml:space="preserve"> </w:t>
      </w:r>
      <w:r w:rsidR="00576E6E">
        <w:rPr>
          <w:color w:val="000000"/>
        </w:rPr>
        <w:t>that minimized MAPE for each region.</w:t>
      </w:r>
      <w:r w:rsidR="00243239">
        <w:rPr>
          <w:b/>
          <w:color w:val="000000"/>
          <w:vertAlign w:val="superscript"/>
        </w:rPr>
        <w:t>10</w:t>
      </w:r>
      <w:r>
        <w:rPr>
          <w:color w:val="000000"/>
        </w:rPr>
        <w:t xml:space="preserve"> </w:t>
      </w:r>
      <w:r w:rsidR="00122653">
        <w:rPr>
          <w:color w:val="000000"/>
        </w:rPr>
        <w:t xml:space="preserve"> Regression (1) </w:t>
      </w:r>
      <w:r w:rsidR="00691ED8">
        <w:rPr>
          <w:color w:val="000000"/>
        </w:rPr>
        <w:t>has the same specification a</w:t>
      </w:r>
      <w:r w:rsidR="00122653">
        <w:rPr>
          <w:color w:val="000000"/>
        </w:rPr>
        <w:t xml:space="preserve">s </w:t>
      </w:r>
      <w:r w:rsidR="00691ED8">
        <w:rPr>
          <w:color w:val="000000"/>
        </w:rPr>
        <w:t>equation (19)</w:t>
      </w:r>
      <w:r w:rsidR="008567B8">
        <w:rPr>
          <w:color w:val="000000"/>
        </w:rPr>
        <w:t xml:space="preserve"> and the </w:t>
      </w:r>
      <w:r w:rsidR="00F40203">
        <w:rPr>
          <w:color w:val="000000"/>
        </w:rPr>
        <w:t xml:space="preserve">corresponding </w:t>
      </w:r>
      <w:r w:rsidR="008567B8">
        <w:rPr>
          <w:color w:val="000000"/>
        </w:rPr>
        <w:t xml:space="preserve">estimated elasticities have </w:t>
      </w:r>
      <w:r w:rsidR="00F40203">
        <w:rPr>
          <w:color w:val="000000"/>
        </w:rPr>
        <w:t xml:space="preserve">identical </w:t>
      </w:r>
      <w:r w:rsidR="008567B8">
        <w:rPr>
          <w:color w:val="000000"/>
        </w:rPr>
        <w:t>signs.  However, when judged in terms of the usual statistical criteria, th</w:t>
      </w:r>
      <w:r w:rsidR="004502A1">
        <w:rPr>
          <w:color w:val="000000"/>
        </w:rPr>
        <w:t>is</w:t>
      </w:r>
      <w:r w:rsidR="008567B8">
        <w:rPr>
          <w:color w:val="000000"/>
        </w:rPr>
        <w:t xml:space="preserve"> </w:t>
      </w:r>
      <w:r w:rsidR="00AD4D95">
        <w:rPr>
          <w:color w:val="000000"/>
        </w:rPr>
        <w:t>new</w:t>
      </w:r>
      <w:r w:rsidR="008567B8">
        <w:rPr>
          <w:color w:val="000000"/>
        </w:rPr>
        <w:t xml:space="preserve"> model</w:t>
      </w:r>
      <w:r w:rsidR="00402BCE">
        <w:rPr>
          <w:color w:val="000000"/>
        </w:rPr>
        <w:t xml:space="preserve"> </w:t>
      </w:r>
      <w:r w:rsidR="008567B8">
        <w:rPr>
          <w:color w:val="000000"/>
        </w:rPr>
        <w:t xml:space="preserve">is less satisfactory than the </w:t>
      </w:r>
      <w:r w:rsidR="00265656">
        <w:rPr>
          <w:color w:val="000000"/>
        </w:rPr>
        <w:t>Finnish</w:t>
      </w:r>
      <w:r w:rsidR="008567B8">
        <w:rPr>
          <w:color w:val="000000"/>
        </w:rPr>
        <w:t xml:space="preserve"> one.  As a result, we attempted to refine </w:t>
      </w:r>
      <w:r w:rsidR="004502A1">
        <w:rPr>
          <w:color w:val="000000"/>
        </w:rPr>
        <w:t>it</w:t>
      </w:r>
      <w:r w:rsidR="00253938">
        <w:rPr>
          <w:color w:val="000000"/>
        </w:rPr>
        <w:t xml:space="preserve"> by adding a new regressor, ln</w:t>
      </w:r>
      <w:r w:rsidR="00757152">
        <w:rPr>
          <w:color w:val="000000"/>
          <w:vertAlign w:val="subscript"/>
        </w:rPr>
        <w:t xml:space="preserve"> </w:t>
      </w:r>
      <w:r w:rsidR="00253938">
        <w:rPr>
          <w:i/>
          <w:color w:val="000000"/>
        </w:rPr>
        <w:t>F</w:t>
      </w:r>
      <w:r w:rsidR="00253938">
        <w:rPr>
          <w:color w:val="000000"/>
        </w:rPr>
        <w:t xml:space="preserve">, where </w:t>
      </w:r>
      <w:r w:rsidR="00253938" w:rsidRPr="00253938">
        <w:rPr>
          <w:i/>
          <w:color w:val="000000"/>
        </w:rPr>
        <w:t>F</w:t>
      </w:r>
      <w:r w:rsidR="00253938">
        <w:rPr>
          <w:color w:val="000000"/>
        </w:rPr>
        <w:t xml:space="preserve"> </w:t>
      </w:r>
      <w:r w:rsidR="00253938" w:rsidRPr="00253938">
        <w:rPr>
          <w:color w:val="000000"/>
        </w:rPr>
        <w:t>is</w:t>
      </w:r>
      <w:r w:rsidR="00253938">
        <w:rPr>
          <w:color w:val="000000"/>
        </w:rPr>
        <w:t xml:space="preserve"> </w:t>
      </w:r>
      <w:r w:rsidR="00F40203">
        <w:t xml:space="preserve">the </w:t>
      </w:r>
      <w:r w:rsidR="00BA1FA5">
        <w:t xml:space="preserve">average </w:t>
      </w:r>
      <w:r w:rsidR="00F40203">
        <w:t>proportion of each region’s gross output imported from abroad, divided by the mean for all regions.  As noted earlier</w:t>
      </w:r>
      <w:r w:rsidR="008567B8">
        <w:rPr>
          <w:color w:val="000000"/>
        </w:rPr>
        <w:t xml:space="preserve"> </w:t>
      </w:r>
      <w:r w:rsidR="00F40203">
        <w:rPr>
          <w:color w:val="000000"/>
        </w:rPr>
        <w:t>and illustrated in Table 10, the share of foreign imports in gross output varies greatly across regions, so this variable should be relevant.</w:t>
      </w:r>
    </w:p>
    <w:p w:rsidR="008567B8" w:rsidRDefault="00F40203" w:rsidP="000977B5">
      <w:pPr>
        <w:widowControl w:val="0"/>
        <w:tabs>
          <w:tab w:val="left" w:pos="284"/>
        </w:tabs>
        <w:spacing w:after="0" w:line="480" w:lineRule="auto"/>
        <w:ind w:firstLine="0"/>
      </w:pPr>
      <w:r>
        <w:rPr>
          <w:color w:val="000000"/>
        </w:rPr>
        <w:tab/>
      </w:r>
      <w:r w:rsidR="002464A5">
        <w:rPr>
          <w:color w:val="000000"/>
        </w:rPr>
        <w:t>It is evident that ln</w:t>
      </w:r>
      <w:r w:rsidR="00757152">
        <w:rPr>
          <w:color w:val="000000"/>
          <w:vertAlign w:val="subscript"/>
        </w:rPr>
        <w:t xml:space="preserve"> </w:t>
      </w:r>
      <w:r w:rsidR="002464A5">
        <w:rPr>
          <w:i/>
          <w:color w:val="000000"/>
        </w:rPr>
        <w:t>F</w:t>
      </w:r>
      <w:r w:rsidR="002464A5">
        <w:rPr>
          <w:color w:val="000000"/>
        </w:rPr>
        <w:t xml:space="preserve"> adds </w:t>
      </w:r>
      <w:r w:rsidR="000977B5">
        <w:rPr>
          <w:color w:val="000000"/>
        </w:rPr>
        <w:t>great</w:t>
      </w:r>
      <w:r w:rsidR="002464A5">
        <w:rPr>
          <w:color w:val="000000"/>
        </w:rPr>
        <w:t xml:space="preserve">ly to the explanatory power of the model and its estimated coefficient has the anticipated sign.  However, the </w:t>
      </w:r>
      <w:r w:rsidR="002464A5" w:rsidRPr="004A3AE5">
        <w:rPr>
          <w:i/>
        </w:rPr>
        <w:t>χ</w:t>
      </w:r>
      <w:r w:rsidR="002464A5" w:rsidRPr="004A3AE5">
        <w:rPr>
          <w:i/>
          <w:vertAlign w:val="superscript"/>
        </w:rPr>
        <w:t>2</w:t>
      </w:r>
      <w:r w:rsidR="002464A5" w:rsidRPr="004A3AE5">
        <w:t xml:space="preserve"> </w:t>
      </w:r>
      <w:r w:rsidR="002464A5">
        <w:t xml:space="preserve">statistic </w:t>
      </w:r>
      <w:r w:rsidR="00BE1C60">
        <w:t>reveal</w:t>
      </w:r>
      <w:r w:rsidR="002464A5">
        <w:t>s that the residuals are not normally distributed</w:t>
      </w:r>
      <w:r w:rsidR="00B749E7">
        <w:t xml:space="preserve">.  </w:t>
      </w:r>
      <w:r w:rsidR="002E07AC">
        <w:t xml:space="preserve">Daejeon was identified as the main source of this problem: </w:t>
      </w:r>
      <w:r w:rsidR="007F7729">
        <w:t>its</w:t>
      </w:r>
      <w:r w:rsidR="002E07AC">
        <w:t xml:space="preserve"> residual is more than two standard errors from zero.  To address this problem</w:t>
      </w:r>
      <w:r w:rsidR="00DA09C7">
        <w:t>,</w:t>
      </w:r>
      <w:r w:rsidR="002E07AC">
        <w:t xml:space="preserve"> and to prevent </w:t>
      </w:r>
      <w:r w:rsidR="00DA09C7">
        <w:t>this outlier</w:t>
      </w:r>
      <w:r w:rsidR="002E07AC">
        <w:t xml:space="preserve"> from</w:t>
      </w:r>
      <w:r w:rsidR="000F138A">
        <w:t xml:space="preserve"> distorting the results, a </w:t>
      </w:r>
      <w:r w:rsidR="00BE1C60">
        <w:t>binary</w:t>
      </w:r>
      <w:r w:rsidR="000F138A">
        <w:t xml:space="preserve"> variable</w:t>
      </w:r>
      <w:r w:rsidR="00BE1C60">
        <w:t xml:space="preserve">, </w:t>
      </w:r>
      <w:r w:rsidR="00BE1C60">
        <w:rPr>
          <w:i/>
        </w:rPr>
        <w:t>B</w:t>
      </w:r>
      <w:r w:rsidR="00BE1C60">
        <w:rPr>
          <w:i/>
          <w:vertAlign w:val="subscript"/>
        </w:rPr>
        <w:t>15</w:t>
      </w:r>
      <w:r w:rsidR="00BE1C60">
        <w:t xml:space="preserve">, </w:t>
      </w:r>
      <w:r w:rsidR="000F138A">
        <w:t xml:space="preserve">was added to the </w:t>
      </w:r>
      <w:r w:rsidR="00FD41B5">
        <w:t>model</w:t>
      </w:r>
      <w:r w:rsidR="000F138A">
        <w:t>.</w:t>
      </w:r>
      <w:r w:rsidR="000F138A">
        <w:rPr>
          <w:b/>
          <w:vertAlign w:val="superscript"/>
        </w:rPr>
        <w:t>1</w:t>
      </w:r>
      <w:r w:rsidR="009C3579">
        <w:rPr>
          <w:b/>
          <w:vertAlign w:val="superscript"/>
        </w:rPr>
        <w:t>1</w:t>
      </w:r>
      <w:r w:rsidR="00B25500">
        <w:t xml:space="preserve">  Regression (3) </w:t>
      </w:r>
      <w:r w:rsidR="00424599">
        <w:t>records</w:t>
      </w:r>
      <w:r w:rsidR="00B25500">
        <w:t xml:space="preserve"> the outcome.</w:t>
      </w:r>
    </w:p>
    <w:p w:rsidR="00600E65" w:rsidRDefault="007F7729" w:rsidP="00691ED8">
      <w:pPr>
        <w:widowControl w:val="0"/>
        <w:tabs>
          <w:tab w:val="left" w:pos="284"/>
        </w:tabs>
        <w:spacing w:after="0" w:line="480" w:lineRule="auto"/>
        <w:ind w:firstLine="0"/>
        <w:rPr>
          <w:color w:val="000000"/>
        </w:rPr>
      </w:pPr>
      <w:r>
        <w:tab/>
      </w:r>
      <w:r w:rsidR="001214B6">
        <w:t xml:space="preserve">It is clear from </w:t>
      </w:r>
      <w:r w:rsidR="001214B6">
        <w:rPr>
          <w:color w:val="000000"/>
        </w:rPr>
        <w:t xml:space="preserve">the </w:t>
      </w:r>
      <w:r w:rsidR="001214B6" w:rsidRPr="00DA09C7">
        <w:t>χ</w:t>
      </w:r>
      <w:r w:rsidR="001214B6" w:rsidRPr="00DA09C7">
        <w:rPr>
          <w:vertAlign w:val="superscript"/>
        </w:rPr>
        <w:t>2</w:t>
      </w:r>
      <w:r w:rsidR="00DA09C7">
        <w:rPr>
          <w:vertAlign w:val="superscript"/>
        </w:rPr>
        <w:t xml:space="preserve"> </w:t>
      </w:r>
      <w:r w:rsidR="001214B6" w:rsidRPr="00DA09C7">
        <w:t>statistic</w:t>
      </w:r>
      <w:r w:rsidR="001214B6">
        <w:t xml:space="preserve"> that the </w:t>
      </w:r>
      <w:r w:rsidR="00566541">
        <w:t xml:space="preserve">inclusion of </w:t>
      </w:r>
      <w:r w:rsidR="00566541">
        <w:rPr>
          <w:i/>
        </w:rPr>
        <w:t>B</w:t>
      </w:r>
      <w:r w:rsidR="00566541">
        <w:rPr>
          <w:i/>
          <w:vertAlign w:val="subscript"/>
        </w:rPr>
        <w:t>15</w:t>
      </w:r>
      <w:r w:rsidR="001214B6">
        <w:t xml:space="preserve"> has gone a long way towards eliminating the skewness and kurtosis in the residuals of regression (2).</w:t>
      </w:r>
      <w:r w:rsidR="00DA09C7">
        <w:t xml:space="preserve">  The </w:t>
      </w:r>
      <w:r w:rsidR="00757152">
        <w:t>big</w:t>
      </w:r>
      <w:r w:rsidR="00DA09C7">
        <w:t xml:space="preserve"> rise in </w:t>
      </w:r>
      <w:r w:rsidR="00DA09C7">
        <w:rPr>
          <w:i/>
        </w:rPr>
        <w:t>R</w:t>
      </w:r>
      <w:r w:rsidR="00DA09C7">
        <w:rPr>
          <w:i/>
          <w:vertAlign w:val="superscript"/>
        </w:rPr>
        <w:t>2</w:t>
      </w:r>
      <w:r w:rsidR="00DA09C7">
        <w:t xml:space="preserve"> reflects the fact that </w:t>
      </w:r>
      <w:r w:rsidR="00AA1552">
        <w:rPr>
          <w:i/>
        </w:rPr>
        <w:t>B</w:t>
      </w:r>
      <w:r w:rsidR="00AA1552">
        <w:rPr>
          <w:i/>
          <w:vertAlign w:val="subscript"/>
        </w:rPr>
        <w:t>15</w:t>
      </w:r>
      <w:r w:rsidR="00DA09C7">
        <w:t xml:space="preserve"> is highly statistically significant.  </w:t>
      </w:r>
      <w:r w:rsidR="00757152">
        <w:t>T</w:t>
      </w:r>
      <w:r w:rsidR="001214B6">
        <w:t>here is</w:t>
      </w:r>
      <w:r w:rsidR="00757152">
        <w:t xml:space="preserve"> also</w:t>
      </w:r>
      <w:r w:rsidR="001214B6">
        <w:t xml:space="preserve"> a</w:t>
      </w:r>
      <w:r w:rsidR="002E7F87">
        <w:t xml:space="preserve"> marked</w:t>
      </w:r>
      <w:r w:rsidR="001214B6">
        <w:t xml:space="preserve"> </w:t>
      </w:r>
      <w:r w:rsidR="002E7F87">
        <w:t>r</w:t>
      </w:r>
      <w:r w:rsidR="001214B6">
        <w:t>i</w:t>
      </w:r>
      <w:r w:rsidR="002E7F87">
        <w:t>se</w:t>
      </w:r>
      <w:r w:rsidR="001214B6">
        <w:t xml:space="preserve"> in </w:t>
      </w:r>
      <w:r w:rsidR="00334D2A">
        <w:t xml:space="preserve">the </w:t>
      </w:r>
      <w:r w:rsidR="00334D2A">
        <w:rPr>
          <w:i/>
        </w:rPr>
        <w:t>t</w:t>
      </w:r>
      <w:r w:rsidR="00334D2A">
        <w:t xml:space="preserve"> ratios</w:t>
      </w:r>
      <w:r w:rsidR="00462C1B">
        <w:rPr>
          <w:color w:val="000000"/>
        </w:rPr>
        <w:t xml:space="preserve"> </w:t>
      </w:r>
      <w:r w:rsidR="001214B6">
        <w:t xml:space="preserve">for </w:t>
      </w:r>
      <w:r w:rsidR="00544497">
        <w:rPr>
          <w:color w:val="000000"/>
        </w:rPr>
        <w:t>ln</w:t>
      </w:r>
      <w:r w:rsidR="00757152">
        <w:rPr>
          <w:color w:val="000000"/>
          <w:vertAlign w:val="subscript"/>
        </w:rPr>
        <w:t xml:space="preserve"> </w:t>
      </w:r>
      <w:r w:rsidR="00544497" w:rsidRPr="002C3A29">
        <w:rPr>
          <w:i/>
          <w:color w:val="000000"/>
        </w:rPr>
        <w:t>R</w:t>
      </w:r>
      <w:r w:rsidR="00544497">
        <w:rPr>
          <w:color w:val="000000"/>
        </w:rPr>
        <w:t>, ln</w:t>
      </w:r>
      <w:r w:rsidR="00757152">
        <w:rPr>
          <w:color w:val="000000"/>
          <w:vertAlign w:val="subscript"/>
        </w:rPr>
        <w:t xml:space="preserve"> </w:t>
      </w:r>
      <w:r w:rsidR="00544497" w:rsidRPr="002C3A29">
        <w:rPr>
          <w:i/>
          <w:color w:val="000000"/>
        </w:rPr>
        <w:t>P</w:t>
      </w:r>
      <w:r w:rsidR="00544497">
        <w:rPr>
          <w:color w:val="000000"/>
        </w:rPr>
        <w:t xml:space="preserve"> and</w:t>
      </w:r>
      <w:r w:rsidR="00544497">
        <w:rPr>
          <w:color w:val="000000"/>
          <w:vertAlign w:val="subscript"/>
        </w:rPr>
        <w:t xml:space="preserve"> </w:t>
      </w:r>
      <w:r w:rsidR="00544497">
        <w:rPr>
          <w:color w:val="000000"/>
        </w:rPr>
        <w:t>ln</w:t>
      </w:r>
      <w:r w:rsidR="00757152">
        <w:rPr>
          <w:color w:val="000000"/>
          <w:vertAlign w:val="subscript"/>
        </w:rPr>
        <w:t xml:space="preserve"> </w:t>
      </w:r>
      <w:r w:rsidR="00544497">
        <w:rPr>
          <w:i/>
          <w:color w:val="000000"/>
        </w:rPr>
        <w:t>F</w:t>
      </w:r>
      <w:r w:rsidR="00544497">
        <w:rPr>
          <w:color w:val="000000"/>
        </w:rPr>
        <w:t>.</w:t>
      </w:r>
      <w:r w:rsidR="00757152">
        <w:rPr>
          <w:color w:val="000000"/>
        </w:rPr>
        <w:t xml:space="preserve">  However, the results strongly suggest that ln</w:t>
      </w:r>
      <w:r w:rsidR="00757152">
        <w:rPr>
          <w:color w:val="000000"/>
          <w:vertAlign w:val="subscript"/>
        </w:rPr>
        <w:t xml:space="preserve"> </w:t>
      </w:r>
      <w:r w:rsidR="00757152">
        <w:rPr>
          <w:i/>
          <w:color w:val="000000"/>
        </w:rPr>
        <w:t>I</w:t>
      </w:r>
      <w:r w:rsidR="00757152">
        <w:rPr>
          <w:color w:val="000000"/>
        </w:rPr>
        <w:t xml:space="preserve"> is a redundant regressor</w:t>
      </w:r>
      <w:r w:rsidR="00593F62">
        <w:rPr>
          <w:color w:val="000000"/>
        </w:rPr>
        <w:t>, so</w:t>
      </w:r>
      <w:r w:rsidR="008E78E6">
        <w:rPr>
          <w:color w:val="000000"/>
        </w:rPr>
        <w:t xml:space="preserve"> it has been </w:t>
      </w:r>
      <w:r w:rsidR="00E430EA">
        <w:rPr>
          <w:color w:val="000000"/>
        </w:rPr>
        <w:t>omitted</w:t>
      </w:r>
      <w:r w:rsidR="008E78E6">
        <w:rPr>
          <w:color w:val="000000"/>
        </w:rPr>
        <w:t xml:space="preserve"> from regression (4)</w:t>
      </w:r>
      <w:r w:rsidR="00757152">
        <w:rPr>
          <w:color w:val="000000"/>
        </w:rPr>
        <w:t>.</w:t>
      </w:r>
    </w:p>
    <w:p w:rsidR="00764025" w:rsidRPr="008D17CC" w:rsidRDefault="00600E65" w:rsidP="00691ED8">
      <w:pPr>
        <w:widowControl w:val="0"/>
        <w:tabs>
          <w:tab w:val="left" w:pos="284"/>
        </w:tabs>
        <w:spacing w:after="0" w:line="480" w:lineRule="auto"/>
        <w:ind w:firstLine="0"/>
        <w:rPr>
          <w:color w:val="000000"/>
        </w:rPr>
      </w:pPr>
      <w:r>
        <w:rPr>
          <w:color w:val="000000"/>
        </w:rPr>
        <w:tab/>
      </w:r>
      <w:r w:rsidR="00E430EA">
        <w:rPr>
          <w:color w:val="000000"/>
        </w:rPr>
        <w:t>There are several reasons why it is desirable to omit ln</w:t>
      </w:r>
      <w:r w:rsidR="00E430EA">
        <w:rPr>
          <w:color w:val="000000"/>
          <w:vertAlign w:val="subscript"/>
        </w:rPr>
        <w:t xml:space="preserve"> </w:t>
      </w:r>
      <w:r w:rsidR="00E430EA">
        <w:rPr>
          <w:i/>
          <w:color w:val="000000"/>
        </w:rPr>
        <w:t>I</w:t>
      </w:r>
      <w:r w:rsidR="00E430EA">
        <w:rPr>
          <w:color w:val="000000"/>
        </w:rPr>
        <w:t xml:space="preserve">: to simplify the model, to save a valuable degree of freedom and to reduce unnecessary multicollinearity.  </w:t>
      </w:r>
      <w:r w:rsidR="000977B5">
        <w:rPr>
          <w:color w:val="000000"/>
        </w:rPr>
        <w:t>Despite</w:t>
      </w:r>
      <w:r w:rsidR="00FA4653">
        <w:rPr>
          <w:color w:val="000000"/>
        </w:rPr>
        <w:t xml:space="preserve"> </w:t>
      </w:r>
      <w:r w:rsidR="00E430EA">
        <w:rPr>
          <w:color w:val="000000"/>
        </w:rPr>
        <w:t>the theoretical reasons for including ln</w:t>
      </w:r>
      <w:r w:rsidR="00E430EA">
        <w:rPr>
          <w:color w:val="000000"/>
          <w:vertAlign w:val="subscript"/>
        </w:rPr>
        <w:t xml:space="preserve"> </w:t>
      </w:r>
      <w:r w:rsidR="00E430EA">
        <w:rPr>
          <w:i/>
          <w:color w:val="000000"/>
        </w:rPr>
        <w:t>I</w:t>
      </w:r>
      <w:r w:rsidR="00E430EA">
        <w:rPr>
          <w:color w:val="000000"/>
        </w:rPr>
        <w:t xml:space="preserve">, its negligible </w:t>
      </w:r>
      <w:r w:rsidR="00E430EA">
        <w:rPr>
          <w:i/>
          <w:color w:val="000000"/>
        </w:rPr>
        <w:t>t</w:t>
      </w:r>
      <w:r w:rsidR="00E430EA">
        <w:rPr>
          <w:color w:val="000000"/>
        </w:rPr>
        <w:t xml:space="preserve"> ratio reflects the fact that there is relatively little interregional variation in the values of ln</w:t>
      </w:r>
      <w:r w:rsidR="00E430EA">
        <w:rPr>
          <w:color w:val="000000"/>
          <w:vertAlign w:val="subscript"/>
        </w:rPr>
        <w:t xml:space="preserve"> </w:t>
      </w:r>
      <w:r w:rsidR="00E430EA">
        <w:rPr>
          <w:i/>
          <w:color w:val="000000"/>
        </w:rPr>
        <w:t>I</w:t>
      </w:r>
      <w:r w:rsidR="00E430EA">
        <w:rPr>
          <w:color w:val="000000"/>
        </w:rPr>
        <w:t>.</w:t>
      </w:r>
      <w:r w:rsidR="00E6382E">
        <w:rPr>
          <w:color w:val="000000"/>
        </w:rPr>
        <w:t xml:space="preserve">  The benefits of omitting ln</w:t>
      </w:r>
      <w:r w:rsidR="00E6382E">
        <w:rPr>
          <w:color w:val="000000"/>
          <w:vertAlign w:val="subscript"/>
        </w:rPr>
        <w:t xml:space="preserve"> </w:t>
      </w:r>
      <w:r w:rsidR="00E6382E">
        <w:rPr>
          <w:i/>
          <w:color w:val="000000"/>
        </w:rPr>
        <w:t>I</w:t>
      </w:r>
      <w:r w:rsidR="00E6382E">
        <w:rPr>
          <w:color w:val="000000"/>
        </w:rPr>
        <w:t xml:space="preserve"> </w:t>
      </w:r>
      <w:r w:rsidR="0004437A">
        <w:rPr>
          <w:color w:val="000000"/>
        </w:rPr>
        <w:t xml:space="preserve">are </w:t>
      </w:r>
      <w:r w:rsidR="00134792">
        <w:rPr>
          <w:color w:val="000000"/>
        </w:rPr>
        <w:t>demonstrated by the fact that</w:t>
      </w:r>
      <w:r w:rsidR="00462C1B">
        <w:rPr>
          <w:color w:val="000000"/>
        </w:rPr>
        <w:t xml:space="preserve"> </w:t>
      </w:r>
      <w:r w:rsidR="001570A5">
        <w:rPr>
          <w:color w:val="000000"/>
        </w:rPr>
        <w:t>every</w:t>
      </w:r>
      <w:r w:rsidR="00462C1B">
        <w:rPr>
          <w:color w:val="000000"/>
        </w:rPr>
        <w:t xml:space="preserve"> </w:t>
      </w:r>
      <w:r w:rsidR="00462C1B" w:rsidRPr="00A8011C">
        <w:rPr>
          <w:i/>
          <w:color w:val="000000"/>
        </w:rPr>
        <w:t>t</w:t>
      </w:r>
      <w:r w:rsidR="00462C1B">
        <w:rPr>
          <w:color w:val="000000"/>
        </w:rPr>
        <w:t xml:space="preserve"> ratio ha</w:t>
      </w:r>
      <w:r w:rsidR="001570A5">
        <w:rPr>
          <w:color w:val="000000"/>
        </w:rPr>
        <w:t>s</w:t>
      </w:r>
      <w:r w:rsidR="00462C1B">
        <w:rPr>
          <w:color w:val="000000"/>
        </w:rPr>
        <w:t xml:space="preserve"> improved</w:t>
      </w:r>
      <w:r w:rsidR="00134792">
        <w:rPr>
          <w:color w:val="000000"/>
        </w:rPr>
        <w:t>.  Moreover,</w:t>
      </w:r>
      <w:r w:rsidR="00462C1B">
        <w:rPr>
          <w:color w:val="000000"/>
        </w:rPr>
        <w:t xml:space="preserve"> there is minimal change in the estimated coefficients, which indicates that omi</w:t>
      </w:r>
      <w:r w:rsidR="00593F62">
        <w:rPr>
          <w:color w:val="000000"/>
        </w:rPr>
        <w:t>tt</w:t>
      </w:r>
      <w:r w:rsidR="00462C1B">
        <w:rPr>
          <w:color w:val="000000"/>
        </w:rPr>
        <w:t>in</w:t>
      </w:r>
      <w:r w:rsidR="00593F62">
        <w:rPr>
          <w:color w:val="000000"/>
        </w:rPr>
        <w:t>g</w:t>
      </w:r>
      <w:r w:rsidR="00462C1B">
        <w:rPr>
          <w:color w:val="000000"/>
        </w:rPr>
        <w:t xml:space="preserve"> ln</w:t>
      </w:r>
      <w:r w:rsidR="00462C1B">
        <w:rPr>
          <w:color w:val="000000"/>
          <w:vertAlign w:val="subscript"/>
        </w:rPr>
        <w:t xml:space="preserve"> </w:t>
      </w:r>
      <w:r w:rsidR="00462C1B">
        <w:rPr>
          <w:i/>
          <w:color w:val="000000"/>
        </w:rPr>
        <w:t>I</w:t>
      </w:r>
      <w:r w:rsidR="00462C1B">
        <w:rPr>
          <w:color w:val="000000"/>
        </w:rPr>
        <w:t xml:space="preserve"> has not introduced bias.  One can see too</w:t>
      </w:r>
      <w:r w:rsidR="00AF3C09">
        <w:rPr>
          <w:color w:val="000000"/>
        </w:rPr>
        <w:t xml:space="preserve"> </w:t>
      </w:r>
      <w:r w:rsidR="00462C1B">
        <w:rPr>
          <w:color w:val="000000"/>
        </w:rPr>
        <w:t>that</w:t>
      </w:r>
      <w:r w:rsidR="00AF3C09">
        <w:rPr>
          <w:color w:val="000000"/>
        </w:rPr>
        <w:t xml:space="preserve"> regression (4) has the highest AIC, thereby confirming that </w:t>
      </w:r>
      <w:r w:rsidR="00957DB2">
        <w:rPr>
          <w:color w:val="000000"/>
        </w:rPr>
        <w:t>it has the best fit</w:t>
      </w:r>
      <w:r w:rsidR="00AF3C09">
        <w:rPr>
          <w:color w:val="000000"/>
        </w:rPr>
        <w:t>.</w:t>
      </w:r>
      <w:r w:rsidR="009C3579">
        <w:rPr>
          <w:b/>
          <w:color w:val="000000"/>
          <w:vertAlign w:val="superscript"/>
        </w:rPr>
        <w:t>12</w:t>
      </w:r>
      <w:r w:rsidR="008D17CC">
        <w:rPr>
          <w:b/>
          <w:color w:val="000000"/>
        </w:rPr>
        <w:t xml:space="preserve">  </w:t>
      </w:r>
      <w:r w:rsidR="008D17CC" w:rsidRPr="008D17CC">
        <w:rPr>
          <w:color w:val="000000"/>
        </w:rPr>
        <w:t>It also comfortably passes all</w:t>
      </w:r>
      <w:r w:rsidR="008D17CC">
        <w:rPr>
          <w:b/>
          <w:color w:val="000000"/>
        </w:rPr>
        <w:t xml:space="preserve"> </w:t>
      </w:r>
      <w:r w:rsidR="008D17CC" w:rsidRPr="00DA09C7">
        <w:t>χ</w:t>
      </w:r>
      <w:r w:rsidR="008D17CC" w:rsidRPr="00DA09C7">
        <w:rPr>
          <w:vertAlign w:val="superscript"/>
        </w:rPr>
        <w:t>2</w:t>
      </w:r>
      <w:r w:rsidR="008D17CC">
        <w:t xml:space="preserve"> diagnostic tests.</w:t>
      </w:r>
    </w:p>
    <w:p w:rsidR="000A71DE" w:rsidRDefault="008D17CC" w:rsidP="00764025">
      <w:pPr>
        <w:widowControl w:val="0"/>
        <w:tabs>
          <w:tab w:val="left" w:pos="284"/>
        </w:tabs>
        <w:spacing w:after="0" w:line="480" w:lineRule="auto"/>
        <w:ind w:firstLine="0"/>
        <w:rPr>
          <w:color w:val="000000"/>
        </w:rPr>
      </w:pPr>
      <w:r>
        <w:rPr>
          <w:color w:val="000000"/>
        </w:rPr>
        <w:tab/>
        <w:t xml:space="preserve">Regression </w:t>
      </w:r>
      <w:r w:rsidR="00805F9D">
        <w:rPr>
          <w:color w:val="000000"/>
        </w:rPr>
        <w:t xml:space="preserve">(4) differs in some key respects from </w:t>
      </w:r>
      <w:r w:rsidR="0079430A">
        <w:rPr>
          <w:color w:val="000000"/>
        </w:rPr>
        <w:t xml:space="preserve">the Finnish equation (19).  In particular, </w:t>
      </w:r>
      <w:r w:rsidR="0079430A" w:rsidRPr="00B459B0">
        <w:rPr>
          <w:color w:val="000000"/>
        </w:rPr>
        <w:t>ln</w:t>
      </w:r>
      <w:r w:rsidR="0079430A" w:rsidRPr="00B459B0">
        <w:rPr>
          <w:color w:val="000000"/>
          <w:vertAlign w:val="subscript"/>
        </w:rPr>
        <w:t xml:space="preserve"> </w:t>
      </w:r>
      <w:r w:rsidR="0079430A">
        <w:rPr>
          <w:i/>
          <w:color w:val="000000"/>
        </w:rPr>
        <w:t>F</w:t>
      </w:r>
      <w:r w:rsidR="002C6DF3">
        <w:rPr>
          <w:color w:val="000000"/>
        </w:rPr>
        <w:t xml:space="preserve"> plays a highly significant role in regression (4)</w:t>
      </w:r>
      <w:r w:rsidR="004A2E34">
        <w:rPr>
          <w:color w:val="000000"/>
        </w:rPr>
        <w:t>, ye</w:t>
      </w:r>
      <w:r w:rsidR="002C6DF3">
        <w:rPr>
          <w:color w:val="000000"/>
        </w:rPr>
        <w:t>t is absent from equation (19)</w:t>
      </w:r>
      <w:r w:rsidR="004A2E34">
        <w:rPr>
          <w:color w:val="000000"/>
        </w:rPr>
        <w:t xml:space="preserve">, whereas </w:t>
      </w:r>
      <w:r w:rsidR="004A2E34" w:rsidRPr="00B459B0">
        <w:rPr>
          <w:color w:val="000000"/>
        </w:rPr>
        <w:t>ln</w:t>
      </w:r>
      <w:r w:rsidR="004A2E34" w:rsidRPr="00B459B0">
        <w:rPr>
          <w:color w:val="000000"/>
          <w:vertAlign w:val="subscript"/>
        </w:rPr>
        <w:t xml:space="preserve"> </w:t>
      </w:r>
      <w:r w:rsidR="004A2E34">
        <w:rPr>
          <w:i/>
          <w:color w:val="000000"/>
        </w:rPr>
        <w:t>I</w:t>
      </w:r>
      <w:r w:rsidR="004A2E34">
        <w:rPr>
          <w:color w:val="000000"/>
        </w:rPr>
        <w:t xml:space="preserve"> is highly significant in equation (19) but </w:t>
      </w:r>
      <w:r w:rsidR="00791A09">
        <w:rPr>
          <w:color w:val="000000"/>
        </w:rPr>
        <w:t xml:space="preserve">does </w:t>
      </w:r>
      <w:r w:rsidR="004A2E34">
        <w:rPr>
          <w:color w:val="000000"/>
        </w:rPr>
        <w:t xml:space="preserve">not </w:t>
      </w:r>
      <w:r w:rsidR="00791A09">
        <w:rPr>
          <w:color w:val="000000"/>
        </w:rPr>
        <w:t>appear</w:t>
      </w:r>
      <w:r w:rsidR="004A2E34">
        <w:rPr>
          <w:color w:val="000000"/>
        </w:rPr>
        <w:t xml:space="preserve"> in regression (4).  As regards regional size, the estimated elasticity of</w:t>
      </w:r>
      <w:r w:rsidR="008C06D9">
        <w:rPr>
          <w:color w:val="000000"/>
        </w:rPr>
        <w:t xml:space="preserve"> </w:t>
      </w:r>
      <w:r w:rsidR="008C06D9" w:rsidRPr="00B335EC">
        <w:rPr>
          <w:i/>
          <w:color w:val="000000"/>
        </w:rPr>
        <w:t>δ</w:t>
      </w:r>
      <w:r w:rsidR="008C06D9">
        <w:rPr>
          <w:color w:val="000000"/>
        </w:rPr>
        <w:t xml:space="preserve"> </w:t>
      </w:r>
      <w:r w:rsidR="004A2E34">
        <w:rPr>
          <w:color w:val="000000"/>
        </w:rPr>
        <w:t xml:space="preserve">with respect to </w:t>
      </w:r>
      <w:r w:rsidR="008C06D9">
        <w:rPr>
          <w:i/>
          <w:color w:val="000000"/>
        </w:rPr>
        <w:t>R</w:t>
      </w:r>
      <w:r w:rsidR="008C06D9">
        <w:rPr>
          <w:color w:val="000000"/>
        </w:rPr>
        <w:t xml:space="preserve"> </w:t>
      </w:r>
      <w:r w:rsidR="004A2E34">
        <w:rPr>
          <w:color w:val="000000"/>
        </w:rPr>
        <w:t xml:space="preserve">is </w:t>
      </w:r>
      <w:r w:rsidR="008C06D9">
        <w:rPr>
          <w:color w:val="000000"/>
        </w:rPr>
        <w:t>0.332 in equation (19), yet only 0.1</w:t>
      </w:r>
      <w:r w:rsidR="00B6031F">
        <w:rPr>
          <w:color w:val="000000"/>
        </w:rPr>
        <w:t>68</w:t>
      </w:r>
      <w:r w:rsidR="008C06D9">
        <w:rPr>
          <w:color w:val="000000"/>
        </w:rPr>
        <w:t xml:space="preserve"> in regression (4).</w:t>
      </w:r>
      <w:r w:rsidR="006C6F54">
        <w:rPr>
          <w:color w:val="000000"/>
        </w:rPr>
        <w:t xml:space="preserve">  These di</w:t>
      </w:r>
      <w:r w:rsidR="00675155">
        <w:rPr>
          <w:color w:val="000000"/>
        </w:rPr>
        <w:t>ssimilarities</w:t>
      </w:r>
      <w:r w:rsidR="006C6F54">
        <w:rPr>
          <w:color w:val="000000"/>
        </w:rPr>
        <w:t xml:space="preserve"> can largely be explained </w:t>
      </w:r>
      <w:r w:rsidR="00172465">
        <w:rPr>
          <w:color w:val="000000"/>
        </w:rPr>
        <w:t>by the</w:t>
      </w:r>
      <w:r w:rsidR="006C6F54">
        <w:rPr>
          <w:color w:val="000000"/>
        </w:rPr>
        <w:t xml:space="preserve"> </w:t>
      </w:r>
      <w:r w:rsidR="007D4266">
        <w:rPr>
          <w:color w:val="000000"/>
        </w:rPr>
        <w:t>differences</w:t>
      </w:r>
      <w:r w:rsidR="006874C7">
        <w:rPr>
          <w:color w:val="000000"/>
        </w:rPr>
        <w:t xml:space="preserve"> between Finland and South Korea </w:t>
      </w:r>
      <w:r w:rsidR="007D4266">
        <w:rPr>
          <w:color w:val="000000"/>
        </w:rPr>
        <w:t xml:space="preserve">in the </w:t>
      </w:r>
      <w:r w:rsidR="00791A09">
        <w:rPr>
          <w:color w:val="000000"/>
        </w:rPr>
        <w:t>amount</w:t>
      </w:r>
      <w:r w:rsidR="007D4266">
        <w:rPr>
          <w:color w:val="000000"/>
        </w:rPr>
        <w:t xml:space="preserve"> of interregional variation in </w:t>
      </w:r>
      <w:r w:rsidR="00791A09">
        <w:rPr>
          <w:color w:val="000000"/>
        </w:rPr>
        <w:t>each</w:t>
      </w:r>
      <w:r w:rsidR="007D4266">
        <w:rPr>
          <w:color w:val="000000"/>
        </w:rPr>
        <w:t xml:space="preserve"> variabl</w:t>
      </w:r>
      <w:r w:rsidR="00791A09">
        <w:rPr>
          <w:color w:val="000000"/>
        </w:rPr>
        <w:t>e</w:t>
      </w:r>
      <w:r w:rsidR="007D4266">
        <w:rPr>
          <w:color w:val="000000"/>
        </w:rPr>
        <w:t>.</w:t>
      </w:r>
      <w:r w:rsidR="004A2E34">
        <w:rPr>
          <w:color w:val="000000"/>
        </w:rPr>
        <w:t xml:space="preserve"> </w:t>
      </w:r>
      <w:r w:rsidR="00396162">
        <w:rPr>
          <w:color w:val="000000"/>
        </w:rPr>
        <w:t xml:space="preserve"> </w:t>
      </w:r>
      <w:r w:rsidR="00FD41B5">
        <w:rPr>
          <w:color w:val="000000"/>
        </w:rPr>
        <w:t>Although</w:t>
      </w:r>
      <w:r w:rsidR="00791A09" w:rsidRPr="00B459B0">
        <w:rPr>
          <w:color w:val="000000"/>
        </w:rPr>
        <w:t xml:space="preserve"> we </w:t>
      </w:r>
      <w:r w:rsidR="00791A09">
        <w:rPr>
          <w:color w:val="000000"/>
        </w:rPr>
        <w:t>t</w:t>
      </w:r>
      <w:r w:rsidR="00791A09" w:rsidRPr="00B459B0">
        <w:rPr>
          <w:color w:val="000000"/>
        </w:rPr>
        <w:t>ried</w:t>
      </w:r>
      <w:r w:rsidR="00791A09">
        <w:rPr>
          <w:color w:val="000000"/>
        </w:rPr>
        <w:t xml:space="preserve"> to refine the </w:t>
      </w:r>
      <w:r w:rsidR="007623EF">
        <w:rPr>
          <w:color w:val="000000"/>
        </w:rPr>
        <w:t xml:space="preserve">regressions </w:t>
      </w:r>
      <w:r w:rsidR="00791A09">
        <w:rPr>
          <w:color w:val="000000"/>
        </w:rPr>
        <w:t>by</w:t>
      </w:r>
      <w:r w:rsidR="00791A09" w:rsidRPr="00B459B0">
        <w:rPr>
          <w:color w:val="000000"/>
        </w:rPr>
        <w:t xml:space="preserve"> </w:t>
      </w:r>
      <w:r w:rsidR="00172465">
        <w:rPr>
          <w:color w:val="000000"/>
        </w:rPr>
        <w:t>adding</w:t>
      </w:r>
      <w:r w:rsidR="00754B51">
        <w:rPr>
          <w:color w:val="000000"/>
        </w:rPr>
        <w:t xml:space="preserve"> </w:t>
      </w:r>
      <w:r w:rsidR="007623EF" w:rsidRPr="00B459B0">
        <w:rPr>
          <w:color w:val="000000"/>
        </w:rPr>
        <w:t>ln</w:t>
      </w:r>
      <w:r w:rsidR="007623EF" w:rsidRPr="00B459B0">
        <w:rPr>
          <w:color w:val="000000"/>
          <w:vertAlign w:val="subscript"/>
        </w:rPr>
        <w:t xml:space="preserve"> </w:t>
      </w:r>
      <w:r w:rsidR="007623EF" w:rsidRPr="00B459B0">
        <w:rPr>
          <w:i/>
          <w:color w:val="000000"/>
        </w:rPr>
        <w:t>H</w:t>
      </w:r>
      <w:r w:rsidR="007623EF">
        <w:rPr>
          <w:color w:val="000000"/>
        </w:rPr>
        <w:t xml:space="preserve">, where </w:t>
      </w:r>
      <w:r w:rsidR="007623EF">
        <w:rPr>
          <w:i/>
          <w:color w:val="000000"/>
        </w:rPr>
        <w:t>H</w:t>
      </w:r>
      <w:r w:rsidR="007623EF">
        <w:rPr>
          <w:color w:val="000000"/>
        </w:rPr>
        <w:t xml:space="preserve"> is </w:t>
      </w:r>
      <w:r w:rsidR="00791A09" w:rsidRPr="00B459B0">
        <w:rPr>
          <w:color w:val="000000"/>
        </w:rPr>
        <w:t>Herfindahl’s index</w:t>
      </w:r>
      <w:r w:rsidR="006313FA">
        <w:rPr>
          <w:color w:val="000000"/>
        </w:rPr>
        <w:t xml:space="preserve"> of concentration</w:t>
      </w:r>
      <w:r w:rsidR="00791A09">
        <w:rPr>
          <w:color w:val="000000"/>
        </w:rPr>
        <w:t xml:space="preserve">, </w:t>
      </w:r>
      <w:r w:rsidR="00791A09" w:rsidRPr="00B459B0">
        <w:rPr>
          <w:color w:val="000000"/>
        </w:rPr>
        <w:t>ln</w:t>
      </w:r>
      <w:r w:rsidR="00791A09" w:rsidRPr="00B459B0">
        <w:rPr>
          <w:color w:val="000000"/>
          <w:vertAlign w:val="subscript"/>
        </w:rPr>
        <w:t xml:space="preserve"> </w:t>
      </w:r>
      <w:r w:rsidR="00791A09" w:rsidRPr="00B459B0">
        <w:rPr>
          <w:i/>
          <w:color w:val="000000"/>
        </w:rPr>
        <w:t>H</w:t>
      </w:r>
      <w:r w:rsidR="00791A09" w:rsidRPr="00B459B0">
        <w:rPr>
          <w:color w:val="000000"/>
        </w:rPr>
        <w:t xml:space="preserve"> had a negligible </w:t>
      </w:r>
      <w:r w:rsidR="00791A09" w:rsidRPr="00B459B0">
        <w:rPr>
          <w:i/>
          <w:color w:val="000000"/>
        </w:rPr>
        <w:t>t</w:t>
      </w:r>
      <w:r w:rsidR="00791A09" w:rsidRPr="00B459B0">
        <w:rPr>
          <w:color w:val="000000"/>
        </w:rPr>
        <w:t xml:space="preserve"> ratio.</w:t>
      </w:r>
      <w:r w:rsidR="00791A09" w:rsidRPr="001570A5">
        <w:rPr>
          <w:color w:val="000000"/>
        </w:rPr>
        <w:t xml:space="preserve"> </w:t>
      </w:r>
      <w:r w:rsidR="00791A09">
        <w:rPr>
          <w:color w:val="000000"/>
        </w:rPr>
        <w:t xml:space="preserve"> The explanation is probably that </w:t>
      </w:r>
      <w:r w:rsidR="00791A09">
        <w:rPr>
          <w:i/>
          <w:color w:val="000000"/>
        </w:rPr>
        <w:t>H</w:t>
      </w:r>
      <w:r w:rsidR="00791A09">
        <w:rPr>
          <w:color w:val="000000"/>
        </w:rPr>
        <w:t xml:space="preserve"> does not vary </w:t>
      </w:r>
      <w:r w:rsidR="00FD41B5">
        <w:rPr>
          <w:color w:val="000000"/>
        </w:rPr>
        <w:t>much</w:t>
      </w:r>
      <w:r w:rsidR="00791A09">
        <w:rPr>
          <w:color w:val="000000"/>
        </w:rPr>
        <w:t xml:space="preserve"> across South Korean regions (see Table 10).  </w:t>
      </w:r>
      <w:r w:rsidR="00791A09" w:rsidRPr="00B459B0">
        <w:rPr>
          <w:color w:val="000000"/>
        </w:rPr>
        <w:t>Flegg and Tohmo (</w:t>
      </w:r>
      <w:r w:rsidR="00791A09">
        <w:rPr>
          <w:color w:val="000000"/>
        </w:rPr>
        <w:t>2013a, note 26</w:t>
      </w:r>
      <w:r w:rsidR="00791A09" w:rsidRPr="00B459B0">
        <w:rPr>
          <w:color w:val="000000"/>
        </w:rPr>
        <w:t>)</w:t>
      </w:r>
      <w:r w:rsidR="00791A09">
        <w:rPr>
          <w:color w:val="000000"/>
        </w:rPr>
        <w:t xml:space="preserve"> report a similar outcome for Finland.</w:t>
      </w:r>
    </w:p>
    <w:p w:rsidR="00E22B3B" w:rsidRDefault="00D840BB" w:rsidP="00396162">
      <w:pPr>
        <w:widowControl w:val="0"/>
        <w:tabs>
          <w:tab w:val="left" w:pos="284"/>
        </w:tabs>
        <w:spacing w:after="0" w:line="480" w:lineRule="auto"/>
        <w:ind w:firstLine="0"/>
        <w:rPr>
          <w:color w:val="000000"/>
        </w:rPr>
      </w:pPr>
      <w:r>
        <w:rPr>
          <w:color w:val="000000"/>
        </w:rPr>
        <w:tab/>
        <w:t xml:space="preserve">Before </w:t>
      </w:r>
      <w:r w:rsidR="00A10960">
        <w:rPr>
          <w:color w:val="000000"/>
        </w:rPr>
        <w:t>assess</w:t>
      </w:r>
      <w:r>
        <w:rPr>
          <w:color w:val="000000"/>
        </w:rPr>
        <w:t xml:space="preserve">ing </w:t>
      </w:r>
      <w:r w:rsidR="00CE63E6">
        <w:rPr>
          <w:color w:val="000000"/>
        </w:rPr>
        <w:t xml:space="preserve">how </w:t>
      </w:r>
      <w:r>
        <w:rPr>
          <w:color w:val="000000"/>
        </w:rPr>
        <w:t>accura</w:t>
      </w:r>
      <w:r w:rsidR="00CE63E6">
        <w:rPr>
          <w:color w:val="000000"/>
        </w:rPr>
        <w:t>tely</w:t>
      </w:r>
      <w:r>
        <w:rPr>
          <w:color w:val="000000"/>
        </w:rPr>
        <w:t xml:space="preserve"> regression (4)</w:t>
      </w:r>
      <w:r w:rsidR="00CE63E6">
        <w:rPr>
          <w:color w:val="000000"/>
        </w:rPr>
        <w:t xml:space="preserve"> is</w:t>
      </w:r>
      <w:r>
        <w:rPr>
          <w:color w:val="000000"/>
        </w:rPr>
        <w:t xml:space="preserve"> </w:t>
      </w:r>
      <w:r w:rsidR="00CE63E6">
        <w:rPr>
          <w:color w:val="000000"/>
        </w:rPr>
        <w:t>able to</w:t>
      </w:r>
      <w:r>
        <w:rPr>
          <w:color w:val="000000"/>
        </w:rPr>
        <w:t xml:space="preserve"> estimat</w:t>
      </w:r>
      <w:r w:rsidR="00CE63E6">
        <w:rPr>
          <w:color w:val="000000"/>
        </w:rPr>
        <w:t>e</w:t>
      </w:r>
      <w:r>
        <w:rPr>
          <w:color w:val="000000"/>
        </w:rPr>
        <w:t xml:space="preserve"> </w:t>
      </w:r>
      <w:r w:rsidRPr="00B335EC">
        <w:rPr>
          <w:i/>
          <w:color w:val="000000"/>
        </w:rPr>
        <w:t>δ</w:t>
      </w:r>
      <w:r>
        <w:rPr>
          <w:color w:val="000000"/>
        </w:rPr>
        <w:t xml:space="preserve"> for individual regions, </w:t>
      </w:r>
      <w:r w:rsidR="00FD41B5">
        <w:rPr>
          <w:color w:val="000000"/>
        </w:rPr>
        <w:t>it is worth</w:t>
      </w:r>
      <w:r w:rsidR="00705B3F">
        <w:rPr>
          <w:color w:val="000000"/>
        </w:rPr>
        <w:t xml:space="preserve"> </w:t>
      </w:r>
      <w:r>
        <w:rPr>
          <w:color w:val="000000"/>
        </w:rPr>
        <w:t>examin</w:t>
      </w:r>
      <w:r w:rsidR="00FD41B5">
        <w:rPr>
          <w:color w:val="000000"/>
        </w:rPr>
        <w:t>ing</w:t>
      </w:r>
      <w:r w:rsidR="00A10960">
        <w:rPr>
          <w:color w:val="000000"/>
        </w:rPr>
        <w:t xml:space="preserve"> </w:t>
      </w:r>
      <w:r>
        <w:rPr>
          <w:color w:val="000000"/>
        </w:rPr>
        <w:t>an alternative approach</w:t>
      </w:r>
      <w:r w:rsidR="00EC335D">
        <w:rPr>
          <w:color w:val="000000"/>
        </w:rPr>
        <w:t xml:space="preserve"> proposed by Bonfiglio (2009)</w:t>
      </w:r>
      <w:r w:rsidR="00396162">
        <w:rPr>
          <w:color w:val="000000"/>
        </w:rPr>
        <w:t>, who</w:t>
      </w:r>
      <w:r w:rsidR="00282B3A">
        <w:rPr>
          <w:color w:val="000000"/>
        </w:rPr>
        <w:t xml:space="preserve"> </w:t>
      </w:r>
      <w:r w:rsidR="00705B3F">
        <w:rPr>
          <w:color w:val="000000"/>
        </w:rPr>
        <w:t xml:space="preserve">used simulated data from a Monte Carlo study to </w:t>
      </w:r>
      <w:r w:rsidR="00E22B3B">
        <w:rPr>
          <w:color w:val="000000"/>
        </w:rPr>
        <w:t>derive the following regression equation:</w:t>
      </w:r>
    </w:p>
    <w:p w:rsidR="00E22B3B" w:rsidRDefault="00E22B3B" w:rsidP="00E22B3B">
      <w:pPr>
        <w:widowControl w:val="0"/>
        <w:tabs>
          <w:tab w:val="center" w:pos="4536"/>
          <w:tab w:val="right" w:pos="8931"/>
        </w:tabs>
        <w:spacing w:after="0" w:line="480" w:lineRule="auto"/>
        <w:jc w:val="center"/>
      </w:pPr>
      <w:r>
        <w:tab/>
      </w:r>
      <w:r w:rsidRPr="003B6CD8">
        <w:rPr>
          <w:position w:val="-6"/>
        </w:rPr>
        <w:object w:dxaOrig="220" w:dyaOrig="340">
          <v:shape id="_x0000_i1045" type="#_x0000_t75" style="width:12.5pt;height:16.9pt" o:ole="">
            <v:imagedata r:id="rId49" o:title=""/>
          </v:shape>
          <o:OLEObject Type="Embed" ProgID="Equation.3" ShapeID="_x0000_i1045" DrawAspect="Content" ObjectID="_1524667232" r:id="rId50"/>
        </w:object>
      </w:r>
      <w:r>
        <w:rPr>
          <w:color w:val="000000"/>
        </w:rPr>
        <w:t>= 0.994</w:t>
      </w:r>
      <w:r>
        <w:rPr>
          <w:color w:val="000000"/>
          <w:vertAlign w:val="subscript"/>
        </w:rPr>
        <w:t xml:space="preserve"> </w:t>
      </w:r>
      <w:r w:rsidRPr="00C91203">
        <w:rPr>
          <w:color w:val="000000"/>
        </w:rPr>
        <w:t>PROP</w:t>
      </w:r>
      <w:r>
        <w:rPr>
          <w:color w:val="000000"/>
        </w:rPr>
        <w:t xml:space="preserve"> </w:t>
      </w:r>
      <w:r>
        <w:rPr>
          <w:color w:val="000000"/>
        </w:rPr>
        <w:sym w:font="Symbol" w:char="002D"/>
      </w:r>
      <w:r>
        <w:rPr>
          <w:color w:val="000000"/>
        </w:rPr>
        <w:t xml:space="preserve"> 2.819</w:t>
      </w:r>
      <w:r>
        <w:rPr>
          <w:color w:val="000000"/>
          <w:vertAlign w:val="subscript"/>
        </w:rPr>
        <w:t xml:space="preserve"> </w:t>
      </w:r>
      <w:r w:rsidRPr="00C91203">
        <w:rPr>
          <w:color w:val="000000"/>
        </w:rPr>
        <w:t>RSRP</w:t>
      </w:r>
      <w:r>
        <w:tab/>
        <w:t>(2</w:t>
      </w:r>
      <w:r w:rsidR="00282B3A">
        <w:t>0</w:t>
      </w:r>
      <w:r>
        <w:t>)</w:t>
      </w:r>
    </w:p>
    <w:p w:rsidR="00E22B3B" w:rsidRPr="0053163A" w:rsidRDefault="00E22B3B" w:rsidP="00E22B3B">
      <w:pPr>
        <w:widowControl w:val="0"/>
        <w:tabs>
          <w:tab w:val="center" w:pos="4395"/>
          <w:tab w:val="right" w:pos="8931"/>
        </w:tabs>
        <w:spacing w:after="0" w:line="480" w:lineRule="auto"/>
        <w:ind w:firstLine="0"/>
        <w:rPr>
          <w:color w:val="000000"/>
        </w:rPr>
      </w:pPr>
      <w:r>
        <w:t xml:space="preserve">where </w:t>
      </w:r>
      <w:r w:rsidRPr="00C91203">
        <w:t>PROP</w:t>
      </w:r>
      <w:r>
        <w:t xml:space="preserve"> is the propensity to interregional trade </w:t>
      </w:r>
      <w:r w:rsidRPr="00B53758">
        <w:t>(</w:t>
      </w:r>
      <w:r w:rsidRPr="00B53758">
        <w:rPr>
          <w:color w:val="000000"/>
        </w:rPr>
        <w:t xml:space="preserve">the proportion of a region’s total intermediate inputs </w:t>
      </w:r>
      <w:r w:rsidR="0055310B">
        <w:rPr>
          <w:color w:val="000000"/>
        </w:rPr>
        <w:t>bought</w:t>
      </w:r>
      <w:r w:rsidRPr="00B53758">
        <w:rPr>
          <w:color w:val="000000"/>
        </w:rPr>
        <w:t xml:space="preserve"> from other regions)</w:t>
      </w:r>
      <w:r w:rsidRPr="00B53758">
        <w:t xml:space="preserve"> and </w:t>
      </w:r>
      <w:r w:rsidRPr="00C91203">
        <w:rPr>
          <w:color w:val="000000"/>
        </w:rPr>
        <w:t>RSRP</w:t>
      </w:r>
      <w:r w:rsidRPr="00B53758">
        <w:t xml:space="preserve"> is the relative size of regional purchases</w:t>
      </w:r>
      <w:r w:rsidRPr="00B53758">
        <w:rPr>
          <w:color w:val="000000"/>
        </w:rPr>
        <w:t xml:space="preserve"> (the ratio of total regional to total national intermediate inputs)</w:t>
      </w:r>
      <w:r w:rsidRPr="00B53758">
        <w:t>.</w:t>
      </w:r>
      <w:r>
        <w:t xml:space="preserve">  </w:t>
      </w:r>
      <w:r w:rsidR="007E5DE8">
        <w:t>T</w:t>
      </w:r>
      <w:r>
        <w:t xml:space="preserve">he </w:t>
      </w:r>
      <w:r w:rsidR="007E5DE8">
        <w:t>principal</w:t>
      </w:r>
      <w:r>
        <w:t xml:space="preserve"> a</w:t>
      </w:r>
      <w:r w:rsidR="007E5DE8">
        <w:t>dvantage</w:t>
      </w:r>
      <w:r>
        <w:t xml:space="preserve"> of </w:t>
      </w:r>
      <w:r>
        <w:rPr>
          <w:color w:val="000000"/>
        </w:rPr>
        <w:t>a Monte Carlo approach</w:t>
      </w:r>
      <w:r w:rsidR="007E5DE8">
        <w:rPr>
          <w:color w:val="000000"/>
        </w:rPr>
        <w:t xml:space="preserve">, </w:t>
      </w:r>
      <w:r w:rsidR="007E5DE8">
        <w:t xml:space="preserve">according to </w:t>
      </w:r>
      <w:r w:rsidR="007E5DE8">
        <w:rPr>
          <w:color w:val="000000"/>
        </w:rPr>
        <w:t>Flegg and Tohmo (2016, p. 33),</w:t>
      </w:r>
      <w:r>
        <w:rPr>
          <w:color w:val="000000"/>
        </w:rPr>
        <w:t xml:space="preserve"> </w:t>
      </w:r>
      <w:r w:rsidR="007E5DE8">
        <w:rPr>
          <w:color w:val="000000"/>
        </w:rPr>
        <w:t>lies</w:t>
      </w:r>
      <w:r>
        <w:rPr>
          <w:color w:val="000000"/>
        </w:rPr>
        <w:t xml:space="preserve"> </w:t>
      </w:r>
      <w:r w:rsidR="007E5DE8">
        <w:rPr>
          <w:color w:val="000000"/>
        </w:rPr>
        <w:t>in the generality of</w:t>
      </w:r>
      <w:r>
        <w:rPr>
          <w:color w:val="000000"/>
        </w:rPr>
        <w:t xml:space="preserve"> the findings</w:t>
      </w:r>
      <w:r w:rsidR="00B72340">
        <w:rPr>
          <w:color w:val="000000"/>
        </w:rPr>
        <w:t>, whereas</w:t>
      </w:r>
      <w:r>
        <w:rPr>
          <w:color w:val="000000"/>
        </w:rPr>
        <w:t xml:space="preserve"> </w:t>
      </w:r>
      <w:r w:rsidR="00B72340">
        <w:rPr>
          <w:color w:val="000000"/>
        </w:rPr>
        <w:t>‘</w:t>
      </w:r>
      <w:r>
        <w:rPr>
          <w:color w:val="000000"/>
        </w:rPr>
        <w:t>the results derived from a single region may reflect the peculiarities of that region and thus not be valid in general.</w:t>
      </w:r>
      <w:r w:rsidR="00B72340">
        <w:rPr>
          <w:color w:val="000000"/>
        </w:rPr>
        <w:t>’</w:t>
      </w:r>
      <w:r>
        <w:rPr>
          <w:color w:val="000000"/>
        </w:rPr>
        <w:t xml:space="preserve">  </w:t>
      </w:r>
      <w:r w:rsidR="005269EA">
        <w:rPr>
          <w:color w:val="000000"/>
        </w:rPr>
        <w:t>Even so, Flegg and Tohmo (2016, p. 33) remark that ‘the simplifying assumptions underlying a Monte Carlo simulation mean that it cannot replicate the detailed economic structure and sectoral interrelationships of regional economies.’</w:t>
      </w:r>
      <w:r w:rsidR="00243239">
        <w:rPr>
          <w:b/>
          <w:color w:val="000000"/>
          <w:vertAlign w:val="superscript"/>
        </w:rPr>
        <w:t>13</w:t>
      </w:r>
      <w:r w:rsidR="005269EA" w:rsidRPr="005269EA">
        <w:rPr>
          <w:color w:val="000000"/>
        </w:rPr>
        <w:t xml:space="preserve">  </w:t>
      </w:r>
      <w:r w:rsidR="005269EA">
        <w:rPr>
          <w:color w:val="000000"/>
        </w:rPr>
        <w:t>Also</w:t>
      </w:r>
      <w:r w:rsidR="00380A32">
        <w:rPr>
          <w:color w:val="000000"/>
        </w:rPr>
        <w:t xml:space="preserve">, with data for 16 regions, </w:t>
      </w:r>
      <w:r w:rsidR="005269EA">
        <w:rPr>
          <w:color w:val="000000"/>
        </w:rPr>
        <w:t>concerns about lack of generality are</w:t>
      </w:r>
      <w:r w:rsidR="00380A32">
        <w:rPr>
          <w:color w:val="000000"/>
        </w:rPr>
        <w:t xml:space="preserve"> less compelling </w:t>
      </w:r>
      <w:r w:rsidR="007E5DE8">
        <w:rPr>
          <w:color w:val="000000"/>
        </w:rPr>
        <w:t>here</w:t>
      </w:r>
      <w:r w:rsidR="00380A32">
        <w:rPr>
          <w:color w:val="000000"/>
        </w:rPr>
        <w:t xml:space="preserve">, although there remains the possibility that South Korea is a unique case. </w:t>
      </w:r>
      <w:r w:rsidR="0053163A">
        <w:rPr>
          <w:color w:val="000000"/>
        </w:rPr>
        <w:t xml:space="preserve"> </w:t>
      </w:r>
    </w:p>
    <w:p w:rsidR="00AC5D32" w:rsidRDefault="00AC5D32" w:rsidP="00AC5D32">
      <w:pPr>
        <w:tabs>
          <w:tab w:val="left" w:pos="284"/>
        </w:tabs>
        <w:spacing w:after="0" w:line="480" w:lineRule="auto"/>
        <w:ind w:firstLine="0"/>
        <w:jc w:val="center"/>
      </w:pPr>
      <w:r>
        <w:rPr>
          <w:b/>
        </w:rPr>
        <w:t>Table 14 near here</w:t>
      </w:r>
    </w:p>
    <w:p w:rsidR="0055310B" w:rsidRPr="00EF383E" w:rsidRDefault="00353BAF" w:rsidP="0055310B">
      <w:pPr>
        <w:widowControl w:val="0"/>
        <w:tabs>
          <w:tab w:val="left" w:pos="284"/>
        </w:tabs>
        <w:spacing w:after="0" w:line="480" w:lineRule="auto"/>
        <w:ind w:firstLine="0"/>
        <w:rPr>
          <w:b/>
          <w:color w:val="000000"/>
          <w:vertAlign w:val="superscript"/>
        </w:rPr>
      </w:pPr>
      <w:r>
        <w:tab/>
      </w:r>
      <w:r w:rsidR="004508A9">
        <w:t>The first column in Table 14 displays the optimal value</w:t>
      </w:r>
      <w:r w:rsidR="00461320">
        <w:t>s</w:t>
      </w:r>
      <w:r w:rsidR="004508A9">
        <w:t xml:space="preserve"> of </w:t>
      </w:r>
      <w:r w:rsidR="004508A9" w:rsidRPr="00B335EC">
        <w:rPr>
          <w:i/>
          <w:color w:val="000000"/>
        </w:rPr>
        <w:t>δ</w:t>
      </w:r>
      <w:r w:rsidR="004508A9">
        <w:rPr>
          <w:color w:val="000000"/>
        </w:rPr>
        <w:t xml:space="preserve">, </w:t>
      </w:r>
      <w:r w:rsidR="00461320">
        <w:rPr>
          <w:color w:val="000000"/>
        </w:rPr>
        <w:t>those</w:t>
      </w:r>
      <w:r w:rsidR="004508A9">
        <w:rPr>
          <w:color w:val="000000"/>
        </w:rPr>
        <w:t xml:space="preserve"> that minimize MAPE</w:t>
      </w:r>
      <w:r w:rsidR="00FA1247">
        <w:rPr>
          <w:color w:val="000000"/>
        </w:rPr>
        <w:t xml:space="preserve"> for the sectoral multipliers</w:t>
      </w:r>
      <w:r w:rsidR="004508A9">
        <w:rPr>
          <w:color w:val="000000"/>
        </w:rPr>
        <w:t>, while the second column</w:t>
      </w:r>
      <w:r w:rsidR="00461320">
        <w:rPr>
          <w:color w:val="000000"/>
        </w:rPr>
        <w:t xml:space="preserve"> </w:t>
      </w:r>
      <w:r w:rsidR="002E37D2">
        <w:rPr>
          <w:color w:val="000000"/>
        </w:rPr>
        <w:t>record</w:t>
      </w:r>
      <w:r w:rsidR="00461320">
        <w:rPr>
          <w:color w:val="000000"/>
        </w:rPr>
        <w:t>s the predicted values from regression</w:t>
      </w:r>
      <w:r w:rsidR="00FD7A4B">
        <w:rPr>
          <w:color w:val="000000"/>
        </w:rPr>
        <w:t xml:space="preserve"> (4)</w:t>
      </w:r>
      <w:r w:rsidR="00461320">
        <w:rPr>
          <w:color w:val="000000"/>
        </w:rPr>
        <w:t xml:space="preserve"> </w:t>
      </w:r>
      <w:r w:rsidR="00FD7A4B">
        <w:rPr>
          <w:color w:val="000000"/>
        </w:rPr>
        <w:t xml:space="preserve">in Table 13.  </w:t>
      </w:r>
      <w:r w:rsidR="00461320">
        <w:rPr>
          <w:color w:val="000000"/>
        </w:rPr>
        <w:t xml:space="preserve">There is a very close correspondence between the two sets of values, </w:t>
      </w:r>
      <w:r w:rsidR="004776D7">
        <w:rPr>
          <w:color w:val="000000"/>
        </w:rPr>
        <w:t xml:space="preserve">with </w:t>
      </w:r>
      <w:r w:rsidR="004776D7">
        <w:rPr>
          <w:i/>
          <w:color w:val="000000"/>
        </w:rPr>
        <w:t>r</w:t>
      </w:r>
      <w:r w:rsidR="004776D7">
        <w:rPr>
          <w:color w:val="000000"/>
        </w:rPr>
        <w:t xml:space="preserve"> = 0.95</w:t>
      </w:r>
      <w:r w:rsidR="000F4AA6">
        <w:rPr>
          <w:color w:val="000000"/>
        </w:rPr>
        <w:t>7</w:t>
      </w:r>
      <w:r w:rsidR="004776D7">
        <w:rPr>
          <w:color w:val="000000"/>
        </w:rPr>
        <w:t xml:space="preserve"> (</w:t>
      </w:r>
      <w:r w:rsidR="004776D7">
        <w:rPr>
          <w:i/>
          <w:color w:val="000000"/>
        </w:rPr>
        <w:t>p</w:t>
      </w:r>
      <w:r w:rsidR="004776D7">
        <w:rPr>
          <w:color w:val="000000"/>
        </w:rPr>
        <w:t xml:space="preserve"> = 0.000).  This outcome</w:t>
      </w:r>
      <w:r w:rsidR="00461320">
        <w:rPr>
          <w:color w:val="000000"/>
        </w:rPr>
        <w:t xml:space="preserve"> reflects the high </w:t>
      </w:r>
      <w:r w:rsidR="00461320">
        <w:rPr>
          <w:i/>
          <w:color w:val="000000"/>
        </w:rPr>
        <w:t>R</w:t>
      </w:r>
      <w:r w:rsidR="00461320">
        <w:rPr>
          <w:i/>
          <w:color w:val="000000"/>
          <w:vertAlign w:val="superscript"/>
        </w:rPr>
        <w:t>2</w:t>
      </w:r>
      <w:r w:rsidR="00461320">
        <w:rPr>
          <w:color w:val="000000"/>
        </w:rPr>
        <w:t xml:space="preserve"> of regression</w:t>
      </w:r>
      <w:r w:rsidR="00FD7A4B">
        <w:rPr>
          <w:color w:val="000000"/>
        </w:rPr>
        <w:t xml:space="preserve"> (4)</w:t>
      </w:r>
      <w:r w:rsidR="00461320">
        <w:rPr>
          <w:color w:val="000000"/>
        </w:rPr>
        <w:t xml:space="preserve">.  By contrast, </w:t>
      </w:r>
      <w:r w:rsidR="004776D7">
        <w:rPr>
          <w:color w:val="000000"/>
        </w:rPr>
        <w:t xml:space="preserve">Bonfiglio’s method </w:t>
      </w:r>
      <w:r w:rsidR="00051174">
        <w:rPr>
          <w:color w:val="000000"/>
        </w:rPr>
        <w:t>gives</w:t>
      </w:r>
      <w:r w:rsidR="004776D7">
        <w:rPr>
          <w:color w:val="000000"/>
        </w:rPr>
        <w:t xml:space="preserve"> very poor estimates of </w:t>
      </w:r>
      <w:r w:rsidR="004776D7" w:rsidRPr="00B335EC">
        <w:rPr>
          <w:i/>
          <w:color w:val="000000"/>
        </w:rPr>
        <w:t>δ</w:t>
      </w:r>
      <w:r w:rsidR="001A4537">
        <w:rPr>
          <w:color w:val="000000"/>
        </w:rPr>
        <w:t xml:space="preserve"> and</w:t>
      </w:r>
      <w:r w:rsidR="00863C85">
        <w:rPr>
          <w:color w:val="000000"/>
        </w:rPr>
        <w:t xml:space="preserve"> t</w:t>
      </w:r>
      <w:r w:rsidR="00B57DE8">
        <w:rPr>
          <w:color w:val="000000"/>
        </w:rPr>
        <w:t>here is a negative</w:t>
      </w:r>
      <w:r w:rsidR="00DE55A4">
        <w:rPr>
          <w:color w:val="000000"/>
        </w:rPr>
        <w:t>, rather than positive,</w:t>
      </w:r>
      <w:r w:rsidR="00B57DE8">
        <w:rPr>
          <w:color w:val="000000"/>
        </w:rPr>
        <w:t xml:space="preserve"> correlation between </w:t>
      </w:r>
      <w:r w:rsidR="00051174" w:rsidRPr="00B57DE8">
        <w:rPr>
          <w:position w:val="-6"/>
        </w:rPr>
        <w:object w:dxaOrig="220" w:dyaOrig="340">
          <v:shape id="_x0000_i1046" type="#_x0000_t75" style="width:12.5pt;height:16.9pt" o:ole="">
            <v:imagedata r:id="rId51" o:title=""/>
          </v:shape>
          <o:OLEObject Type="Embed" ProgID="Equation.3" ShapeID="_x0000_i1046" DrawAspect="Content" ObjectID="_1524667233" r:id="rId52"/>
        </w:object>
      </w:r>
      <w:r w:rsidR="00863C85">
        <w:t xml:space="preserve"> </w:t>
      </w:r>
      <w:r w:rsidR="00863C85">
        <w:rPr>
          <w:color w:val="000000"/>
        </w:rPr>
        <w:t xml:space="preserve">and </w:t>
      </w:r>
      <w:r w:rsidR="00863C85" w:rsidRPr="00B335EC">
        <w:rPr>
          <w:i/>
          <w:color w:val="000000"/>
        </w:rPr>
        <w:t>δ</w:t>
      </w:r>
      <w:r w:rsidR="00547190">
        <w:rPr>
          <w:color w:val="000000"/>
        </w:rPr>
        <w:t xml:space="preserve">, with </w:t>
      </w:r>
      <w:r w:rsidR="00547190">
        <w:rPr>
          <w:i/>
          <w:color w:val="000000"/>
        </w:rPr>
        <w:t>r</w:t>
      </w:r>
      <w:r w:rsidR="00547190">
        <w:rPr>
          <w:color w:val="000000"/>
        </w:rPr>
        <w:t xml:space="preserve"> = </w:t>
      </w:r>
      <w:r w:rsidR="00547190">
        <w:rPr>
          <w:color w:val="000000"/>
        </w:rPr>
        <w:sym w:font="Symbol" w:char="002D"/>
      </w:r>
      <w:r w:rsidR="00547190">
        <w:rPr>
          <w:color w:val="000000"/>
        </w:rPr>
        <w:t>0.48</w:t>
      </w:r>
      <w:r w:rsidR="000F4AA6">
        <w:rPr>
          <w:color w:val="000000"/>
        </w:rPr>
        <w:t>5</w:t>
      </w:r>
      <w:r w:rsidR="00547190">
        <w:rPr>
          <w:color w:val="000000"/>
        </w:rPr>
        <w:t xml:space="preserve"> (</w:t>
      </w:r>
      <w:r w:rsidR="00547190">
        <w:rPr>
          <w:i/>
          <w:color w:val="000000"/>
        </w:rPr>
        <w:t>p</w:t>
      </w:r>
      <w:r w:rsidR="00547190">
        <w:rPr>
          <w:color w:val="000000"/>
        </w:rPr>
        <w:t xml:space="preserve"> = 0.0</w:t>
      </w:r>
      <w:r w:rsidR="000F4AA6">
        <w:rPr>
          <w:color w:val="000000"/>
        </w:rPr>
        <w:t>57</w:t>
      </w:r>
      <w:r w:rsidR="00547190">
        <w:rPr>
          <w:color w:val="000000"/>
        </w:rPr>
        <w:t>)</w:t>
      </w:r>
      <w:r w:rsidR="00206A85">
        <w:rPr>
          <w:color w:val="000000"/>
        </w:rPr>
        <w:t>.</w:t>
      </w:r>
      <w:r w:rsidR="00B0086C">
        <w:rPr>
          <w:b/>
          <w:color w:val="000000"/>
          <w:vertAlign w:val="superscript"/>
        </w:rPr>
        <w:t>14</w:t>
      </w:r>
      <w:r w:rsidR="00B0086C" w:rsidRPr="00B0086C">
        <w:rPr>
          <w:color w:val="000000"/>
        </w:rPr>
        <w:t xml:space="preserve">  </w:t>
      </w:r>
      <w:r w:rsidR="00206A85">
        <w:rPr>
          <w:color w:val="000000"/>
        </w:rPr>
        <w:t>Moreover,</w:t>
      </w:r>
      <w:r w:rsidR="00547190">
        <w:rPr>
          <w:color w:val="000000"/>
        </w:rPr>
        <w:t xml:space="preserve"> </w:t>
      </w:r>
      <w:r w:rsidR="00547190" w:rsidRPr="00B57DE8">
        <w:rPr>
          <w:position w:val="-6"/>
        </w:rPr>
        <w:object w:dxaOrig="580" w:dyaOrig="340">
          <v:shape id="_x0000_i1047" type="#_x0000_t75" style="width:33.2pt;height:16.9pt" o:ole="">
            <v:imagedata r:id="rId53" o:title=""/>
          </v:shape>
          <o:OLEObject Type="Embed" ProgID="Equation.3" ShapeID="_x0000_i1047" DrawAspect="Content" ObjectID="_1524667234" r:id="rId54"/>
        </w:object>
      </w:r>
      <w:r w:rsidR="00547190">
        <w:t xml:space="preserve"> for the two largest regions, which contradicts the theoretical restriction that </w:t>
      </w:r>
      <w:r w:rsidR="00547190" w:rsidRPr="00B335EC">
        <w:rPr>
          <w:i/>
          <w:color w:val="000000"/>
        </w:rPr>
        <w:t>δ</w:t>
      </w:r>
      <w:r w:rsidR="00547190">
        <w:rPr>
          <w:color w:val="000000"/>
        </w:rPr>
        <w:t xml:space="preserve"> ≥ 0.</w:t>
      </w:r>
      <w:r w:rsidR="006940E4">
        <w:rPr>
          <w:color w:val="000000"/>
        </w:rPr>
        <w:t xml:space="preserve">  Flegg and Tohmo (2016, p. </w:t>
      </w:r>
      <w:r w:rsidR="003960ED">
        <w:rPr>
          <w:color w:val="000000"/>
        </w:rPr>
        <w:t xml:space="preserve">33) </w:t>
      </w:r>
      <w:r w:rsidR="001A4537">
        <w:rPr>
          <w:color w:val="000000"/>
        </w:rPr>
        <w:t>note</w:t>
      </w:r>
      <w:r w:rsidR="003960ED">
        <w:rPr>
          <w:color w:val="000000"/>
        </w:rPr>
        <w:t xml:space="preserve"> that </w:t>
      </w:r>
      <w:r w:rsidR="003960ED" w:rsidRPr="00B57DE8">
        <w:rPr>
          <w:position w:val="-6"/>
        </w:rPr>
        <w:object w:dxaOrig="580" w:dyaOrig="340">
          <v:shape id="_x0000_i1048" type="#_x0000_t75" style="width:33.2pt;height:16.9pt" o:ole="">
            <v:imagedata r:id="rId53" o:title=""/>
          </v:shape>
          <o:OLEObject Type="Embed" ProgID="Equation.3" ShapeID="_x0000_i1048" DrawAspect="Content" ObjectID="_1524667235" r:id="rId55"/>
        </w:object>
      </w:r>
      <w:r w:rsidR="003960ED">
        <w:t>can occur where regions are relatively large or exhibit below-average propensities to import from other regions or have both characteristics</w:t>
      </w:r>
      <w:r w:rsidR="00DB0D4D">
        <w:t>.  T</w:t>
      </w:r>
      <w:r w:rsidR="003960ED">
        <w:t xml:space="preserve">hey </w:t>
      </w:r>
      <w:r w:rsidR="00206A85">
        <w:t>identify</w:t>
      </w:r>
      <w:r w:rsidR="001E59AE">
        <w:t xml:space="preserve"> two </w:t>
      </w:r>
      <w:r w:rsidR="00206A85">
        <w:t xml:space="preserve">such </w:t>
      </w:r>
      <w:r w:rsidR="001E59AE">
        <w:t>regions</w:t>
      </w:r>
      <w:r w:rsidR="003960ED">
        <w:t>.</w:t>
      </w:r>
      <w:r w:rsidR="001E59AE">
        <w:t xml:space="preserve">  In view of these problems, we would not recommend the use of </w:t>
      </w:r>
      <w:r w:rsidR="001E59AE">
        <w:rPr>
          <w:color w:val="000000"/>
        </w:rPr>
        <w:t>Bonfiglio’s method.</w:t>
      </w:r>
      <w:r w:rsidR="00243239">
        <w:rPr>
          <w:b/>
          <w:color w:val="000000"/>
          <w:vertAlign w:val="superscript"/>
        </w:rPr>
        <w:t>15</w:t>
      </w:r>
    </w:p>
    <w:p w:rsidR="00E40674" w:rsidRDefault="00EF383E" w:rsidP="0055310B">
      <w:pPr>
        <w:widowControl w:val="0"/>
        <w:tabs>
          <w:tab w:val="left" w:pos="284"/>
        </w:tabs>
        <w:spacing w:after="0" w:line="480" w:lineRule="auto"/>
        <w:ind w:firstLine="0"/>
        <w:rPr>
          <w:color w:val="000000"/>
        </w:rPr>
      </w:pPr>
      <w:r>
        <w:rPr>
          <w:color w:val="000000"/>
        </w:rPr>
        <w:tab/>
      </w:r>
      <w:r w:rsidR="001A4537">
        <w:rPr>
          <w:color w:val="000000"/>
        </w:rPr>
        <w:t>With respect to</w:t>
      </w:r>
      <w:r w:rsidR="007A5BE6">
        <w:rPr>
          <w:color w:val="000000"/>
        </w:rPr>
        <w:t xml:space="preserve"> </w:t>
      </w:r>
      <w:r>
        <w:rPr>
          <w:color w:val="000000"/>
        </w:rPr>
        <w:t xml:space="preserve">Flegg and Tohmo’s approach, the </w:t>
      </w:r>
      <w:r w:rsidR="007A5BE6">
        <w:rPr>
          <w:color w:val="000000"/>
        </w:rPr>
        <w:t>form in which</w:t>
      </w:r>
      <w:r>
        <w:rPr>
          <w:color w:val="000000"/>
        </w:rPr>
        <w:t xml:space="preserve"> regression (4) in Table 13 is </w:t>
      </w:r>
      <w:r w:rsidR="007A5BE6">
        <w:rPr>
          <w:color w:val="000000"/>
        </w:rPr>
        <w:t>specifi</w:t>
      </w:r>
      <w:r>
        <w:rPr>
          <w:color w:val="000000"/>
        </w:rPr>
        <w:t xml:space="preserve">ed should make it </w:t>
      </w:r>
      <w:r w:rsidR="007A5BE6">
        <w:rPr>
          <w:color w:val="000000"/>
        </w:rPr>
        <w:t>simpler</w:t>
      </w:r>
      <w:r>
        <w:rPr>
          <w:color w:val="000000"/>
        </w:rPr>
        <w:t xml:space="preserve"> for analysts to </w:t>
      </w:r>
      <w:r w:rsidR="008A5A6B">
        <w:rPr>
          <w:color w:val="000000"/>
        </w:rPr>
        <w:t>derive a figure for</w:t>
      </w:r>
      <w:r>
        <w:rPr>
          <w:color w:val="000000"/>
        </w:rPr>
        <w:t xml:space="preserve"> </w:t>
      </w:r>
      <w:r w:rsidRPr="002333F2">
        <w:rPr>
          <w:i/>
          <w:color w:val="000000"/>
        </w:rPr>
        <w:t>δ</w:t>
      </w:r>
      <w:r>
        <w:rPr>
          <w:color w:val="000000"/>
        </w:rPr>
        <w:t>.</w:t>
      </w:r>
      <w:r w:rsidR="00E40674">
        <w:rPr>
          <w:color w:val="000000"/>
        </w:rPr>
        <w:t xml:space="preserve">  Th</w:t>
      </w:r>
      <w:r w:rsidR="001A4537">
        <w:rPr>
          <w:color w:val="000000"/>
        </w:rPr>
        <w:t>e</w:t>
      </w:r>
      <w:r w:rsidR="00E40674">
        <w:rPr>
          <w:color w:val="000000"/>
        </w:rPr>
        <w:t xml:space="preserve"> equation</w:t>
      </w:r>
      <w:r w:rsidR="00CE61DF">
        <w:rPr>
          <w:color w:val="000000"/>
        </w:rPr>
        <w:t xml:space="preserve">, with </w:t>
      </w:r>
      <w:r w:rsidR="009B2C17">
        <w:rPr>
          <w:i/>
          <w:color w:val="000000"/>
        </w:rPr>
        <w:t>B</w:t>
      </w:r>
      <w:r w:rsidR="00CE61DF">
        <w:rPr>
          <w:i/>
          <w:color w:val="000000"/>
          <w:vertAlign w:val="subscript"/>
        </w:rPr>
        <w:t>15</w:t>
      </w:r>
      <w:r w:rsidR="00CE61DF">
        <w:rPr>
          <w:color w:val="000000"/>
        </w:rPr>
        <w:t xml:space="preserve"> = 0, </w:t>
      </w:r>
      <w:r w:rsidR="00E40674">
        <w:rPr>
          <w:color w:val="000000"/>
        </w:rPr>
        <w:t>is reproduced below.</w:t>
      </w:r>
    </w:p>
    <w:p w:rsidR="00E40674" w:rsidRDefault="00C043E6" w:rsidP="00C043E6">
      <w:pPr>
        <w:widowControl w:val="0"/>
        <w:tabs>
          <w:tab w:val="left" w:pos="284"/>
          <w:tab w:val="center" w:pos="4536"/>
          <w:tab w:val="right" w:pos="8931"/>
        </w:tabs>
        <w:spacing w:after="0" w:line="480" w:lineRule="auto"/>
        <w:ind w:firstLine="0"/>
        <w:rPr>
          <w:color w:val="000000"/>
        </w:rPr>
      </w:pPr>
      <w:r>
        <w:rPr>
          <w:color w:val="000000"/>
        </w:rPr>
        <w:tab/>
      </w:r>
      <w:r>
        <w:rPr>
          <w:color w:val="000000"/>
        </w:rPr>
        <w:tab/>
        <w:t>ln</w:t>
      </w:r>
      <w:r>
        <w:rPr>
          <w:color w:val="000000"/>
          <w:vertAlign w:val="subscript"/>
        </w:rPr>
        <w:t xml:space="preserve"> </w:t>
      </w:r>
      <w:r w:rsidRPr="006316A0">
        <w:rPr>
          <w:i/>
          <w:color w:val="000000"/>
        </w:rPr>
        <w:t>δ</w:t>
      </w:r>
      <w:r>
        <w:rPr>
          <w:color w:val="000000"/>
        </w:rPr>
        <w:t xml:space="preserve"> = </w:t>
      </w:r>
      <w:r>
        <w:rPr>
          <w:color w:val="000000"/>
        </w:rPr>
        <w:sym w:font="Symbol" w:char="002D"/>
      </w:r>
      <w:r>
        <w:rPr>
          <w:color w:val="000000"/>
        </w:rPr>
        <w:t>1.2</w:t>
      </w:r>
      <w:r w:rsidR="00B6031F">
        <w:rPr>
          <w:color w:val="000000"/>
        </w:rPr>
        <w:t>263</w:t>
      </w:r>
      <w:r>
        <w:rPr>
          <w:color w:val="000000"/>
        </w:rPr>
        <w:t xml:space="preserve"> + 0.168</w:t>
      </w:r>
      <w:r w:rsidR="00B6031F">
        <w:rPr>
          <w:color w:val="000000"/>
        </w:rPr>
        <w:t>0</w:t>
      </w:r>
      <w:r>
        <w:rPr>
          <w:color w:val="000000"/>
          <w:vertAlign w:val="subscript"/>
        </w:rPr>
        <w:t xml:space="preserve"> </w:t>
      </w:r>
      <w:r>
        <w:rPr>
          <w:color w:val="000000"/>
        </w:rPr>
        <w:t>ln</w:t>
      </w:r>
      <w:r>
        <w:rPr>
          <w:color w:val="000000"/>
          <w:vertAlign w:val="subscript"/>
        </w:rPr>
        <w:t xml:space="preserve"> </w:t>
      </w:r>
      <w:r w:rsidRPr="002C3A29">
        <w:rPr>
          <w:i/>
          <w:color w:val="000000"/>
        </w:rPr>
        <w:t>R</w:t>
      </w:r>
      <w:r>
        <w:rPr>
          <w:color w:val="000000"/>
        </w:rPr>
        <w:t xml:space="preserve"> + 0.3</w:t>
      </w:r>
      <w:r w:rsidR="00B6031F">
        <w:rPr>
          <w:color w:val="000000"/>
        </w:rPr>
        <w:t>254</w:t>
      </w:r>
      <w:r>
        <w:rPr>
          <w:color w:val="000000"/>
          <w:vertAlign w:val="subscript"/>
        </w:rPr>
        <w:t xml:space="preserve"> </w:t>
      </w:r>
      <w:r>
        <w:rPr>
          <w:color w:val="000000"/>
        </w:rPr>
        <w:t>ln</w:t>
      </w:r>
      <w:r>
        <w:rPr>
          <w:color w:val="000000"/>
          <w:vertAlign w:val="subscript"/>
        </w:rPr>
        <w:t xml:space="preserve"> </w:t>
      </w:r>
      <w:r w:rsidRPr="002C3A29">
        <w:rPr>
          <w:i/>
          <w:color w:val="000000"/>
        </w:rPr>
        <w:t>P</w:t>
      </w:r>
      <w:r>
        <w:rPr>
          <w:color w:val="000000"/>
        </w:rPr>
        <w:t xml:space="preserve"> + 0.3</w:t>
      </w:r>
      <w:r w:rsidR="00B6031F">
        <w:rPr>
          <w:color w:val="000000"/>
        </w:rPr>
        <w:t>170</w:t>
      </w:r>
      <w:r>
        <w:rPr>
          <w:color w:val="000000"/>
          <w:vertAlign w:val="subscript"/>
        </w:rPr>
        <w:t xml:space="preserve"> </w:t>
      </w:r>
      <w:r>
        <w:rPr>
          <w:color w:val="000000"/>
        </w:rPr>
        <w:t>ln</w:t>
      </w:r>
      <w:r>
        <w:rPr>
          <w:color w:val="000000"/>
          <w:vertAlign w:val="subscript"/>
        </w:rPr>
        <w:t xml:space="preserve"> </w:t>
      </w:r>
      <w:r>
        <w:rPr>
          <w:i/>
          <w:color w:val="000000"/>
        </w:rPr>
        <w:t>F</w:t>
      </w:r>
      <w:r>
        <w:rPr>
          <w:color w:val="000000"/>
        </w:rPr>
        <w:t xml:space="preserve"> + </w:t>
      </w:r>
      <w:r w:rsidRPr="00FA4653">
        <w:rPr>
          <w:i/>
          <w:color w:val="000000"/>
        </w:rPr>
        <w:t>e</w:t>
      </w:r>
      <w:r>
        <w:tab/>
        <w:t>(19)</w:t>
      </w:r>
    </w:p>
    <w:p w:rsidR="00EF383E" w:rsidRDefault="006734F4" w:rsidP="0055310B">
      <w:pPr>
        <w:widowControl w:val="0"/>
        <w:tabs>
          <w:tab w:val="left" w:pos="284"/>
        </w:tabs>
        <w:spacing w:after="0" w:line="480" w:lineRule="auto"/>
        <w:ind w:firstLine="0"/>
        <w:rPr>
          <w:color w:val="000000"/>
        </w:rPr>
      </w:pPr>
      <w:r>
        <w:rPr>
          <w:color w:val="000000"/>
        </w:rPr>
        <w:t>A</w:t>
      </w:r>
      <w:r w:rsidR="001A4537">
        <w:t>n</w:t>
      </w:r>
      <w:r w:rsidR="009620C4">
        <w:t xml:space="preserve"> analyst</w:t>
      </w:r>
      <w:r w:rsidR="009620C4">
        <w:rPr>
          <w:color w:val="000000"/>
        </w:rPr>
        <w:t xml:space="preserve"> </w:t>
      </w:r>
      <w:r>
        <w:rPr>
          <w:color w:val="000000"/>
        </w:rPr>
        <w:t>using</w:t>
      </w:r>
      <w:r>
        <w:t xml:space="preserve"> this equation</w:t>
      </w:r>
      <w:r>
        <w:rPr>
          <w:color w:val="000000"/>
        </w:rPr>
        <w:t xml:space="preserve"> </w:t>
      </w:r>
      <w:r w:rsidR="009620C4">
        <w:rPr>
          <w:color w:val="000000"/>
        </w:rPr>
        <w:t>would need to make an informed assumption about how far a</w:t>
      </w:r>
      <w:r w:rsidR="009620C4">
        <w:t xml:space="preserve"> region’s propensity to import from other regions </w:t>
      </w:r>
      <w:r w:rsidR="009620C4">
        <w:rPr>
          <w:color w:val="000000"/>
        </w:rPr>
        <w:t xml:space="preserve">diverged from the mean for all regions in </w:t>
      </w:r>
      <w:r w:rsidR="00037F3A">
        <w:rPr>
          <w:color w:val="000000"/>
        </w:rPr>
        <w:t>a</w:t>
      </w:r>
      <w:r w:rsidR="009620C4">
        <w:rPr>
          <w:color w:val="000000"/>
        </w:rPr>
        <w:t xml:space="preserve"> country, </w:t>
      </w:r>
      <w:r w:rsidR="00EF383E">
        <w:rPr>
          <w:color w:val="000000"/>
        </w:rPr>
        <w:t xml:space="preserve">which should be </w:t>
      </w:r>
      <w:r w:rsidR="00C80467">
        <w:rPr>
          <w:color w:val="000000"/>
        </w:rPr>
        <w:t>easier</w:t>
      </w:r>
      <w:r w:rsidR="009620C4">
        <w:rPr>
          <w:color w:val="000000"/>
        </w:rPr>
        <w:t xml:space="preserve"> </w:t>
      </w:r>
      <w:r w:rsidR="00C102D9">
        <w:rPr>
          <w:color w:val="000000"/>
        </w:rPr>
        <w:t xml:space="preserve">than </w:t>
      </w:r>
      <w:r w:rsidR="009620C4">
        <w:rPr>
          <w:color w:val="000000"/>
        </w:rPr>
        <w:t xml:space="preserve">having to measure this propensity </w:t>
      </w:r>
      <w:r w:rsidR="009620C4">
        <w:t>directly</w:t>
      </w:r>
      <w:r w:rsidR="00EF383E">
        <w:rPr>
          <w:color w:val="000000"/>
        </w:rPr>
        <w:t xml:space="preserve">.  </w:t>
      </w:r>
      <w:r w:rsidR="00C80467">
        <w:rPr>
          <w:color w:val="000000"/>
        </w:rPr>
        <w:t>Likewise</w:t>
      </w:r>
      <w:r w:rsidR="00EF383E">
        <w:rPr>
          <w:color w:val="000000"/>
        </w:rPr>
        <w:t>, an a</w:t>
      </w:r>
      <w:r w:rsidR="009620C4">
        <w:rPr>
          <w:color w:val="000000"/>
        </w:rPr>
        <w:t>llowance</w:t>
      </w:r>
      <w:r w:rsidR="00EF383E">
        <w:rPr>
          <w:color w:val="000000"/>
        </w:rPr>
        <w:t xml:space="preserve"> could be made for any assumed divergence between the regional and national </w:t>
      </w:r>
      <w:r w:rsidR="00CE61DF">
        <w:rPr>
          <w:color w:val="000000"/>
        </w:rPr>
        <w:t xml:space="preserve">shares </w:t>
      </w:r>
      <w:r w:rsidR="00EF383E">
        <w:rPr>
          <w:color w:val="000000"/>
        </w:rPr>
        <w:t xml:space="preserve">of </w:t>
      </w:r>
      <w:r w:rsidR="00CE61DF">
        <w:rPr>
          <w:color w:val="000000"/>
        </w:rPr>
        <w:t xml:space="preserve">foreign </w:t>
      </w:r>
      <w:r w:rsidR="00EF383E">
        <w:rPr>
          <w:color w:val="000000"/>
        </w:rPr>
        <w:t>in</w:t>
      </w:r>
      <w:r w:rsidR="00CE61DF">
        <w:rPr>
          <w:color w:val="000000"/>
        </w:rPr>
        <w:t>puts</w:t>
      </w:r>
      <w:r w:rsidR="00EF383E">
        <w:rPr>
          <w:color w:val="000000"/>
        </w:rPr>
        <w:t xml:space="preserve">.  </w:t>
      </w:r>
      <w:r w:rsidR="00C80467">
        <w:rPr>
          <w:color w:val="000000"/>
        </w:rPr>
        <w:t>I</w:t>
      </w:r>
      <w:r w:rsidR="00EF383E">
        <w:rPr>
          <w:color w:val="000000"/>
        </w:rPr>
        <w:t xml:space="preserve">t would </w:t>
      </w:r>
      <w:r w:rsidR="00C80467">
        <w:rPr>
          <w:color w:val="000000"/>
        </w:rPr>
        <w:t xml:space="preserve">also </w:t>
      </w:r>
      <w:r w:rsidR="00EF383E">
        <w:rPr>
          <w:color w:val="000000"/>
        </w:rPr>
        <w:t xml:space="preserve">be </w:t>
      </w:r>
      <w:r w:rsidR="00C102D9">
        <w:rPr>
          <w:color w:val="000000"/>
        </w:rPr>
        <w:t>easy</w:t>
      </w:r>
      <w:r w:rsidR="00EF383E">
        <w:rPr>
          <w:color w:val="000000"/>
        </w:rPr>
        <w:t xml:space="preserve"> to </w:t>
      </w:r>
      <w:r w:rsidR="00C80467">
        <w:rPr>
          <w:color w:val="000000"/>
        </w:rPr>
        <w:t xml:space="preserve">carry out </w:t>
      </w:r>
      <w:r w:rsidR="00EF383E">
        <w:rPr>
          <w:color w:val="000000"/>
        </w:rPr>
        <w:t>a sensitivity analysis.</w:t>
      </w:r>
      <w:r w:rsidR="008A5A6B">
        <w:rPr>
          <w:color w:val="000000"/>
        </w:rPr>
        <w:t xml:space="preserve">  </w:t>
      </w:r>
      <w:r w:rsidR="00C102D9">
        <w:rPr>
          <w:color w:val="000000"/>
        </w:rPr>
        <w:t>However</w:t>
      </w:r>
      <w:r w:rsidR="008A5A6B">
        <w:rPr>
          <w:color w:val="000000"/>
        </w:rPr>
        <w:t>, in some cases, it might be more convenient for an analyst to work with the following alternative version of equation (19):</w:t>
      </w:r>
    </w:p>
    <w:p w:rsidR="008A5A6B" w:rsidRDefault="008A5A6B" w:rsidP="008A5A6B">
      <w:pPr>
        <w:widowControl w:val="0"/>
        <w:tabs>
          <w:tab w:val="left" w:pos="284"/>
          <w:tab w:val="center" w:pos="4536"/>
          <w:tab w:val="right" w:pos="8931"/>
        </w:tabs>
        <w:spacing w:after="0" w:line="480" w:lineRule="auto"/>
        <w:ind w:firstLine="0"/>
        <w:rPr>
          <w:color w:val="000000"/>
        </w:rPr>
      </w:pPr>
      <w:r>
        <w:rPr>
          <w:color w:val="000000"/>
        </w:rPr>
        <w:tab/>
      </w:r>
      <w:r>
        <w:rPr>
          <w:color w:val="000000"/>
        </w:rPr>
        <w:tab/>
        <w:t>ln</w:t>
      </w:r>
      <w:r>
        <w:rPr>
          <w:color w:val="000000"/>
          <w:vertAlign w:val="subscript"/>
        </w:rPr>
        <w:t xml:space="preserve"> </w:t>
      </w:r>
      <w:r w:rsidRPr="006316A0">
        <w:rPr>
          <w:i/>
          <w:color w:val="000000"/>
        </w:rPr>
        <w:t>δ</w:t>
      </w:r>
      <w:r>
        <w:rPr>
          <w:color w:val="000000"/>
        </w:rPr>
        <w:t xml:space="preserve"> = </w:t>
      </w:r>
      <w:r w:rsidRPr="004C4027">
        <w:rPr>
          <w:color w:val="000000"/>
        </w:rPr>
        <w:sym w:font="Symbol" w:char="002D"/>
      </w:r>
      <w:r w:rsidR="004C4027" w:rsidRPr="004C4027">
        <w:rPr>
          <w:color w:val="000000"/>
        </w:rPr>
        <w:t>3</w:t>
      </w:r>
      <w:r w:rsidRPr="004C4027">
        <w:rPr>
          <w:color w:val="000000"/>
        </w:rPr>
        <w:t>.</w:t>
      </w:r>
      <w:r w:rsidR="004C4027" w:rsidRPr="004C4027">
        <w:rPr>
          <w:color w:val="000000"/>
        </w:rPr>
        <w:t>0665</w:t>
      </w:r>
      <w:r>
        <w:rPr>
          <w:color w:val="000000"/>
        </w:rPr>
        <w:t xml:space="preserve"> + 0.168</w:t>
      </w:r>
      <w:r w:rsidR="00B6031F">
        <w:rPr>
          <w:color w:val="000000"/>
        </w:rPr>
        <w:t>0</w:t>
      </w:r>
      <w:r>
        <w:rPr>
          <w:color w:val="000000"/>
          <w:vertAlign w:val="subscript"/>
        </w:rPr>
        <w:t xml:space="preserve"> </w:t>
      </w:r>
      <w:r>
        <w:rPr>
          <w:color w:val="000000"/>
        </w:rPr>
        <w:t>ln</w:t>
      </w:r>
      <w:r>
        <w:rPr>
          <w:color w:val="000000"/>
          <w:vertAlign w:val="subscript"/>
        </w:rPr>
        <w:t xml:space="preserve"> </w:t>
      </w:r>
      <w:r w:rsidRPr="002C3A29">
        <w:rPr>
          <w:i/>
          <w:color w:val="000000"/>
        </w:rPr>
        <w:t>R</w:t>
      </w:r>
      <w:r>
        <w:rPr>
          <w:color w:val="000000"/>
        </w:rPr>
        <w:t xml:space="preserve"> + 0.3</w:t>
      </w:r>
      <w:r w:rsidR="00B6031F">
        <w:rPr>
          <w:color w:val="000000"/>
        </w:rPr>
        <w:t>254</w:t>
      </w:r>
      <w:r>
        <w:rPr>
          <w:color w:val="000000"/>
          <w:vertAlign w:val="subscript"/>
        </w:rPr>
        <w:t xml:space="preserve"> </w:t>
      </w:r>
      <w:r>
        <w:rPr>
          <w:color w:val="000000"/>
        </w:rPr>
        <w:t>ln</w:t>
      </w:r>
      <w:r>
        <w:rPr>
          <w:color w:val="000000"/>
          <w:vertAlign w:val="subscript"/>
        </w:rPr>
        <w:t xml:space="preserve"> </w:t>
      </w:r>
      <w:r>
        <w:rPr>
          <w:i/>
          <w:color w:val="000000"/>
        </w:rPr>
        <w:t>p</w:t>
      </w:r>
      <w:r>
        <w:rPr>
          <w:color w:val="000000"/>
        </w:rPr>
        <w:t xml:space="preserve"> + 0.3</w:t>
      </w:r>
      <w:r w:rsidR="00B6031F">
        <w:rPr>
          <w:color w:val="000000"/>
        </w:rPr>
        <w:t>170</w:t>
      </w:r>
      <w:r>
        <w:rPr>
          <w:color w:val="000000"/>
          <w:vertAlign w:val="subscript"/>
        </w:rPr>
        <w:t xml:space="preserve"> </w:t>
      </w:r>
      <w:r>
        <w:rPr>
          <w:color w:val="000000"/>
        </w:rPr>
        <w:t>ln</w:t>
      </w:r>
      <w:r>
        <w:rPr>
          <w:color w:val="000000"/>
          <w:vertAlign w:val="subscript"/>
        </w:rPr>
        <w:t xml:space="preserve"> </w:t>
      </w:r>
      <w:r>
        <w:rPr>
          <w:i/>
          <w:color w:val="000000"/>
        </w:rPr>
        <w:t>f</w:t>
      </w:r>
      <w:r>
        <w:rPr>
          <w:color w:val="000000"/>
        </w:rPr>
        <w:t xml:space="preserve"> + </w:t>
      </w:r>
      <w:r w:rsidRPr="00FA4653">
        <w:rPr>
          <w:i/>
          <w:color w:val="000000"/>
        </w:rPr>
        <w:t>e</w:t>
      </w:r>
      <w:r>
        <w:tab/>
        <w:t>(20)</w:t>
      </w:r>
    </w:p>
    <w:p w:rsidR="00A22F4C" w:rsidRDefault="00A22F4C" w:rsidP="00A22F4C">
      <w:pPr>
        <w:widowControl w:val="0"/>
        <w:tabs>
          <w:tab w:val="left" w:pos="426"/>
          <w:tab w:val="right" w:pos="8931"/>
        </w:tabs>
        <w:spacing w:after="0" w:line="480" w:lineRule="auto"/>
        <w:ind w:firstLine="0"/>
      </w:pPr>
      <w:r>
        <w:t xml:space="preserve">where </w:t>
      </w:r>
      <w:r>
        <w:rPr>
          <w:i/>
        </w:rPr>
        <w:t>p</w:t>
      </w:r>
      <w:r>
        <w:t xml:space="preserve"> is each region’s propensity to import from other regions</w:t>
      </w:r>
      <w:r w:rsidR="00472B6F">
        <w:t xml:space="preserve"> and </w:t>
      </w:r>
      <w:r w:rsidR="00472B6F">
        <w:rPr>
          <w:i/>
        </w:rPr>
        <w:t>f</w:t>
      </w:r>
      <w:r w:rsidR="00472B6F">
        <w:t xml:space="preserve"> is each region’s average use of foreign intermediate inputs</w:t>
      </w:r>
      <w:r>
        <w:t xml:space="preserve">, </w:t>
      </w:r>
      <w:r w:rsidR="00472B6F">
        <w:t xml:space="preserve">both </w:t>
      </w:r>
      <w:r>
        <w:t>measured a</w:t>
      </w:r>
      <w:r w:rsidR="00472B6F">
        <w:t>s a proportion of gross output</w:t>
      </w:r>
      <w:r>
        <w:t>.</w:t>
      </w:r>
      <w:r w:rsidR="00243239">
        <w:rPr>
          <w:b/>
          <w:vertAlign w:val="superscript"/>
        </w:rPr>
        <w:t>16</w:t>
      </w:r>
    </w:p>
    <w:p w:rsidR="00E63BFA" w:rsidRPr="00E63BFA" w:rsidRDefault="00E63BFA" w:rsidP="00EA589F">
      <w:pPr>
        <w:widowControl w:val="0"/>
        <w:tabs>
          <w:tab w:val="left" w:pos="284"/>
          <w:tab w:val="right" w:pos="8931"/>
        </w:tabs>
        <w:spacing w:after="0" w:line="480" w:lineRule="auto"/>
        <w:ind w:firstLine="0"/>
      </w:pPr>
      <w:r>
        <w:tab/>
      </w:r>
      <w:r w:rsidR="00EA589F">
        <w:t>To assess</w:t>
      </w:r>
      <w:r>
        <w:t xml:space="preserve"> the accuracy of equation (19)</w:t>
      </w:r>
      <w:r w:rsidR="005E5AAA">
        <w:t xml:space="preserve"> in terms of sectoral multipliers</w:t>
      </w:r>
      <w:r>
        <w:t>,</w:t>
      </w:r>
      <w:r w:rsidR="00EA589F">
        <w:t xml:space="preserve"> again consider Table 14</w:t>
      </w:r>
      <w:r w:rsidR="003F3D4B">
        <w:t xml:space="preserve">.  </w:t>
      </w:r>
      <w:r w:rsidR="00EA589F">
        <w:t xml:space="preserve">For each region, </w:t>
      </w:r>
      <w:r w:rsidR="00EA589F" w:rsidRPr="00E329C3">
        <w:rPr>
          <w:lang w:val="en-US"/>
        </w:rPr>
        <w:t xml:space="preserve">the </w:t>
      </w:r>
      <w:r w:rsidR="00EA589F">
        <w:rPr>
          <w:lang w:val="en-US"/>
        </w:rPr>
        <w:t xml:space="preserve">specified </w:t>
      </w:r>
      <w:r w:rsidR="00EA589F" w:rsidRPr="00E329C3">
        <w:rPr>
          <w:lang w:val="en-US"/>
        </w:rPr>
        <w:t xml:space="preserve">value of </w:t>
      </w:r>
      <w:r w:rsidR="00EA589F" w:rsidRPr="00E329C3">
        <w:rPr>
          <w:i/>
        </w:rPr>
        <w:t>δ</w:t>
      </w:r>
      <w:r w:rsidR="00EA589F">
        <w:t xml:space="preserve"> was used in </w:t>
      </w:r>
      <w:r w:rsidR="00EA589F">
        <w:rPr>
          <w:lang w:val="en-US"/>
        </w:rPr>
        <w:t xml:space="preserve">estimating the </w:t>
      </w:r>
      <w:r w:rsidR="00EA589F" w:rsidRPr="00E329C3">
        <w:rPr>
          <w:lang w:val="en-US"/>
        </w:rPr>
        <w:t>sectoral multipliers</w:t>
      </w:r>
      <w:r w:rsidR="00EA589F">
        <w:rPr>
          <w:lang w:val="en-US"/>
        </w:rPr>
        <w:t xml:space="preserve"> and hence MAPE for that region.</w:t>
      </w:r>
      <w:r w:rsidR="00E329C3">
        <w:t xml:space="preserve"> The results were </w:t>
      </w:r>
      <w:r w:rsidR="00EA589F">
        <w:t xml:space="preserve">then </w:t>
      </w:r>
      <w:r w:rsidR="00E329C3">
        <w:t>averaged over all regions</w:t>
      </w:r>
      <w:r w:rsidR="00EA589F">
        <w:t xml:space="preserve"> to get MAPE ≈ 7.3%</w:t>
      </w:r>
      <w:r w:rsidR="00E329C3">
        <w:t>.</w:t>
      </w:r>
      <w:r w:rsidR="003D1288">
        <w:t xml:space="preserve">  </w:t>
      </w:r>
      <w:r w:rsidR="00EA589F">
        <w:t xml:space="preserve">By contrast, </w:t>
      </w:r>
      <w:r w:rsidR="003D1288">
        <w:t xml:space="preserve">Table 12 </w:t>
      </w:r>
      <w:r w:rsidR="002E37D2">
        <w:t>reveal</w:t>
      </w:r>
      <w:r w:rsidR="003D1288">
        <w:t xml:space="preserve">s that </w:t>
      </w:r>
      <w:r w:rsidR="002666B0">
        <w:t xml:space="preserve">using </w:t>
      </w:r>
      <w:r w:rsidR="0076224D">
        <w:t xml:space="preserve">a common </w:t>
      </w:r>
      <w:r w:rsidR="003D1288" w:rsidRPr="00E329C3">
        <w:rPr>
          <w:i/>
        </w:rPr>
        <w:t>δ</w:t>
      </w:r>
      <w:r w:rsidR="003D1288">
        <w:t xml:space="preserve"> </w:t>
      </w:r>
      <w:r w:rsidR="00EB5ABB">
        <w:t>=</w:t>
      </w:r>
      <w:r w:rsidR="003D1288">
        <w:t xml:space="preserve"> 0.</w:t>
      </w:r>
      <w:r w:rsidR="00EB5ABB">
        <w:t>4</w:t>
      </w:r>
      <w:r w:rsidR="003D1288">
        <w:t xml:space="preserve"> for all regions would </w:t>
      </w:r>
      <w:r w:rsidR="00220A24">
        <w:t>give</w:t>
      </w:r>
      <w:r w:rsidR="003D1288">
        <w:t xml:space="preserve"> MAPE ≈ 8.0%</w:t>
      </w:r>
      <w:r w:rsidR="00C66BE8">
        <w:t xml:space="preserve">, </w:t>
      </w:r>
      <w:r w:rsidR="005E5AAA">
        <w:t xml:space="preserve">so there </w:t>
      </w:r>
      <w:r w:rsidR="0076224D">
        <w:t xml:space="preserve">would </w:t>
      </w:r>
      <w:r w:rsidR="005E5AAA">
        <w:t>be</w:t>
      </w:r>
      <w:r w:rsidR="0076224D">
        <w:t xml:space="preserve"> </w:t>
      </w:r>
      <w:r w:rsidR="0028464C">
        <w:t>a gain of</w:t>
      </w:r>
      <w:r w:rsidR="00C66BE8">
        <w:t xml:space="preserve"> </w:t>
      </w:r>
      <w:r w:rsidR="005B0CBD">
        <w:t xml:space="preserve">about </w:t>
      </w:r>
      <w:r w:rsidR="00C66BE8">
        <w:t>0.7 percentage points</w:t>
      </w:r>
      <w:r w:rsidR="0028464C">
        <w:t xml:space="preserve">, on average, from using </w:t>
      </w:r>
      <w:r w:rsidR="002E37D2">
        <w:t>the region-specific equation</w:t>
      </w:r>
      <w:r w:rsidR="00172FBD">
        <w:t xml:space="preserve"> (19)</w:t>
      </w:r>
      <w:r w:rsidR="003D1288">
        <w:t>.</w:t>
      </w:r>
    </w:p>
    <w:p w:rsidR="007066EC" w:rsidRDefault="007066EC">
      <w:pPr>
        <w:spacing w:after="0"/>
        <w:ind w:firstLine="0"/>
        <w:jc w:val="left"/>
        <w:rPr>
          <w:lang w:val="en-US"/>
        </w:rPr>
      </w:pPr>
    </w:p>
    <w:p w:rsidR="003A7D6B" w:rsidRPr="00667BC0" w:rsidRDefault="003A7D6B" w:rsidP="003A7D6B">
      <w:pPr>
        <w:widowControl w:val="0"/>
        <w:tabs>
          <w:tab w:val="left" w:pos="284"/>
          <w:tab w:val="right" w:pos="8931"/>
        </w:tabs>
        <w:spacing w:after="0" w:line="480" w:lineRule="auto"/>
        <w:ind w:firstLine="0"/>
        <w:rPr>
          <w:color w:val="000000"/>
        </w:rPr>
      </w:pPr>
      <w:r>
        <w:rPr>
          <w:b/>
          <w:lang w:val="en-US"/>
        </w:rPr>
        <w:t>5</w:t>
      </w:r>
      <w:r w:rsidRPr="00812803">
        <w:rPr>
          <w:b/>
          <w:lang w:val="en-US"/>
        </w:rPr>
        <w:t xml:space="preserve">  </w:t>
      </w:r>
      <w:r>
        <w:rPr>
          <w:b/>
          <w:lang w:val="en-US"/>
        </w:rPr>
        <w:t>Conclusion</w:t>
      </w:r>
    </w:p>
    <w:p w:rsidR="003A7D6B" w:rsidRDefault="003A7D6B" w:rsidP="003A7D6B">
      <w:pPr>
        <w:spacing w:after="0" w:line="480" w:lineRule="auto"/>
        <w:ind w:firstLine="0"/>
        <w:rPr>
          <w:lang w:val="en-US"/>
        </w:rPr>
      </w:pPr>
      <w:r w:rsidRPr="00B839D3">
        <w:rPr>
          <w:lang w:val="en-US"/>
        </w:rPr>
        <w:t xml:space="preserve">This paper </w:t>
      </w:r>
      <w:r>
        <w:rPr>
          <w:lang w:val="en-US"/>
        </w:rPr>
        <w:t xml:space="preserve">has </w:t>
      </w:r>
      <w:r w:rsidR="005B0CBD">
        <w:rPr>
          <w:lang w:val="en-US"/>
        </w:rPr>
        <w:t>employed</w:t>
      </w:r>
      <w:r w:rsidRPr="00B839D3">
        <w:rPr>
          <w:lang w:val="en-US"/>
        </w:rPr>
        <w:t xml:space="preserve"> survey-based data for </w:t>
      </w:r>
      <w:r>
        <w:rPr>
          <w:lang w:val="en-US"/>
        </w:rPr>
        <w:t>16 South Korean regions</w:t>
      </w:r>
      <w:r w:rsidRPr="00B839D3">
        <w:rPr>
          <w:lang w:val="en-US"/>
        </w:rPr>
        <w:t xml:space="preserve"> to </w:t>
      </w:r>
      <w:r>
        <w:rPr>
          <w:lang w:val="en-US"/>
        </w:rPr>
        <w:t>refine the application</w:t>
      </w:r>
      <w:r w:rsidRPr="00B839D3">
        <w:rPr>
          <w:lang w:val="en-US"/>
        </w:rPr>
        <w:t xml:space="preserve"> of the FLQ formula for estimating regional</w:t>
      </w:r>
      <w:r w:rsidRPr="00B839D3">
        <w:t xml:space="preserve"> input coefficients. </w:t>
      </w:r>
      <w:r>
        <w:t xml:space="preserve"> </w:t>
      </w:r>
      <w:r w:rsidR="001C081E">
        <w:t xml:space="preserve">The </w:t>
      </w:r>
      <w:r w:rsidR="00172FBD">
        <w:t>focus</w:t>
      </w:r>
      <w:r w:rsidRPr="00B839D3">
        <w:t xml:space="preserve"> </w:t>
      </w:r>
      <w:r>
        <w:t xml:space="preserve">was </w:t>
      </w:r>
      <w:r w:rsidR="001C081E">
        <w:t>on</w:t>
      </w:r>
      <w:r>
        <w:t xml:space="preserve"> the </w:t>
      </w:r>
      <w:r w:rsidRPr="00B839D3">
        <w:t>cho</w:t>
      </w:r>
      <w:r>
        <w:t>ice of</w:t>
      </w:r>
      <w:r w:rsidRPr="00B839D3">
        <w:t xml:space="preserve"> a</w:t>
      </w:r>
      <w:r w:rsidRPr="00B839D3">
        <w:rPr>
          <w:lang w:val="en-US"/>
        </w:rPr>
        <w:t xml:space="preserve"> value for</w:t>
      </w:r>
      <w:r w:rsidRPr="00B839D3">
        <w:t xml:space="preserve"> the unknown parameter </w:t>
      </w:r>
      <w:r w:rsidRPr="0051178B">
        <w:rPr>
          <w:i/>
          <w:color w:val="000000"/>
        </w:rPr>
        <w:t>δ</w:t>
      </w:r>
      <w:r w:rsidRPr="00B839D3">
        <w:rPr>
          <w:color w:val="000000"/>
        </w:rPr>
        <w:t xml:space="preserve"> </w:t>
      </w:r>
      <w:r w:rsidRPr="00B839D3">
        <w:rPr>
          <w:lang w:val="en-US"/>
        </w:rPr>
        <w:t>in this formula.</w:t>
      </w:r>
      <w:r>
        <w:rPr>
          <w:lang w:val="en-US"/>
        </w:rPr>
        <w:t xml:space="preserve">  Along with regional size, th</w:t>
      </w:r>
      <w:r w:rsidR="004651F6">
        <w:rPr>
          <w:lang w:val="en-US"/>
        </w:rPr>
        <w:t>is</w:t>
      </w:r>
      <w:r>
        <w:rPr>
          <w:lang w:val="en-US"/>
        </w:rPr>
        <w:t xml:space="preserve"> </w:t>
      </w:r>
      <w:r w:rsidRPr="00B839D3">
        <w:rPr>
          <w:lang w:val="en-US"/>
        </w:rPr>
        <w:t xml:space="preserve">value </w:t>
      </w:r>
      <w:r>
        <w:rPr>
          <w:color w:val="000000"/>
        </w:rPr>
        <w:t xml:space="preserve">determines the size of the adjustment for regional imports </w:t>
      </w:r>
      <w:r w:rsidRPr="00B839D3">
        <w:rPr>
          <w:lang w:val="en-US"/>
        </w:rPr>
        <w:t>in th</w:t>
      </w:r>
      <w:r>
        <w:rPr>
          <w:lang w:val="en-US"/>
        </w:rPr>
        <w:t>e FLQ</w:t>
      </w:r>
      <w:r w:rsidRPr="00B839D3">
        <w:rPr>
          <w:lang w:val="en-US"/>
        </w:rPr>
        <w:t xml:space="preserve"> formula.</w:t>
      </w:r>
    </w:p>
    <w:p w:rsidR="00BD28D2" w:rsidRDefault="003A7D6B" w:rsidP="00355690">
      <w:pPr>
        <w:widowControl w:val="0"/>
        <w:spacing w:after="0" w:line="480" w:lineRule="auto"/>
        <w:ind w:firstLine="284"/>
        <w:rPr>
          <w:color w:val="000000"/>
        </w:rPr>
      </w:pPr>
      <w:r>
        <w:rPr>
          <w:lang w:val="en-US"/>
        </w:rPr>
        <w:t>At the outset, we re-examined the pioneering study of Zhao and Choi (2015), who explored this topic using data for two South Korean regions</w:t>
      </w:r>
      <w:r w:rsidR="003F51B4">
        <w:rPr>
          <w:lang w:val="en-US"/>
        </w:rPr>
        <w:t>, Daegu and Gyeongbuk</w:t>
      </w:r>
      <w:r>
        <w:rPr>
          <w:lang w:val="en-US"/>
        </w:rPr>
        <w:t>.  However, using the same basic data, we were unable to replicate their findings.  We also identified several methodological shortcomings and some non-trivial computational errors.</w:t>
      </w:r>
      <w:r w:rsidR="00CC4C6E">
        <w:rPr>
          <w:lang w:val="en-US"/>
        </w:rPr>
        <w:t xml:space="preserve">  The shortcomings included the use of a national coefficient matrix that included imports.</w:t>
      </w:r>
      <w:r>
        <w:rPr>
          <w:lang w:val="en-US"/>
        </w:rPr>
        <w:t xml:space="preserve">  </w:t>
      </w:r>
      <w:r w:rsidR="00CD7A38">
        <w:rPr>
          <w:lang w:val="en-US"/>
        </w:rPr>
        <w:t>As a result</w:t>
      </w:r>
      <w:r>
        <w:rPr>
          <w:lang w:val="en-US"/>
        </w:rPr>
        <w:t xml:space="preserve">, we </w:t>
      </w:r>
      <w:r w:rsidR="00CD7A38">
        <w:rPr>
          <w:lang w:val="en-US"/>
        </w:rPr>
        <w:t>found</w:t>
      </w:r>
      <w:r>
        <w:rPr>
          <w:lang w:val="en-US"/>
        </w:rPr>
        <w:t xml:space="preserve"> that Zhao and Choi ha</w:t>
      </w:r>
      <w:r w:rsidR="00CD7A38">
        <w:rPr>
          <w:lang w:val="en-US"/>
        </w:rPr>
        <w:t>d</w:t>
      </w:r>
      <w:r>
        <w:rPr>
          <w:lang w:val="en-US"/>
        </w:rPr>
        <w:t xml:space="preserve"> overstated the optimal values of </w:t>
      </w:r>
      <w:r w:rsidRPr="00702847">
        <w:rPr>
          <w:i/>
          <w:color w:val="000000"/>
        </w:rPr>
        <w:t>δ</w:t>
      </w:r>
      <w:r>
        <w:rPr>
          <w:lang w:val="en-US"/>
        </w:rPr>
        <w:t xml:space="preserve"> for these two regions and understated the FLQ’s accuracy.  </w:t>
      </w:r>
      <w:r w:rsidR="00FE4077">
        <w:rPr>
          <w:lang w:val="en-US"/>
        </w:rPr>
        <w:t>W</w:t>
      </w:r>
      <w:r>
        <w:rPr>
          <w:lang w:val="en-US"/>
        </w:rPr>
        <w:t xml:space="preserve">e </w:t>
      </w:r>
      <w:r w:rsidR="00FE4077">
        <w:rPr>
          <w:lang w:val="en-US"/>
        </w:rPr>
        <w:t xml:space="preserve">also </w:t>
      </w:r>
      <w:r w:rsidR="00125822">
        <w:rPr>
          <w:lang w:val="en-US"/>
        </w:rPr>
        <w:t>demonstrated</w:t>
      </w:r>
      <w:r>
        <w:rPr>
          <w:lang w:val="en-US"/>
        </w:rPr>
        <w:t xml:space="preserve"> that the regression model</w:t>
      </w:r>
      <w:r w:rsidR="006E3FEF">
        <w:rPr>
          <w:lang w:val="en-US"/>
        </w:rPr>
        <w:t>s</w:t>
      </w:r>
      <w:r>
        <w:rPr>
          <w:lang w:val="en-US"/>
        </w:rPr>
        <w:t xml:space="preserve"> of </w:t>
      </w:r>
      <w:r w:rsidR="005B0CBD">
        <w:rPr>
          <w:lang w:val="en-US"/>
        </w:rPr>
        <w:t xml:space="preserve">both </w:t>
      </w:r>
      <w:r w:rsidR="00932E1D">
        <w:rPr>
          <w:lang w:val="en-US"/>
        </w:rPr>
        <w:t>Flegg and Tohmo (2013a)</w:t>
      </w:r>
      <w:r w:rsidR="00F0018D">
        <w:rPr>
          <w:lang w:val="en-US"/>
        </w:rPr>
        <w:t xml:space="preserve"> and Kowalewski (2015) </w:t>
      </w:r>
      <w:r w:rsidR="00CF07A8">
        <w:rPr>
          <w:lang w:val="en-US"/>
        </w:rPr>
        <w:t xml:space="preserve">had </w:t>
      </w:r>
      <w:r w:rsidR="006E3FEF">
        <w:rPr>
          <w:lang w:val="en-US"/>
        </w:rPr>
        <w:t xml:space="preserve">not </w:t>
      </w:r>
      <w:r w:rsidR="00CF07A8">
        <w:rPr>
          <w:lang w:val="en-US"/>
        </w:rPr>
        <w:t xml:space="preserve">been </w:t>
      </w:r>
      <w:r>
        <w:rPr>
          <w:lang w:val="en-US"/>
        </w:rPr>
        <w:t xml:space="preserve">applied </w:t>
      </w:r>
      <w:r w:rsidR="00BD28D2">
        <w:rPr>
          <w:lang w:val="en-US"/>
        </w:rPr>
        <w:t xml:space="preserve">correctly </w:t>
      </w:r>
      <w:r w:rsidR="00932E1D">
        <w:rPr>
          <w:lang w:val="en-US"/>
        </w:rPr>
        <w:t xml:space="preserve">and consequently </w:t>
      </w:r>
      <w:r w:rsidR="00CD7A38">
        <w:rPr>
          <w:lang w:val="en-US"/>
        </w:rPr>
        <w:t xml:space="preserve">did not </w:t>
      </w:r>
      <w:r w:rsidR="00CF07A8">
        <w:rPr>
          <w:lang w:val="en-US"/>
        </w:rPr>
        <w:t>yield</w:t>
      </w:r>
      <w:r w:rsidR="00CD7A38">
        <w:rPr>
          <w:lang w:val="en-US"/>
        </w:rPr>
        <w:t xml:space="preserve"> </w:t>
      </w:r>
      <w:r w:rsidR="00932E1D">
        <w:rPr>
          <w:lang w:val="en-US"/>
        </w:rPr>
        <w:t>valid</w:t>
      </w:r>
      <w:r>
        <w:rPr>
          <w:lang w:val="en-US"/>
        </w:rPr>
        <w:t xml:space="preserve"> results.</w:t>
      </w:r>
      <w:r w:rsidR="00FE4077">
        <w:rPr>
          <w:lang w:val="en-US"/>
        </w:rPr>
        <w:t xml:space="preserve">  </w:t>
      </w:r>
      <w:r w:rsidR="00F0018D">
        <w:rPr>
          <w:lang w:val="en-US"/>
        </w:rPr>
        <w:t>As well as</w:t>
      </w:r>
      <w:r>
        <w:rPr>
          <w:lang w:val="en-US"/>
        </w:rPr>
        <w:t xml:space="preserve"> reworking Zhao and Choi’s analysis and extending it from 2 to 16 regions, we ma</w:t>
      </w:r>
      <w:r w:rsidR="00365149">
        <w:rPr>
          <w:lang w:val="en-US"/>
        </w:rPr>
        <w:t>d</w:t>
      </w:r>
      <w:r>
        <w:rPr>
          <w:lang w:val="en-US"/>
        </w:rPr>
        <w:t>e several refinements to Flegg and Tohmo’s original model, which was based on data for 20 Finnish regions</w:t>
      </w:r>
      <w:r w:rsidR="00FE4077">
        <w:rPr>
          <w:lang w:val="en-US"/>
        </w:rPr>
        <w:t>, and carried out a rigorous test of Kowalewski’s sector-specific approach</w:t>
      </w:r>
      <w:r>
        <w:rPr>
          <w:color w:val="000000"/>
        </w:rPr>
        <w:t>.</w:t>
      </w:r>
    </w:p>
    <w:p w:rsidR="00655BDF" w:rsidRDefault="00932E1D" w:rsidP="005E22B7">
      <w:pPr>
        <w:widowControl w:val="0"/>
        <w:spacing w:after="0" w:line="480" w:lineRule="auto"/>
        <w:ind w:firstLine="284"/>
        <w:rPr>
          <w:color w:val="000000"/>
        </w:rPr>
      </w:pPr>
      <w:r>
        <w:rPr>
          <w:color w:val="000000"/>
        </w:rPr>
        <w:t xml:space="preserve">Several important findings emerged from our statistical analysis. </w:t>
      </w:r>
      <w:r w:rsidR="00F5722C">
        <w:rPr>
          <w:color w:val="000000"/>
        </w:rPr>
        <w:t xml:space="preserve"> </w:t>
      </w:r>
      <w:r w:rsidR="00DB2C55">
        <w:rPr>
          <w:color w:val="000000"/>
        </w:rPr>
        <w:t>For instance, o</w:t>
      </w:r>
      <w:r w:rsidR="00F5722C">
        <w:rPr>
          <w:color w:val="000000"/>
        </w:rPr>
        <w:t>n</w:t>
      </w:r>
      <w:r>
        <w:rPr>
          <w:color w:val="000000"/>
        </w:rPr>
        <w:t xml:space="preserve"> </w:t>
      </w:r>
      <w:r w:rsidR="00F5722C">
        <w:rPr>
          <w:color w:val="000000"/>
        </w:rPr>
        <w:t xml:space="preserve">average across the 16 regions, the FLQ with </w:t>
      </w:r>
      <w:r w:rsidR="00F5722C" w:rsidRPr="0051178B">
        <w:rPr>
          <w:i/>
          <w:color w:val="000000"/>
        </w:rPr>
        <w:t>δ</w:t>
      </w:r>
      <w:r w:rsidR="00DB2C55">
        <w:rPr>
          <w:color w:val="000000"/>
        </w:rPr>
        <w:t xml:space="preserve"> </w:t>
      </w:r>
      <w:r w:rsidR="005A1D40">
        <w:rPr>
          <w:color w:val="000000"/>
        </w:rPr>
        <w:t>in the range 0.4 ± 0.025</w:t>
      </w:r>
      <w:r w:rsidR="00F5722C">
        <w:rPr>
          <w:color w:val="000000"/>
        </w:rPr>
        <w:t xml:space="preserve"> gave a</w:t>
      </w:r>
      <w:r w:rsidR="00EB5ABB">
        <w:rPr>
          <w:color w:val="000000"/>
        </w:rPr>
        <w:t xml:space="preserve"> minimum</w:t>
      </w:r>
      <w:r w:rsidR="00F5722C">
        <w:rPr>
          <w:color w:val="000000"/>
        </w:rPr>
        <w:t xml:space="preserve"> mean absolute percentage error (MAPE)</w:t>
      </w:r>
      <w:r w:rsidR="001471E0">
        <w:rPr>
          <w:color w:val="000000"/>
        </w:rPr>
        <w:t xml:space="preserve"> </w:t>
      </w:r>
      <w:r w:rsidR="005A1D40">
        <w:rPr>
          <w:color w:val="000000"/>
        </w:rPr>
        <w:t>≈</w:t>
      </w:r>
      <w:r w:rsidR="00377E78">
        <w:rPr>
          <w:color w:val="000000"/>
        </w:rPr>
        <w:t xml:space="preserve"> 8.0% whe</w:t>
      </w:r>
      <w:r w:rsidR="001471E0">
        <w:rPr>
          <w:color w:val="000000"/>
        </w:rPr>
        <w:t>n estimating the type I sectoral output multipliers</w:t>
      </w:r>
      <w:r w:rsidR="00F5722C">
        <w:rPr>
          <w:color w:val="000000"/>
        </w:rPr>
        <w:t xml:space="preserve">, </w:t>
      </w:r>
      <w:r w:rsidR="004812DF">
        <w:rPr>
          <w:color w:val="000000"/>
        </w:rPr>
        <w:t>compared with</w:t>
      </w:r>
      <w:r w:rsidR="00F5722C">
        <w:rPr>
          <w:color w:val="000000"/>
        </w:rPr>
        <w:t xml:space="preserve"> 23.5% for the CILQ and 22.2% for the SLQ.</w:t>
      </w:r>
      <w:r w:rsidR="00DB2C55">
        <w:rPr>
          <w:color w:val="000000"/>
        </w:rPr>
        <w:t xml:space="preserve">  </w:t>
      </w:r>
      <w:r w:rsidR="00074906">
        <w:rPr>
          <w:color w:val="000000"/>
        </w:rPr>
        <w:t>T</w:t>
      </w:r>
      <w:r w:rsidR="00DB2C55">
        <w:rPr>
          <w:color w:val="000000"/>
        </w:rPr>
        <w:t xml:space="preserve">he </w:t>
      </w:r>
      <w:r w:rsidR="00074906">
        <w:rPr>
          <w:color w:val="000000"/>
        </w:rPr>
        <w:t>mean percentage error</w:t>
      </w:r>
      <w:r w:rsidR="00AF0DE5">
        <w:rPr>
          <w:color w:val="000000"/>
        </w:rPr>
        <w:t xml:space="preserve"> </w:t>
      </w:r>
      <w:r w:rsidR="005A1D40">
        <w:rPr>
          <w:color w:val="000000"/>
        </w:rPr>
        <w:t xml:space="preserve">for the FLQ with </w:t>
      </w:r>
      <w:r w:rsidR="005A1D40" w:rsidRPr="0051178B">
        <w:rPr>
          <w:i/>
          <w:color w:val="000000"/>
        </w:rPr>
        <w:t>δ</w:t>
      </w:r>
      <w:r w:rsidR="005A1D40">
        <w:rPr>
          <w:color w:val="000000"/>
        </w:rPr>
        <w:t xml:space="preserve"> = 0.</w:t>
      </w:r>
      <w:r w:rsidR="00B32CAD">
        <w:rPr>
          <w:color w:val="000000"/>
        </w:rPr>
        <w:t>375</w:t>
      </w:r>
      <w:r w:rsidR="005A1D40">
        <w:rPr>
          <w:color w:val="000000"/>
        </w:rPr>
        <w:t xml:space="preserve"> </w:t>
      </w:r>
      <w:r w:rsidR="00DB2C55">
        <w:rPr>
          <w:color w:val="000000"/>
        </w:rPr>
        <w:t>w</w:t>
      </w:r>
      <w:r w:rsidR="005A1D40">
        <w:rPr>
          <w:color w:val="000000"/>
        </w:rPr>
        <w:t>as</w:t>
      </w:r>
      <w:r w:rsidR="00DB2C55">
        <w:rPr>
          <w:color w:val="000000"/>
        </w:rPr>
        <w:t xml:space="preserve"> </w:t>
      </w:r>
      <w:r w:rsidR="00B32CAD">
        <w:rPr>
          <w:color w:val="000000"/>
        </w:rPr>
        <w:sym w:font="Symbol" w:char="002D"/>
      </w:r>
      <w:r w:rsidR="00AF0DE5">
        <w:rPr>
          <w:color w:val="000000"/>
        </w:rPr>
        <w:t>0.</w:t>
      </w:r>
      <w:r w:rsidR="00B32CAD">
        <w:rPr>
          <w:color w:val="000000"/>
        </w:rPr>
        <w:t>1%</w:t>
      </w:r>
      <w:r w:rsidR="00DB2C55">
        <w:rPr>
          <w:color w:val="000000"/>
        </w:rPr>
        <w:t>,</w:t>
      </w:r>
      <w:r w:rsidR="005A1D40">
        <w:rPr>
          <w:color w:val="000000"/>
        </w:rPr>
        <w:t xml:space="preserve"> </w:t>
      </w:r>
      <w:r w:rsidR="004812DF">
        <w:rPr>
          <w:color w:val="000000"/>
        </w:rPr>
        <w:t>as against</w:t>
      </w:r>
      <w:r w:rsidR="00DB2C55">
        <w:rPr>
          <w:color w:val="000000"/>
        </w:rPr>
        <w:t xml:space="preserve"> </w:t>
      </w:r>
      <w:r w:rsidR="00DB2C55">
        <w:rPr>
          <w:color w:val="000000"/>
        </w:rPr>
        <w:sym w:font="Symbol" w:char="002D"/>
      </w:r>
      <w:r w:rsidR="00DB2C55">
        <w:rPr>
          <w:color w:val="000000"/>
        </w:rPr>
        <w:t xml:space="preserve">22.4% for the CILQ and </w:t>
      </w:r>
      <w:r w:rsidR="00DB2C55">
        <w:rPr>
          <w:color w:val="000000"/>
        </w:rPr>
        <w:sym w:font="Symbol" w:char="002D"/>
      </w:r>
      <w:r w:rsidR="00DB2C55">
        <w:rPr>
          <w:color w:val="000000"/>
        </w:rPr>
        <w:t>21.2% for the SLQ.</w:t>
      </w:r>
      <w:r w:rsidR="00AF0DE5">
        <w:rPr>
          <w:color w:val="000000"/>
        </w:rPr>
        <w:t xml:space="preserve">  </w:t>
      </w:r>
      <w:r w:rsidR="00547E46">
        <w:rPr>
          <w:color w:val="000000"/>
        </w:rPr>
        <w:t xml:space="preserve">Although </w:t>
      </w:r>
      <w:r w:rsidR="00E9444D">
        <w:rPr>
          <w:color w:val="000000"/>
        </w:rPr>
        <w:t>it is unsurprising</w:t>
      </w:r>
      <w:r w:rsidR="00547E46">
        <w:rPr>
          <w:color w:val="000000"/>
        </w:rPr>
        <w:t xml:space="preserve"> that the CILQ and SLQ </w:t>
      </w:r>
      <w:r w:rsidR="00E9444D">
        <w:rPr>
          <w:color w:val="000000"/>
        </w:rPr>
        <w:t xml:space="preserve">should </w:t>
      </w:r>
      <w:r w:rsidR="00547E46">
        <w:rPr>
          <w:color w:val="000000"/>
        </w:rPr>
        <w:t xml:space="preserve">yield overstated multipliers, the size of this </w:t>
      </w:r>
      <w:r w:rsidR="008249B1">
        <w:rPr>
          <w:color w:val="000000"/>
        </w:rPr>
        <w:t>bias</w:t>
      </w:r>
      <w:r w:rsidR="00547E46">
        <w:rPr>
          <w:color w:val="000000"/>
        </w:rPr>
        <w:t xml:space="preserve"> is striking.</w:t>
      </w:r>
      <w:r w:rsidR="00E9444D">
        <w:rPr>
          <w:color w:val="000000"/>
        </w:rPr>
        <w:t xml:space="preserve">  </w:t>
      </w:r>
      <w:r w:rsidR="00981A73">
        <w:rPr>
          <w:color w:val="000000"/>
        </w:rPr>
        <w:t>The credibility of these findings is bolstered by the fact that they were confirmed by Theil’s inequality coefficient, which takes both bias and dispersion into account.</w:t>
      </w:r>
    </w:p>
    <w:p w:rsidR="00E94D14" w:rsidRDefault="00F7691D" w:rsidP="005E22B7">
      <w:pPr>
        <w:widowControl w:val="0"/>
        <w:spacing w:after="0" w:line="480" w:lineRule="auto"/>
        <w:ind w:firstLine="284"/>
      </w:pPr>
      <w:r>
        <w:rPr>
          <w:color w:val="000000"/>
        </w:rPr>
        <w:t>We gave detailed consideration to</w:t>
      </w:r>
      <w:r w:rsidR="00A03768">
        <w:rPr>
          <w:color w:val="000000"/>
        </w:rPr>
        <w:t xml:space="preserve"> the</w:t>
      </w:r>
      <w:r>
        <w:rPr>
          <w:color w:val="000000"/>
        </w:rPr>
        <w:t xml:space="preserve"> </w:t>
      </w:r>
      <w:r w:rsidR="00A03768">
        <w:rPr>
          <w:lang w:val="en-US"/>
        </w:rPr>
        <w:t>sector-specific approach proposed by Kowalewski (2015), which aims to enhance the accuracy of the FLQ by permitting</w:t>
      </w:r>
      <w:r w:rsidR="00A03768" w:rsidRPr="00A03768">
        <w:rPr>
          <w:i/>
          <w:color w:val="000000"/>
        </w:rPr>
        <w:t xml:space="preserve"> </w:t>
      </w:r>
      <w:r w:rsidR="00A03768" w:rsidRPr="0051178B">
        <w:rPr>
          <w:i/>
          <w:color w:val="000000"/>
        </w:rPr>
        <w:t>δ</w:t>
      </w:r>
      <w:r w:rsidR="00A03768">
        <w:rPr>
          <w:lang w:val="en-US"/>
        </w:rPr>
        <w:t xml:space="preserve"> to vary across sectors.</w:t>
      </w:r>
      <w:r w:rsidR="008C533B">
        <w:rPr>
          <w:lang w:val="en-US"/>
        </w:rPr>
        <w:t xml:space="preserve">  </w:t>
      </w:r>
      <w:r w:rsidR="000C5ECE">
        <w:rPr>
          <w:lang w:val="en-US"/>
        </w:rPr>
        <w:t>Her</w:t>
      </w:r>
      <w:r w:rsidR="00E315F8">
        <w:rPr>
          <w:lang w:val="en-US"/>
        </w:rPr>
        <w:t xml:space="preserve"> </w:t>
      </w:r>
      <w:r w:rsidR="00565331">
        <w:rPr>
          <w:lang w:val="en-US"/>
        </w:rPr>
        <w:t xml:space="preserve">SFLQ </w:t>
      </w:r>
      <w:r w:rsidR="00E315F8">
        <w:rPr>
          <w:lang w:val="en-US"/>
        </w:rPr>
        <w:t>approach involves using a regression model to estimate</w:t>
      </w:r>
      <w:r w:rsidR="003F51B4">
        <w:rPr>
          <w:lang w:val="en-US"/>
        </w:rPr>
        <w:t xml:space="preserve"> a value of</w:t>
      </w:r>
      <w:r w:rsidR="00E315F8">
        <w:rPr>
          <w:lang w:val="en-US"/>
        </w:rPr>
        <w:t xml:space="preserve"> </w:t>
      </w:r>
      <w:r w:rsidR="00E315F8" w:rsidRPr="0051178B">
        <w:rPr>
          <w:i/>
          <w:color w:val="000000"/>
        </w:rPr>
        <w:t>δ</w:t>
      </w:r>
      <w:r w:rsidR="00E315F8">
        <w:rPr>
          <w:color w:val="000000"/>
        </w:rPr>
        <w:t xml:space="preserve"> for each sector </w:t>
      </w:r>
      <w:r w:rsidR="00E315F8">
        <w:rPr>
          <w:i/>
          <w:color w:val="000000"/>
        </w:rPr>
        <w:t>j</w:t>
      </w:r>
      <w:r w:rsidR="00E315F8">
        <w:rPr>
          <w:color w:val="000000"/>
        </w:rPr>
        <w:t xml:space="preserve"> in a given region</w:t>
      </w:r>
      <w:r w:rsidR="00A03768">
        <w:rPr>
          <w:color w:val="000000"/>
        </w:rPr>
        <w:t>.</w:t>
      </w:r>
      <w:r>
        <w:rPr>
          <w:color w:val="000000"/>
        </w:rPr>
        <w:t xml:space="preserve"> </w:t>
      </w:r>
      <w:r w:rsidR="00A03768">
        <w:rPr>
          <w:color w:val="000000"/>
        </w:rPr>
        <w:t xml:space="preserve"> </w:t>
      </w:r>
      <w:r w:rsidR="00F07FE7">
        <w:t>We re-estimated this model for the two regions studied by Zhao and Choi</w:t>
      </w:r>
      <w:r w:rsidR="00864564">
        <w:t xml:space="preserve">, using as regressors </w:t>
      </w:r>
      <w:r w:rsidR="00864564">
        <w:rPr>
          <w:color w:val="000000"/>
        </w:rPr>
        <w:t xml:space="preserve">a region-specific variable, </w:t>
      </w:r>
      <w:r w:rsidR="00864564" w:rsidRPr="00817C35">
        <w:rPr>
          <w:i/>
        </w:rPr>
        <w:t>SLQ</w:t>
      </w:r>
      <w:r w:rsidR="00864564">
        <w:rPr>
          <w:i/>
          <w:vertAlign w:val="subscript"/>
        </w:rPr>
        <w:t>j</w:t>
      </w:r>
      <w:r w:rsidR="00864564">
        <w:t xml:space="preserve">, and three other variables </w:t>
      </w:r>
      <w:r w:rsidR="00FD2960">
        <w:t>based on</w:t>
      </w:r>
      <w:r w:rsidR="00864564">
        <w:t xml:space="preserve"> national data.</w:t>
      </w:r>
    </w:p>
    <w:p w:rsidR="007A0CEB" w:rsidRPr="005232A0" w:rsidRDefault="00B44A91" w:rsidP="005E22B7">
      <w:pPr>
        <w:widowControl w:val="0"/>
        <w:spacing w:after="0" w:line="480" w:lineRule="auto"/>
        <w:ind w:firstLine="284"/>
        <w:rPr>
          <w:color w:val="000000"/>
        </w:rPr>
      </w:pPr>
      <w:r>
        <w:t xml:space="preserve">However, </w:t>
      </w:r>
      <w:r w:rsidR="00FD2960">
        <w:t>we identified</w:t>
      </w:r>
      <w:r w:rsidR="00E25CE7">
        <w:t xml:space="preserve"> only</w:t>
      </w:r>
      <w:r w:rsidR="00E25CE7">
        <w:rPr>
          <w:color w:val="000000"/>
        </w:rPr>
        <w:t xml:space="preserve"> modest gains from using the SFLQ: for example, relative to the FLQ with </w:t>
      </w:r>
      <w:r w:rsidR="00E25CE7" w:rsidRPr="0051178B">
        <w:rPr>
          <w:i/>
          <w:color w:val="000000"/>
        </w:rPr>
        <w:t>δ</w:t>
      </w:r>
      <w:r w:rsidR="00E25CE7">
        <w:rPr>
          <w:color w:val="000000"/>
        </w:rPr>
        <w:t xml:space="preserve"> = 0.3, MAPE was reduced by 1.5 and 0.3 percentage points in Daegu and </w:t>
      </w:r>
      <w:r w:rsidR="00E25CE7">
        <w:rPr>
          <w:lang w:val="en-US"/>
        </w:rPr>
        <w:t>Gyeongbuk, respectively</w:t>
      </w:r>
      <w:r w:rsidR="00E25CE7">
        <w:rPr>
          <w:color w:val="000000"/>
        </w:rPr>
        <w:t xml:space="preserve">.  </w:t>
      </w:r>
      <w:r w:rsidR="00C30B32">
        <w:rPr>
          <w:color w:val="000000"/>
        </w:rPr>
        <w:t>As</w:t>
      </w:r>
      <w:r w:rsidR="00E25CE7">
        <w:rPr>
          <w:color w:val="000000"/>
        </w:rPr>
        <w:t xml:space="preserve"> t</w:t>
      </w:r>
      <w:r w:rsidR="0059629B">
        <w:t>he accuracy of the SFLQ depends crucially on the regression model used to es</w:t>
      </w:r>
      <w:r w:rsidR="009B66C5">
        <w:t>timate</w:t>
      </w:r>
      <w:r w:rsidR="00093DEF">
        <w:t xml:space="preserve"> the</w:t>
      </w:r>
      <w:r w:rsidR="009B66C5">
        <w:t xml:space="preserve"> </w:t>
      </w:r>
      <w:r w:rsidR="009B66C5" w:rsidRPr="0051178B">
        <w:rPr>
          <w:i/>
          <w:color w:val="000000"/>
        </w:rPr>
        <w:t>δ</w:t>
      </w:r>
      <w:r w:rsidR="009B66C5">
        <w:rPr>
          <w:i/>
          <w:color w:val="000000"/>
          <w:vertAlign w:val="subscript"/>
        </w:rPr>
        <w:t>j</w:t>
      </w:r>
      <w:r w:rsidR="00E25CE7">
        <w:rPr>
          <w:color w:val="000000"/>
        </w:rPr>
        <w:t xml:space="preserve">, </w:t>
      </w:r>
      <w:r w:rsidR="003B3550">
        <w:rPr>
          <w:color w:val="000000"/>
        </w:rPr>
        <w:t>more</w:t>
      </w:r>
      <w:r w:rsidR="000549E3">
        <w:rPr>
          <w:color w:val="000000"/>
        </w:rPr>
        <w:t xml:space="preserve"> research </w:t>
      </w:r>
      <w:r w:rsidR="00457E37">
        <w:rPr>
          <w:color w:val="000000"/>
        </w:rPr>
        <w:t>is</w:t>
      </w:r>
      <w:r w:rsidR="000549E3">
        <w:rPr>
          <w:color w:val="000000"/>
        </w:rPr>
        <w:t xml:space="preserve"> </w:t>
      </w:r>
      <w:r w:rsidR="00C30B32">
        <w:rPr>
          <w:color w:val="000000"/>
        </w:rPr>
        <w:t xml:space="preserve">clearly </w:t>
      </w:r>
      <w:r w:rsidR="00A33B20">
        <w:rPr>
          <w:color w:val="000000"/>
        </w:rPr>
        <w:t>needed</w:t>
      </w:r>
      <w:r w:rsidR="005873A0" w:rsidRPr="005232A0">
        <w:rPr>
          <w:color w:val="000000"/>
        </w:rPr>
        <w:t xml:space="preserve"> to improve </w:t>
      </w:r>
      <w:r w:rsidR="001A2D71">
        <w:rPr>
          <w:color w:val="000000"/>
        </w:rPr>
        <w:t>it</w:t>
      </w:r>
      <w:r w:rsidR="00185F2E">
        <w:rPr>
          <w:color w:val="000000"/>
        </w:rPr>
        <w:t>s</w:t>
      </w:r>
      <w:r w:rsidR="00185F2E" w:rsidRPr="005232A0">
        <w:rPr>
          <w:color w:val="000000"/>
        </w:rPr>
        <w:t xml:space="preserve"> </w:t>
      </w:r>
      <w:r w:rsidR="005873A0" w:rsidRPr="005232A0">
        <w:rPr>
          <w:color w:val="000000"/>
        </w:rPr>
        <w:t>specification.</w:t>
      </w:r>
    </w:p>
    <w:p w:rsidR="006E2D3F" w:rsidRDefault="005232A0" w:rsidP="006E2D3F">
      <w:pPr>
        <w:widowControl w:val="0"/>
        <w:tabs>
          <w:tab w:val="left" w:pos="284"/>
        </w:tabs>
        <w:spacing w:after="0" w:line="480" w:lineRule="auto"/>
        <w:ind w:firstLine="0"/>
        <w:rPr>
          <w:color w:val="000000"/>
        </w:rPr>
      </w:pPr>
      <w:r w:rsidRPr="005232A0">
        <w:rPr>
          <w:color w:val="000000"/>
        </w:rPr>
        <w:tab/>
        <w:t xml:space="preserve">Unlike </w:t>
      </w:r>
      <w:r>
        <w:rPr>
          <w:color w:val="000000"/>
        </w:rPr>
        <w:t xml:space="preserve">the </w:t>
      </w:r>
      <w:r>
        <w:rPr>
          <w:lang w:val="en-US"/>
        </w:rPr>
        <w:t>SFLQ</w:t>
      </w:r>
      <w:r w:rsidR="0049368A">
        <w:rPr>
          <w:lang w:val="en-US"/>
        </w:rPr>
        <w:t>, Flegg and Tohmo’s</w:t>
      </w:r>
      <w:r>
        <w:rPr>
          <w:lang w:val="en-US"/>
        </w:rPr>
        <w:t xml:space="preserve"> </w:t>
      </w:r>
      <w:r w:rsidR="001A2D71">
        <w:rPr>
          <w:lang w:val="en-US"/>
        </w:rPr>
        <w:t>model</w:t>
      </w:r>
      <w:r w:rsidR="0049368A">
        <w:rPr>
          <w:lang w:val="en-US"/>
        </w:rPr>
        <w:t xml:space="preserve"> uses region-specific data exclusively.  In our reformulation of this model using South Korean data, </w:t>
      </w:r>
      <w:r w:rsidR="002A46C0">
        <w:rPr>
          <w:lang w:val="en-US"/>
        </w:rPr>
        <w:t>we included regressors to</w:t>
      </w:r>
      <w:r w:rsidR="0049368A">
        <w:rPr>
          <w:lang w:val="en-US"/>
        </w:rPr>
        <w:t xml:space="preserve"> </w:t>
      </w:r>
      <w:r w:rsidR="002A46C0">
        <w:rPr>
          <w:lang w:val="en-US"/>
        </w:rPr>
        <w:t>capture</w:t>
      </w:r>
      <w:r w:rsidR="0049368A">
        <w:rPr>
          <w:lang w:val="en-US"/>
        </w:rPr>
        <w:t xml:space="preserve"> regional size and the propensities to import from other regions and from abroad.  </w:t>
      </w:r>
      <w:r w:rsidR="008053F3">
        <w:rPr>
          <w:lang w:val="en-US"/>
        </w:rPr>
        <w:t>I</w:t>
      </w:r>
      <w:r w:rsidR="0049368A">
        <w:rPr>
          <w:lang w:val="en-US"/>
        </w:rPr>
        <w:t xml:space="preserve">nterregional variation </w:t>
      </w:r>
      <w:r w:rsidR="002A46C0">
        <w:rPr>
          <w:lang w:val="en-US"/>
        </w:rPr>
        <w:t xml:space="preserve">in </w:t>
      </w:r>
      <w:r w:rsidR="0049368A">
        <w:rPr>
          <w:lang w:val="en-US"/>
        </w:rPr>
        <w:t>the propensit</w:t>
      </w:r>
      <w:r w:rsidR="002A46C0">
        <w:rPr>
          <w:lang w:val="en-US"/>
        </w:rPr>
        <w:t>y</w:t>
      </w:r>
      <w:r w:rsidR="0049368A">
        <w:rPr>
          <w:lang w:val="en-US"/>
        </w:rPr>
        <w:t xml:space="preserve"> to import from abroad </w:t>
      </w:r>
      <w:r w:rsidR="00BA7C2C">
        <w:rPr>
          <w:lang w:val="en-US"/>
        </w:rPr>
        <w:t>played a key role</w:t>
      </w:r>
      <w:r w:rsidR="000220F3">
        <w:rPr>
          <w:lang w:val="en-US"/>
        </w:rPr>
        <w:t xml:space="preserve"> in determining the value</w:t>
      </w:r>
      <w:r w:rsidR="000220F3" w:rsidRPr="000220F3">
        <w:rPr>
          <w:lang w:val="en-US"/>
        </w:rPr>
        <w:t xml:space="preserve"> </w:t>
      </w:r>
      <w:r w:rsidR="000220F3">
        <w:rPr>
          <w:lang w:val="en-US"/>
        </w:rPr>
        <w:t xml:space="preserve">of </w:t>
      </w:r>
      <w:r w:rsidR="000220F3" w:rsidRPr="0051178B">
        <w:rPr>
          <w:i/>
          <w:color w:val="000000"/>
        </w:rPr>
        <w:t>δ</w:t>
      </w:r>
      <w:r w:rsidR="00BA7C2C">
        <w:rPr>
          <w:lang w:val="en-US"/>
        </w:rPr>
        <w:t>.</w:t>
      </w:r>
      <w:r w:rsidR="00185F2E">
        <w:rPr>
          <w:lang w:val="en-US"/>
        </w:rPr>
        <w:t xml:space="preserve">  The model was </w:t>
      </w:r>
      <w:r w:rsidR="008053F3">
        <w:rPr>
          <w:lang w:val="en-US"/>
        </w:rPr>
        <w:t>found</w:t>
      </w:r>
      <w:r w:rsidR="00185F2E">
        <w:rPr>
          <w:lang w:val="en-US"/>
        </w:rPr>
        <w:t xml:space="preserve"> to be satisfactory in terms of a range of statistical criteria and </w:t>
      </w:r>
      <w:r w:rsidR="008053F3">
        <w:rPr>
          <w:lang w:val="en-US"/>
        </w:rPr>
        <w:t>gave</w:t>
      </w:r>
      <w:r w:rsidR="00185F2E">
        <w:rPr>
          <w:lang w:val="en-US"/>
        </w:rPr>
        <w:t xml:space="preserve"> relatively accurate</w:t>
      </w:r>
      <w:r w:rsidR="003E07B9">
        <w:rPr>
          <w:lang w:val="en-US"/>
        </w:rPr>
        <w:t xml:space="preserve"> estimates of </w:t>
      </w:r>
      <w:r w:rsidR="003E07B9" w:rsidRPr="0051178B">
        <w:rPr>
          <w:i/>
          <w:color w:val="000000"/>
        </w:rPr>
        <w:t>δ</w:t>
      </w:r>
      <w:r w:rsidR="003E07B9">
        <w:rPr>
          <w:color w:val="000000"/>
        </w:rPr>
        <w:t xml:space="preserve">.  </w:t>
      </w:r>
      <w:r w:rsidR="002B5E79">
        <w:rPr>
          <w:color w:val="000000"/>
        </w:rPr>
        <w:t>U</w:t>
      </w:r>
      <w:r w:rsidR="00F07204">
        <w:rPr>
          <w:color w:val="000000"/>
        </w:rPr>
        <w:t xml:space="preserve">sing </w:t>
      </w:r>
      <w:r w:rsidR="005C2FA8">
        <w:rPr>
          <w:color w:val="000000"/>
        </w:rPr>
        <w:t xml:space="preserve">this model </w:t>
      </w:r>
      <w:r w:rsidR="00F07204">
        <w:rPr>
          <w:color w:val="000000"/>
        </w:rPr>
        <w:t xml:space="preserve">to derive </w:t>
      </w:r>
      <w:r w:rsidR="008053F3">
        <w:rPr>
          <w:color w:val="000000"/>
        </w:rPr>
        <w:t>region-specific</w:t>
      </w:r>
      <w:r w:rsidR="00DF4E9B">
        <w:rPr>
          <w:color w:val="000000"/>
        </w:rPr>
        <w:t xml:space="preserve"> </w:t>
      </w:r>
      <w:r w:rsidR="00F07204">
        <w:rPr>
          <w:lang w:val="en-US"/>
        </w:rPr>
        <w:t>estimate</w:t>
      </w:r>
      <w:r w:rsidR="002B5E79">
        <w:rPr>
          <w:lang w:val="en-US"/>
        </w:rPr>
        <w:t>s</w:t>
      </w:r>
      <w:r w:rsidR="00F07204">
        <w:rPr>
          <w:lang w:val="en-US"/>
        </w:rPr>
        <w:t xml:space="preserve"> of </w:t>
      </w:r>
      <w:r w:rsidR="00F07204" w:rsidRPr="0051178B">
        <w:rPr>
          <w:i/>
          <w:color w:val="000000"/>
        </w:rPr>
        <w:t>δ</w:t>
      </w:r>
      <w:r w:rsidR="00DF4E9B">
        <w:rPr>
          <w:color w:val="000000"/>
        </w:rPr>
        <w:t xml:space="preserve"> </w:t>
      </w:r>
      <w:r w:rsidR="008053F3">
        <w:rPr>
          <w:color w:val="000000"/>
        </w:rPr>
        <w:t>lowe</w:t>
      </w:r>
      <w:r w:rsidR="005C2FA8">
        <w:rPr>
          <w:color w:val="000000"/>
        </w:rPr>
        <w:t>r</w:t>
      </w:r>
      <w:r w:rsidR="00F07204">
        <w:rPr>
          <w:color w:val="000000"/>
        </w:rPr>
        <w:t>e</w:t>
      </w:r>
      <w:r w:rsidR="00DF4E9B">
        <w:rPr>
          <w:color w:val="000000"/>
        </w:rPr>
        <w:t>d</w:t>
      </w:r>
      <w:r w:rsidR="005C2FA8">
        <w:rPr>
          <w:color w:val="000000"/>
        </w:rPr>
        <w:t xml:space="preserve"> MAPE by some 0.7</w:t>
      </w:r>
      <w:r w:rsidR="008053F3">
        <w:rPr>
          <w:color w:val="000000"/>
        </w:rPr>
        <w:t xml:space="preserve"> percentage points on average.</w:t>
      </w:r>
    </w:p>
    <w:p w:rsidR="00F36230" w:rsidRPr="00FA1247" w:rsidRDefault="0051327B" w:rsidP="006E2D3F">
      <w:pPr>
        <w:widowControl w:val="0"/>
        <w:tabs>
          <w:tab w:val="left" w:pos="284"/>
        </w:tabs>
        <w:spacing w:after="0" w:line="480" w:lineRule="auto"/>
        <w:ind w:firstLine="0"/>
        <w:rPr>
          <w:color w:val="000000"/>
        </w:rPr>
      </w:pPr>
      <w:r>
        <w:rPr>
          <w:color w:val="000000"/>
        </w:rPr>
        <w:tab/>
        <w:t xml:space="preserve">It would be fair to conclude that the </w:t>
      </w:r>
      <w:r w:rsidR="00977D92">
        <w:rPr>
          <w:color w:val="000000"/>
        </w:rPr>
        <w:t>findings</w:t>
      </w:r>
      <w:r>
        <w:rPr>
          <w:color w:val="000000"/>
        </w:rPr>
        <w:t xml:space="preserve"> in this paper offer support for </w:t>
      </w:r>
      <w:r w:rsidR="00A33B20">
        <w:rPr>
          <w:color w:val="000000"/>
        </w:rPr>
        <w:t>employ</w:t>
      </w:r>
      <w:r w:rsidR="00DF4E9B">
        <w:rPr>
          <w:color w:val="000000"/>
        </w:rPr>
        <w:t>ing</w:t>
      </w:r>
      <w:r>
        <w:rPr>
          <w:color w:val="000000"/>
        </w:rPr>
        <w:t xml:space="preserve"> the FLQ as a non-survey regionalization technique.  </w:t>
      </w:r>
      <w:r w:rsidR="00717DFC">
        <w:rPr>
          <w:color w:val="000000"/>
        </w:rPr>
        <w:t>Nonetheless</w:t>
      </w:r>
      <w:r w:rsidR="00F36230">
        <w:rPr>
          <w:color w:val="000000"/>
        </w:rPr>
        <w:t xml:space="preserve">, as with other pure non-survey methods, </w:t>
      </w:r>
      <w:r w:rsidR="002A2432">
        <w:rPr>
          <w:color w:val="000000"/>
        </w:rPr>
        <w:t xml:space="preserve">it </w:t>
      </w:r>
      <w:r>
        <w:rPr>
          <w:color w:val="000000"/>
        </w:rPr>
        <w:t>c</w:t>
      </w:r>
      <w:r w:rsidR="00F36230">
        <w:rPr>
          <w:color w:val="000000"/>
        </w:rPr>
        <w:t xml:space="preserve">an only be relied upon to </w:t>
      </w:r>
      <w:r w:rsidR="00717DFC">
        <w:rPr>
          <w:color w:val="000000"/>
        </w:rPr>
        <w:t>produce</w:t>
      </w:r>
      <w:r w:rsidR="00F36230">
        <w:rPr>
          <w:color w:val="000000"/>
        </w:rPr>
        <w:t xml:space="preserve"> a satisfactory </w:t>
      </w:r>
      <w:r w:rsidR="00F36230" w:rsidRPr="00620C16">
        <w:rPr>
          <w:color w:val="000000"/>
        </w:rPr>
        <w:t xml:space="preserve">initial </w:t>
      </w:r>
      <w:r w:rsidR="00F36230">
        <w:rPr>
          <w:color w:val="000000"/>
        </w:rPr>
        <w:t>set of regional input coefficients.  An</w:t>
      </w:r>
      <w:r w:rsidR="003D7072">
        <w:rPr>
          <w:color w:val="000000"/>
        </w:rPr>
        <w:t>alysts</w:t>
      </w:r>
      <w:r w:rsidR="00F36230">
        <w:rPr>
          <w:color w:val="000000"/>
        </w:rPr>
        <w:t xml:space="preserve"> should always </w:t>
      </w:r>
      <w:r w:rsidR="003D7072">
        <w:rPr>
          <w:color w:val="000000"/>
        </w:rPr>
        <w:t xml:space="preserve">endeavour </w:t>
      </w:r>
      <w:r w:rsidR="00F36230">
        <w:rPr>
          <w:color w:val="000000"/>
        </w:rPr>
        <w:t xml:space="preserve">to refine these estimates </w:t>
      </w:r>
      <w:r w:rsidR="00EC1BB5">
        <w:rPr>
          <w:color w:val="000000"/>
        </w:rPr>
        <w:t>via</w:t>
      </w:r>
      <w:r w:rsidR="00F36230">
        <w:rPr>
          <w:color w:val="000000"/>
        </w:rPr>
        <w:t xml:space="preserve"> informed judgement, </w:t>
      </w:r>
      <w:r w:rsidR="00EC1BB5">
        <w:rPr>
          <w:color w:val="000000"/>
        </w:rPr>
        <w:t xml:space="preserve">making use of </w:t>
      </w:r>
      <w:r w:rsidR="00F36230">
        <w:rPr>
          <w:color w:val="000000"/>
        </w:rPr>
        <w:t xml:space="preserve">any available superior data, </w:t>
      </w:r>
      <w:r w:rsidR="00977D92">
        <w:rPr>
          <w:color w:val="000000"/>
        </w:rPr>
        <w:t xml:space="preserve">carrying out </w:t>
      </w:r>
      <w:r w:rsidR="00F36230">
        <w:rPr>
          <w:color w:val="000000"/>
        </w:rPr>
        <w:t>surveys of key sectors and so on.</w:t>
      </w:r>
      <w:r w:rsidR="00F36230" w:rsidRPr="006E58AF">
        <w:rPr>
          <w:color w:val="000000"/>
        </w:rPr>
        <w:t xml:space="preserve"> </w:t>
      </w:r>
      <w:r w:rsidR="00F36230">
        <w:rPr>
          <w:color w:val="000000"/>
        </w:rPr>
        <w:t xml:space="preserve">Indeed, </w:t>
      </w:r>
      <w:r w:rsidR="005A1E4D">
        <w:rPr>
          <w:color w:val="000000"/>
        </w:rPr>
        <w:t>we would argue that</w:t>
      </w:r>
      <w:r w:rsidR="00F36230">
        <w:rPr>
          <w:color w:val="000000"/>
        </w:rPr>
        <w:t xml:space="preserve"> the FLQ </w:t>
      </w:r>
      <w:r>
        <w:rPr>
          <w:color w:val="000000"/>
        </w:rPr>
        <w:t>is</w:t>
      </w:r>
      <w:r w:rsidR="00F36230">
        <w:rPr>
          <w:color w:val="000000"/>
        </w:rPr>
        <w:t xml:space="preserve"> very well suited to building the non-survey foundations of a hybrid model.</w:t>
      </w:r>
      <w:r w:rsidR="00243239">
        <w:rPr>
          <w:b/>
          <w:color w:val="000000"/>
          <w:vertAlign w:val="superscript"/>
        </w:rPr>
        <w:t>17</w:t>
      </w:r>
      <w:r w:rsidR="00FA1247">
        <w:rPr>
          <w:color w:val="000000"/>
        </w:rPr>
        <w:t xml:space="preserve">  </w:t>
      </w:r>
      <w:r w:rsidR="002B5E79">
        <w:rPr>
          <w:color w:val="000000"/>
        </w:rPr>
        <w:t>Consideration should also be given to the use</w:t>
      </w:r>
      <w:r w:rsidR="002A2432">
        <w:rPr>
          <w:color w:val="000000"/>
        </w:rPr>
        <w:t xml:space="preserve"> of</w:t>
      </w:r>
      <w:r w:rsidR="002B5E79">
        <w:rPr>
          <w:color w:val="000000"/>
        </w:rPr>
        <w:t xml:space="preserve"> </w:t>
      </w:r>
      <w:r w:rsidR="002A2432">
        <w:rPr>
          <w:color w:val="000000"/>
        </w:rPr>
        <w:t>Flegg and Tohmo’s regression model, as reformulated in this study, and to</w:t>
      </w:r>
      <w:r w:rsidR="002B5E79">
        <w:rPr>
          <w:color w:val="000000"/>
        </w:rPr>
        <w:t xml:space="preserve"> the SFLQ.  </w:t>
      </w:r>
      <w:r w:rsidR="002D5433">
        <w:rPr>
          <w:color w:val="000000"/>
        </w:rPr>
        <w:t>It is worth noting</w:t>
      </w:r>
      <w:r w:rsidR="006B5229">
        <w:rPr>
          <w:color w:val="000000"/>
        </w:rPr>
        <w:t>, finally,</w:t>
      </w:r>
      <w:r w:rsidR="002D5433">
        <w:rPr>
          <w:color w:val="000000"/>
        </w:rPr>
        <w:t xml:space="preserve"> </w:t>
      </w:r>
      <w:r w:rsidR="006E5EC2">
        <w:rPr>
          <w:color w:val="000000"/>
        </w:rPr>
        <w:t>that interesting recent work by Hermannsson (2016) and Jahn (2016) has extend</w:t>
      </w:r>
      <w:r w:rsidR="00F07204">
        <w:rPr>
          <w:color w:val="000000"/>
        </w:rPr>
        <w:t>ed</w:t>
      </w:r>
      <w:r w:rsidR="006E5EC2">
        <w:rPr>
          <w:color w:val="000000"/>
        </w:rPr>
        <w:t xml:space="preserve"> the use of the FLQ from a</w:t>
      </w:r>
      <w:r w:rsidR="007B13E4">
        <w:rPr>
          <w:color w:val="000000"/>
        </w:rPr>
        <w:t>n analysis of</w:t>
      </w:r>
      <w:r w:rsidR="006E5EC2">
        <w:rPr>
          <w:color w:val="000000"/>
        </w:rPr>
        <w:t xml:space="preserve"> single regions to </w:t>
      </w:r>
      <w:r w:rsidR="007B13E4">
        <w:rPr>
          <w:color w:val="000000"/>
        </w:rPr>
        <w:t xml:space="preserve">a </w:t>
      </w:r>
      <w:r w:rsidR="006E5EC2">
        <w:rPr>
          <w:color w:val="000000"/>
        </w:rPr>
        <w:t>multi</w:t>
      </w:r>
      <w:r w:rsidR="007B13E4">
        <w:rPr>
          <w:color w:val="000000"/>
        </w:rPr>
        <w:t>-</w:t>
      </w:r>
      <w:r w:rsidR="006E5EC2">
        <w:rPr>
          <w:color w:val="000000"/>
        </w:rPr>
        <w:t>region</w:t>
      </w:r>
      <w:r w:rsidR="007B13E4">
        <w:rPr>
          <w:color w:val="000000"/>
        </w:rPr>
        <w:t>al context</w:t>
      </w:r>
      <w:r w:rsidR="006E5EC2">
        <w:rPr>
          <w:color w:val="000000"/>
        </w:rPr>
        <w:t>.</w:t>
      </w:r>
    </w:p>
    <w:p w:rsidR="00F36230" w:rsidRPr="008B0E17" w:rsidRDefault="00F36230" w:rsidP="00F36230">
      <w:pPr>
        <w:widowControl w:val="0"/>
        <w:tabs>
          <w:tab w:val="left" w:pos="426"/>
        </w:tabs>
        <w:spacing w:after="0"/>
        <w:ind w:firstLine="0"/>
        <w:rPr>
          <w:color w:val="000000"/>
        </w:rPr>
      </w:pPr>
    </w:p>
    <w:p w:rsidR="00613BF8" w:rsidRPr="007F3F2A" w:rsidRDefault="00613BF8" w:rsidP="00613BF8">
      <w:pPr>
        <w:spacing w:after="0" w:line="480" w:lineRule="auto"/>
        <w:ind w:firstLine="0"/>
        <w:jc w:val="left"/>
        <w:rPr>
          <w:lang w:val="en-US"/>
        </w:rPr>
      </w:pPr>
      <w:r>
        <w:rPr>
          <w:b/>
          <w:i/>
          <w:lang w:val="en-US"/>
        </w:rPr>
        <w:t>Footnotes</w:t>
      </w:r>
    </w:p>
    <w:p w:rsidR="00613BF8" w:rsidRPr="00760B29" w:rsidRDefault="00613BF8" w:rsidP="00613BF8">
      <w:pPr>
        <w:tabs>
          <w:tab w:val="left" w:pos="426"/>
        </w:tabs>
        <w:ind w:left="425" w:hanging="425"/>
        <w:rPr>
          <w:b/>
          <w:sz w:val="22"/>
          <w:szCs w:val="22"/>
        </w:rPr>
      </w:pPr>
      <w:r w:rsidRPr="00760B29">
        <w:rPr>
          <w:sz w:val="22"/>
          <w:szCs w:val="22"/>
          <w:lang w:val="en-US"/>
        </w:rPr>
        <w:t>1.</w:t>
      </w:r>
      <w:r w:rsidRPr="00760B29">
        <w:rPr>
          <w:sz w:val="22"/>
          <w:szCs w:val="22"/>
          <w:lang w:val="en-US"/>
        </w:rPr>
        <w:tab/>
      </w:r>
      <w:r w:rsidRPr="00760B29">
        <w:rPr>
          <w:sz w:val="22"/>
          <w:szCs w:val="22"/>
        </w:rPr>
        <w:t>See Flegg and Tohmo (2013b, p. 239 and note 3).</w:t>
      </w:r>
    </w:p>
    <w:p w:rsidR="00613BF8" w:rsidRPr="00760B29" w:rsidRDefault="00613BF8" w:rsidP="00613BF8">
      <w:pPr>
        <w:tabs>
          <w:tab w:val="left" w:pos="426"/>
        </w:tabs>
        <w:ind w:left="426" w:hanging="426"/>
        <w:rPr>
          <w:sz w:val="22"/>
          <w:szCs w:val="22"/>
        </w:rPr>
      </w:pPr>
      <w:r w:rsidRPr="00760B29">
        <w:rPr>
          <w:sz w:val="22"/>
          <w:szCs w:val="22"/>
        </w:rPr>
        <w:t>2.</w:t>
      </w:r>
      <w:r w:rsidRPr="00760B29">
        <w:rPr>
          <w:sz w:val="22"/>
          <w:szCs w:val="22"/>
        </w:rPr>
        <w:tab/>
        <w:t xml:space="preserve">Cf. Flegg and Webber (1997, p. 798), who define </w:t>
      </w:r>
      <w:r w:rsidRPr="00760B29">
        <w:rPr>
          <w:i/>
          <w:color w:val="000000"/>
          <w:sz w:val="22"/>
          <w:szCs w:val="22"/>
        </w:rPr>
        <w:t>λ</w:t>
      </w:r>
      <w:r w:rsidRPr="00760B29">
        <w:rPr>
          <w:i/>
          <w:color w:val="000000"/>
          <w:sz w:val="22"/>
          <w:szCs w:val="22"/>
          <w:lang w:val="sv-SE"/>
        </w:rPr>
        <w:t>*</w:t>
      </w:r>
      <w:r w:rsidRPr="00760B29">
        <w:rPr>
          <w:color w:val="000000"/>
          <w:sz w:val="22"/>
          <w:szCs w:val="22"/>
          <w:lang w:val="sv-SE"/>
        </w:rPr>
        <w:t xml:space="preserve"> in terms of employment.  This reflects the fact that, in most cases, employment has to be used as a proxy for output.</w:t>
      </w:r>
    </w:p>
    <w:p w:rsidR="00613BF8" w:rsidRPr="00760B29" w:rsidRDefault="00613BF8" w:rsidP="00613BF8">
      <w:pPr>
        <w:tabs>
          <w:tab w:val="left" w:pos="426"/>
        </w:tabs>
        <w:ind w:left="426" w:hanging="426"/>
        <w:rPr>
          <w:sz w:val="22"/>
          <w:szCs w:val="22"/>
        </w:rPr>
      </w:pPr>
      <w:r w:rsidRPr="00760B29">
        <w:rPr>
          <w:sz w:val="22"/>
          <w:szCs w:val="22"/>
        </w:rPr>
        <w:t>3.</w:t>
      </w:r>
      <w:r w:rsidRPr="00760B29">
        <w:rPr>
          <w:sz w:val="22"/>
          <w:szCs w:val="22"/>
        </w:rPr>
        <w:tab/>
        <w:t>For instance, the</w:t>
      </w:r>
      <w:r w:rsidRPr="00760B29">
        <w:rPr>
          <w:color w:val="000000"/>
          <w:sz w:val="22"/>
          <w:szCs w:val="22"/>
        </w:rPr>
        <w:t xml:space="preserve"> minimum mean relative absolute distance was 19.1% for the FLQ (with </w:t>
      </w:r>
      <w:r w:rsidRPr="00760B29">
        <w:rPr>
          <w:i/>
          <w:color w:val="000000"/>
          <w:sz w:val="22"/>
          <w:szCs w:val="22"/>
        </w:rPr>
        <w:t>δ</w:t>
      </w:r>
      <w:r w:rsidRPr="00760B29">
        <w:rPr>
          <w:color w:val="000000"/>
          <w:sz w:val="22"/>
          <w:szCs w:val="22"/>
        </w:rPr>
        <w:t xml:space="preserve"> = 0.3) but 18.3% for the AFLQ (with </w:t>
      </w:r>
      <w:r w:rsidRPr="00760B29">
        <w:rPr>
          <w:i/>
          <w:color w:val="000000"/>
          <w:sz w:val="22"/>
          <w:szCs w:val="22"/>
        </w:rPr>
        <w:t>δ</w:t>
      </w:r>
      <w:r w:rsidRPr="00760B29">
        <w:rPr>
          <w:color w:val="000000"/>
          <w:sz w:val="22"/>
          <w:szCs w:val="22"/>
        </w:rPr>
        <w:t xml:space="preserve"> = 0.4).</w:t>
      </w:r>
      <w:r w:rsidRPr="00760B29">
        <w:rPr>
          <w:sz w:val="22"/>
          <w:szCs w:val="22"/>
        </w:rPr>
        <w:t xml:space="preserve">  See Bonfiglio and Chelli (2008, table 1).</w:t>
      </w:r>
    </w:p>
    <w:p w:rsidR="00613BF8" w:rsidRPr="006061A3" w:rsidRDefault="00613BF8" w:rsidP="00613BF8">
      <w:pPr>
        <w:tabs>
          <w:tab w:val="left" w:pos="426"/>
        </w:tabs>
        <w:ind w:left="426" w:hanging="426"/>
        <w:rPr>
          <w:b/>
          <w:sz w:val="22"/>
          <w:szCs w:val="22"/>
        </w:rPr>
      </w:pPr>
      <w:r w:rsidRPr="00760B29">
        <w:rPr>
          <w:sz w:val="22"/>
          <w:szCs w:val="22"/>
        </w:rPr>
        <w:t>4.</w:t>
      </w:r>
      <w:r w:rsidRPr="00760B29">
        <w:rPr>
          <w:sz w:val="22"/>
          <w:szCs w:val="22"/>
        </w:rPr>
        <w:tab/>
      </w:r>
      <w:r>
        <w:rPr>
          <w:sz w:val="22"/>
          <w:szCs w:val="22"/>
        </w:rPr>
        <w:t>We are grateful to Professors Zhao and Choi for letting us examine their data.  This enabled us to verify that we were using the same sectoral classifications, national transactions matrix, employment data and LQs.  Even so, we were still unable to replicate their findings.</w:t>
      </w:r>
    </w:p>
    <w:p w:rsidR="00613BF8" w:rsidRPr="00244ED8" w:rsidRDefault="00613BF8" w:rsidP="00613BF8">
      <w:pPr>
        <w:tabs>
          <w:tab w:val="left" w:pos="426"/>
        </w:tabs>
        <w:ind w:left="426" w:hanging="426"/>
        <w:rPr>
          <w:sz w:val="22"/>
          <w:szCs w:val="22"/>
        </w:rPr>
      </w:pPr>
      <w:r w:rsidRPr="00760B29">
        <w:rPr>
          <w:sz w:val="22"/>
          <w:szCs w:val="22"/>
        </w:rPr>
        <w:t>5.</w:t>
      </w:r>
      <w:r w:rsidRPr="00760B29">
        <w:rPr>
          <w:sz w:val="22"/>
          <w:szCs w:val="22"/>
        </w:rPr>
        <w:tab/>
      </w:r>
      <w:r>
        <w:rPr>
          <w:sz w:val="22"/>
          <w:szCs w:val="22"/>
        </w:rPr>
        <w:t xml:space="preserve">Zhao and Choi (2015, footnote 2) recognize that the use of a type A national table would yield overestimated regional multipliers, yet they assert that this is immaterial if one’s aim is to ascertain which technique is the best for generating regional tables.  However, even if true, this is a very limited view of the purpose of detailed empirical studies in this area, which are needed in order to measure how far the performance of alternative methods differs and, crucially, to offer guidance regarding appropriate values of </w:t>
      </w:r>
      <w:r w:rsidRPr="00760B29">
        <w:rPr>
          <w:i/>
          <w:color w:val="000000"/>
          <w:sz w:val="22"/>
          <w:szCs w:val="22"/>
        </w:rPr>
        <w:t>δ</w:t>
      </w:r>
      <w:r>
        <w:rPr>
          <w:color w:val="000000"/>
          <w:sz w:val="22"/>
          <w:szCs w:val="22"/>
        </w:rPr>
        <w:t xml:space="preserve">.  </w:t>
      </w:r>
      <w:r>
        <w:rPr>
          <w:sz w:val="22"/>
          <w:szCs w:val="22"/>
        </w:rPr>
        <w:t>Zhao and Choi’s study does not yield reliable information on those aspects.</w:t>
      </w:r>
    </w:p>
    <w:p w:rsidR="00613BF8" w:rsidRDefault="00613BF8" w:rsidP="00F328B3">
      <w:pPr>
        <w:widowControl w:val="0"/>
        <w:tabs>
          <w:tab w:val="left" w:pos="426"/>
        </w:tabs>
        <w:ind w:left="425" w:hanging="425"/>
        <w:rPr>
          <w:color w:val="000000"/>
          <w:sz w:val="22"/>
          <w:szCs w:val="22"/>
        </w:rPr>
      </w:pPr>
      <w:r>
        <w:rPr>
          <w:sz w:val="22"/>
          <w:szCs w:val="22"/>
        </w:rPr>
        <w:t>6.</w:t>
      </w:r>
      <w:r>
        <w:rPr>
          <w:sz w:val="22"/>
          <w:szCs w:val="22"/>
        </w:rPr>
        <w:tab/>
        <w:t>Actually</w:t>
      </w:r>
      <w:r w:rsidRPr="00760B29">
        <w:rPr>
          <w:sz w:val="22"/>
          <w:szCs w:val="22"/>
        </w:rPr>
        <w:t xml:space="preserve">, the </w:t>
      </w:r>
      <w:r w:rsidRPr="00760B29">
        <w:rPr>
          <w:i/>
          <w:color w:val="000000"/>
          <w:sz w:val="22"/>
          <w:szCs w:val="22"/>
        </w:rPr>
        <w:t>δ</w:t>
      </w:r>
      <w:r w:rsidRPr="00760B29">
        <w:rPr>
          <w:i/>
          <w:color w:val="000000"/>
          <w:sz w:val="22"/>
          <w:szCs w:val="22"/>
          <w:vertAlign w:val="subscript"/>
        </w:rPr>
        <w:t>7</w:t>
      </w:r>
      <w:r w:rsidRPr="00760B29">
        <w:rPr>
          <w:color w:val="000000"/>
          <w:sz w:val="22"/>
          <w:szCs w:val="22"/>
        </w:rPr>
        <w:t xml:space="preserve"> = 0.000 shown in Table 7 for Daegu is a unique case where the minimum MAPE occurred at a negative value of </w:t>
      </w:r>
      <w:r w:rsidRPr="00760B29">
        <w:rPr>
          <w:i/>
          <w:color w:val="000000"/>
          <w:sz w:val="22"/>
          <w:szCs w:val="22"/>
        </w:rPr>
        <w:t>δ</w:t>
      </w:r>
      <w:r w:rsidRPr="00760B29">
        <w:rPr>
          <w:color w:val="000000"/>
          <w:sz w:val="22"/>
          <w:szCs w:val="22"/>
        </w:rPr>
        <w:t>; this is theoretically unacceptable, so a zero value was imposed.</w:t>
      </w:r>
      <w:r w:rsidR="007B694C">
        <w:rPr>
          <w:color w:val="000000"/>
          <w:sz w:val="22"/>
          <w:szCs w:val="22"/>
        </w:rPr>
        <w:t xml:space="preserve"> </w:t>
      </w:r>
      <w:r w:rsidR="007B694C" w:rsidRPr="007B694C">
        <w:rPr>
          <w:color w:val="000000"/>
          <w:sz w:val="22"/>
          <w:szCs w:val="22"/>
        </w:rPr>
        <w:t xml:space="preserve"> </w:t>
      </w:r>
      <w:r w:rsidR="007B694C">
        <w:rPr>
          <w:color w:val="000000"/>
          <w:sz w:val="22"/>
          <w:szCs w:val="22"/>
        </w:rPr>
        <w:t>W</w:t>
      </w:r>
      <w:r w:rsidR="007B694C" w:rsidRPr="007B694C">
        <w:rPr>
          <w:color w:val="000000"/>
          <w:sz w:val="22"/>
          <w:szCs w:val="22"/>
        </w:rPr>
        <w:t xml:space="preserve">hen calculating optimal values, Zhao and Choi used steps of 0.1 for </w:t>
      </w:r>
      <w:r w:rsidR="007B694C" w:rsidRPr="007B694C">
        <w:rPr>
          <w:i/>
          <w:color w:val="000000"/>
          <w:sz w:val="22"/>
          <w:szCs w:val="22"/>
        </w:rPr>
        <w:t>δ</w:t>
      </w:r>
      <w:r w:rsidR="007B694C" w:rsidRPr="007B694C">
        <w:rPr>
          <w:i/>
          <w:color w:val="000000"/>
          <w:sz w:val="22"/>
          <w:szCs w:val="22"/>
          <w:vertAlign w:val="subscript"/>
        </w:rPr>
        <w:t>j</w:t>
      </w:r>
      <w:r w:rsidR="007B694C" w:rsidRPr="007B694C">
        <w:rPr>
          <w:color w:val="000000"/>
          <w:sz w:val="22"/>
          <w:szCs w:val="22"/>
        </w:rPr>
        <w:t xml:space="preserve"> rather than 0.025, and did not interpolate between values.</w:t>
      </w:r>
    </w:p>
    <w:p w:rsidR="00243239" w:rsidRDefault="00243239" w:rsidP="00613BF8">
      <w:pPr>
        <w:tabs>
          <w:tab w:val="left" w:pos="426"/>
        </w:tabs>
        <w:ind w:left="426" w:hanging="426"/>
        <w:rPr>
          <w:color w:val="000000"/>
          <w:sz w:val="22"/>
          <w:szCs w:val="22"/>
        </w:rPr>
      </w:pPr>
      <w:r>
        <w:rPr>
          <w:color w:val="000000"/>
          <w:sz w:val="22"/>
          <w:szCs w:val="22"/>
        </w:rPr>
        <w:t>7.</w:t>
      </w:r>
      <w:r>
        <w:rPr>
          <w:color w:val="000000"/>
          <w:sz w:val="22"/>
          <w:szCs w:val="22"/>
        </w:rPr>
        <w:tab/>
      </w:r>
      <w:r w:rsidR="009127B7">
        <w:rPr>
          <w:color w:val="000000"/>
          <w:sz w:val="22"/>
          <w:szCs w:val="22"/>
        </w:rPr>
        <w:t>The results for Daegu and Gyeongbuk in Table 11 are a little different from those in Table 5.  This is because we used our own calculations of benchmark multipliers for Table 11 but the Bank of Korea’s figures for Table 5, to ensure consistency with Zhao and Choi’s data.</w:t>
      </w:r>
    </w:p>
    <w:p w:rsidR="00613BF8" w:rsidRPr="008F59C8" w:rsidRDefault="00243239" w:rsidP="00613BF8">
      <w:pPr>
        <w:tabs>
          <w:tab w:val="left" w:pos="426"/>
        </w:tabs>
        <w:ind w:left="426" w:hanging="426"/>
        <w:rPr>
          <w:color w:val="000000"/>
          <w:sz w:val="22"/>
          <w:szCs w:val="22"/>
        </w:rPr>
      </w:pPr>
      <w:r>
        <w:rPr>
          <w:color w:val="000000"/>
          <w:sz w:val="22"/>
          <w:szCs w:val="22"/>
        </w:rPr>
        <w:t>8</w:t>
      </w:r>
      <w:r w:rsidR="00613BF8">
        <w:rPr>
          <w:color w:val="000000"/>
          <w:sz w:val="22"/>
          <w:szCs w:val="22"/>
        </w:rPr>
        <w:t>.</w:t>
      </w:r>
      <w:r w:rsidR="00613BF8">
        <w:rPr>
          <w:color w:val="000000"/>
          <w:sz w:val="22"/>
          <w:szCs w:val="22"/>
        </w:rPr>
        <w:tab/>
        <w:t xml:space="preserve">The optimal </w:t>
      </w:r>
      <w:r w:rsidR="00613BF8" w:rsidRPr="008F59C8">
        <w:rPr>
          <w:i/>
          <w:color w:val="000000"/>
          <w:sz w:val="22"/>
          <w:szCs w:val="22"/>
        </w:rPr>
        <w:t xml:space="preserve">δ </w:t>
      </w:r>
      <w:r w:rsidR="00613BF8">
        <w:rPr>
          <w:color w:val="000000"/>
          <w:sz w:val="22"/>
          <w:szCs w:val="22"/>
        </w:rPr>
        <w:t>is approximately</w:t>
      </w:r>
      <w:r w:rsidR="00613BF8" w:rsidRPr="008F59C8">
        <w:rPr>
          <w:color w:val="000000"/>
          <w:sz w:val="22"/>
          <w:szCs w:val="22"/>
        </w:rPr>
        <w:t xml:space="preserve"> 0.5</w:t>
      </w:r>
      <w:r w:rsidR="003B06D2">
        <w:rPr>
          <w:color w:val="000000"/>
          <w:sz w:val="22"/>
          <w:szCs w:val="22"/>
        </w:rPr>
        <w:t>34</w:t>
      </w:r>
      <w:r w:rsidR="00613BF8">
        <w:rPr>
          <w:color w:val="000000"/>
          <w:sz w:val="22"/>
          <w:szCs w:val="22"/>
        </w:rPr>
        <w:t xml:space="preserve"> for Gyeonggi-do, 0.</w:t>
      </w:r>
      <w:r w:rsidR="009C1A47">
        <w:rPr>
          <w:color w:val="000000"/>
          <w:sz w:val="22"/>
          <w:szCs w:val="22"/>
        </w:rPr>
        <w:t>542</w:t>
      </w:r>
      <w:r w:rsidR="00613BF8">
        <w:rPr>
          <w:color w:val="000000"/>
          <w:sz w:val="22"/>
          <w:szCs w:val="22"/>
        </w:rPr>
        <w:t xml:space="preserve"> for Ulsan and 0.</w:t>
      </w:r>
      <w:r w:rsidR="003B06D2">
        <w:rPr>
          <w:color w:val="000000"/>
          <w:sz w:val="22"/>
          <w:szCs w:val="22"/>
        </w:rPr>
        <w:t xml:space="preserve">497 </w:t>
      </w:r>
      <w:r w:rsidR="00613BF8">
        <w:rPr>
          <w:color w:val="000000"/>
          <w:sz w:val="22"/>
          <w:szCs w:val="22"/>
        </w:rPr>
        <w:t>for Daejeon.</w:t>
      </w:r>
    </w:p>
    <w:p w:rsidR="00613BF8" w:rsidRDefault="00243239" w:rsidP="00613BF8">
      <w:pPr>
        <w:tabs>
          <w:tab w:val="left" w:pos="426"/>
        </w:tabs>
        <w:ind w:left="426" w:hanging="426"/>
        <w:rPr>
          <w:sz w:val="22"/>
          <w:szCs w:val="22"/>
        </w:rPr>
      </w:pPr>
      <w:r>
        <w:rPr>
          <w:color w:val="000000"/>
          <w:sz w:val="22"/>
          <w:szCs w:val="22"/>
        </w:rPr>
        <w:t>9</w:t>
      </w:r>
      <w:r w:rsidR="00613BF8">
        <w:rPr>
          <w:color w:val="000000"/>
          <w:sz w:val="22"/>
          <w:szCs w:val="22"/>
        </w:rPr>
        <w:t>.</w:t>
      </w:r>
      <w:r w:rsidR="00613BF8">
        <w:rPr>
          <w:color w:val="000000"/>
          <w:sz w:val="22"/>
          <w:szCs w:val="22"/>
        </w:rPr>
        <w:tab/>
      </w:r>
      <w:r w:rsidR="00613BF8">
        <w:rPr>
          <w:sz w:val="22"/>
          <w:szCs w:val="22"/>
        </w:rPr>
        <w:t xml:space="preserve">Zhao and Choi (2015, table 2) report the results of estimating, using South Korean data, what they refer to as ‘Flegg’s model’.  However, this </w:t>
      </w:r>
      <w:r w:rsidR="00613BF8">
        <w:rPr>
          <w:color w:val="000000"/>
          <w:sz w:val="22"/>
          <w:szCs w:val="22"/>
        </w:rPr>
        <w:t>regression</w:t>
      </w:r>
      <w:r w:rsidR="00613BF8">
        <w:rPr>
          <w:sz w:val="22"/>
          <w:szCs w:val="22"/>
        </w:rPr>
        <w:t xml:space="preserve"> has an </w:t>
      </w:r>
      <w:r w:rsidR="00613BF8" w:rsidRPr="00265656">
        <w:rPr>
          <w:i/>
          <w:sz w:val="22"/>
          <w:szCs w:val="22"/>
        </w:rPr>
        <w:t>R</w:t>
      </w:r>
      <w:r w:rsidR="00613BF8" w:rsidRPr="00265656">
        <w:rPr>
          <w:i/>
          <w:sz w:val="22"/>
          <w:szCs w:val="22"/>
          <w:vertAlign w:val="superscript"/>
        </w:rPr>
        <w:t>2</w:t>
      </w:r>
      <w:r w:rsidR="00613BF8">
        <w:rPr>
          <w:sz w:val="22"/>
          <w:szCs w:val="22"/>
        </w:rPr>
        <w:t xml:space="preserve"> = 0.003 and regional size, </w:t>
      </w:r>
      <w:r w:rsidR="00613BF8" w:rsidRPr="005217DB">
        <w:rPr>
          <w:i/>
          <w:sz w:val="22"/>
          <w:szCs w:val="22"/>
        </w:rPr>
        <w:t>R</w:t>
      </w:r>
      <w:r w:rsidR="00613BF8">
        <w:rPr>
          <w:sz w:val="22"/>
          <w:szCs w:val="22"/>
        </w:rPr>
        <w:t xml:space="preserve">, is the sole explanatory variable.  It is not explained how this result was obtained.  </w:t>
      </w:r>
      <w:r w:rsidR="00613BF8" w:rsidRPr="00C3062E">
        <w:rPr>
          <w:sz w:val="22"/>
          <w:szCs w:val="22"/>
        </w:rPr>
        <w:t xml:space="preserve">By contrast, when we regressed </w:t>
      </w:r>
      <w:r w:rsidR="00613BF8" w:rsidRPr="00C3062E">
        <w:rPr>
          <w:color w:val="000000"/>
          <w:sz w:val="22"/>
          <w:szCs w:val="22"/>
        </w:rPr>
        <w:t>ln</w:t>
      </w:r>
      <w:r w:rsidR="00613BF8" w:rsidRPr="00C3062E">
        <w:rPr>
          <w:color w:val="000000"/>
          <w:sz w:val="22"/>
          <w:szCs w:val="22"/>
          <w:vertAlign w:val="subscript"/>
        </w:rPr>
        <w:t xml:space="preserve"> </w:t>
      </w:r>
      <w:r w:rsidR="00613BF8" w:rsidRPr="00C3062E">
        <w:rPr>
          <w:i/>
          <w:color w:val="000000"/>
          <w:sz w:val="22"/>
          <w:szCs w:val="22"/>
        </w:rPr>
        <w:t>δ</w:t>
      </w:r>
      <w:r w:rsidR="00613BF8" w:rsidRPr="00C3062E">
        <w:rPr>
          <w:color w:val="000000"/>
          <w:sz w:val="22"/>
          <w:szCs w:val="22"/>
        </w:rPr>
        <w:t xml:space="preserve"> on ln</w:t>
      </w:r>
      <w:r w:rsidR="00613BF8" w:rsidRPr="00C3062E">
        <w:rPr>
          <w:color w:val="000000"/>
          <w:sz w:val="22"/>
          <w:szCs w:val="22"/>
          <w:vertAlign w:val="subscript"/>
        </w:rPr>
        <w:t xml:space="preserve"> </w:t>
      </w:r>
      <w:r w:rsidR="00613BF8" w:rsidRPr="00C3062E">
        <w:rPr>
          <w:i/>
          <w:color w:val="000000"/>
          <w:sz w:val="22"/>
          <w:szCs w:val="22"/>
        </w:rPr>
        <w:t>R</w:t>
      </w:r>
      <w:r w:rsidR="00613BF8">
        <w:rPr>
          <w:color w:val="000000"/>
          <w:sz w:val="22"/>
          <w:szCs w:val="22"/>
        </w:rPr>
        <w:t xml:space="preserve"> alone</w:t>
      </w:r>
      <w:r w:rsidR="00613BF8" w:rsidRPr="00C3062E">
        <w:rPr>
          <w:color w:val="000000"/>
          <w:sz w:val="22"/>
          <w:szCs w:val="22"/>
        </w:rPr>
        <w:t>,</w:t>
      </w:r>
      <w:r w:rsidR="00613BF8">
        <w:rPr>
          <w:color w:val="000000"/>
          <w:sz w:val="22"/>
          <w:szCs w:val="22"/>
        </w:rPr>
        <w:t xml:space="preserve"> the </w:t>
      </w:r>
      <w:r w:rsidR="00613BF8" w:rsidRPr="00C3062E">
        <w:rPr>
          <w:i/>
          <w:sz w:val="22"/>
          <w:szCs w:val="22"/>
        </w:rPr>
        <w:t>R</w:t>
      </w:r>
      <w:r w:rsidR="00613BF8" w:rsidRPr="00C3062E">
        <w:rPr>
          <w:i/>
          <w:sz w:val="22"/>
          <w:szCs w:val="22"/>
          <w:vertAlign w:val="superscript"/>
        </w:rPr>
        <w:t>2</w:t>
      </w:r>
      <w:r w:rsidR="00613BF8" w:rsidRPr="00C3062E">
        <w:rPr>
          <w:sz w:val="22"/>
          <w:szCs w:val="22"/>
        </w:rPr>
        <w:t xml:space="preserve"> = 0.3</w:t>
      </w:r>
      <w:r w:rsidR="00E73A1A">
        <w:rPr>
          <w:sz w:val="22"/>
          <w:szCs w:val="22"/>
        </w:rPr>
        <w:t>94</w:t>
      </w:r>
      <w:r w:rsidR="00613BF8" w:rsidRPr="00C3062E">
        <w:rPr>
          <w:sz w:val="22"/>
          <w:szCs w:val="22"/>
        </w:rPr>
        <w:t>.</w:t>
      </w:r>
    </w:p>
    <w:p w:rsidR="00613BF8" w:rsidRDefault="00243239" w:rsidP="00613BF8">
      <w:pPr>
        <w:widowControl w:val="0"/>
        <w:tabs>
          <w:tab w:val="left" w:pos="426"/>
        </w:tabs>
        <w:ind w:left="425" w:hanging="425"/>
        <w:rPr>
          <w:color w:val="000000"/>
          <w:sz w:val="22"/>
          <w:szCs w:val="22"/>
        </w:rPr>
      </w:pPr>
      <w:r>
        <w:rPr>
          <w:color w:val="000000"/>
          <w:sz w:val="22"/>
          <w:szCs w:val="22"/>
        </w:rPr>
        <w:t>10</w:t>
      </w:r>
      <w:r w:rsidR="00613BF8">
        <w:rPr>
          <w:color w:val="000000"/>
          <w:sz w:val="22"/>
          <w:szCs w:val="22"/>
        </w:rPr>
        <w:t>.</w:t>
      </w:r>
      <w:r w:rsidR="00613BF8">
        <w:rPr>
          <w:sz w:val="22"/>
          <w:szCs w:val="22"/>
        </w:rPr>
        <w:tab/>
        <w:t xml:space="preserve">To estimate </w:t>
      </w:r>
      <w:r w:rsidR="00E66CF0">
        <w:rPr>
          <w:sz w:val="22"/>
          <w:szCs w:val="22"/>
        </w:rPr>
        <w:t>a</w:t>
      </w:r>
      <w:r w:rsidR="00613BF8">
        <w:rPr>
          <w:sz w:val="22"/>
          <w:szCs w:val="22"/>
        </w:rPr>
        <w:t xml:space="preserve"> value</w:t>
      </w:r>
      <w:r w:rsidR="00613BF8">
        <w:rPr>
          <w:color w:val="000000"/>
          <w:sz w:val="22"/>
          <w:szCs w:val="22"/>
        </w:rPr>
        <w:t xml:space="preserve"> yielding the</w:t>
      </w:r>
      <w:r w:rsidR="00613BF8">
        <w:rPr>
          <w:sz w:val="22"/>
          <w:szCs w:val="22"/>
        </w:rPr>
        <w:t xml:space="preserve"> minimum </w:t>
      </w:r>
      <w:r w:rsidR="00613BF8" w:rsidRPr="008F59C8">
        <w:rPr>
          <w:color w:val="000000"/>
          <w:sz w:val="22"/>
          <w:szCs w:val="22"/>
        </w:rPr>
        <w:t>MAPE</w:t>
      </w:r>
      <w:r w:rsidR="00613BF8">
        <w:rPr>
          <w:color w:val="000000"/>
          <w:sz w:val="22"/>
          <w:szCs w:val="22"/>
        </w:rPr>
        <w:t xml:space="preserve"> in</w:t>
      </w:r>
      <w:r w:rsidR="00613BF8" w:rsidRPr="008F59C8">
        <w:rPr>
          <w:color w:val="000000"/>
          <w:sz w:val="22"/>
          <w:szCs w:val="22"/>
        </w:rPr>
        <w:t xml:space="preserve"> each region</w:t>
      </w:r>
      <w:r w:rsidR="00613BF8">
        <w:rPr>
          <w:color w:val="000000"/>
          <w:sz w:val="22"/>
          <w:szCs w:val="22"/>
        </w:rPr>
        <w:t xml:space="preserve">, we varied </w:t>
      </w:r>
      <w:r w:rsidR="00613BF8" w:rsidRPr="00C3062E">
        <w:rPr>
          <w:i/>
          <w:color w:val="000000"/>
          <w:sz w:val="22"/>
          <w:szCs w:val="22"/>
        </w:rPr>
        <w:t>δ</w:t>
      </w:r>
      <w:r w:rsidR="00613BF8">
        <w:rPr>
          <w:color w:val="000000"/>
          <w:sz w:val="22"/>
          <w:szCs w:val="22"/>
        </w:rPr>
        <w:t xml:space="preserve"> in steps of 0.0</w:t>
      </w:r>
      <w:r w:rsidR="00391B01">
        <w:rPr>
          <w:color w:val="000000"/>
          <w:sz w:val="22"/>
          <w:szCs w:val="22"/>
        </w:rPr>
        <w:t>001.</w:t>
      </w:r>
    </w:p>
    <w:p w:rsidR="00613BF8" w:rsidRDefault="00243239" w:rsidP="00613BF8">
      <w:pPr>
        <w:widowControl w:val="0"/>
        <w:tabs>
          <w:tab w:val="left" w:pos="426"/>
        </w:tabs>
        <w:ind w:left="425" w:hanging="425"/>
        <w:rPr>
          <w:color w:val="000000"/>
          <w:sz w:val="22"/>
          <w:szCs w:val="22"/>
        </w:rPr>
      </w:pPr>
      <w:r>
        <w:rPr>
          <w:color w:val="000000"/>
          <w:sz w:val="22"/>
          <w:szCs w:val="22"/>
        </w:rPr>
        <w:t>11</w:t>
      </w:r>
      <w:r w:rsidR="00613BF8">
        <w:rPr>
          <w:color w:val="000000"/>
          <w:sz w:val="22"/>
          <w:szCs w:val="22"/>
        </w:rPr>
        <w:t>.</w:t>
      </w:r>
      <w:r w:rsidR="00613BF8">
        <w:rPr>
          <w:color w:val="000000"/>
          <w:sz w:val="22"/>
          <w:szCs w:val="22"/>
        </w:rPr>
        <w:tab/>
      </w:r>
      <w:r w:rsidR="00613BF8" w:rsidRPr="00BE1C60">
        <w:rPr>
          <w:i/>
          <w:sz w:val="22"/>
          <w:szCs w:val="22"/>
        </w:rPr>
        <w:t>B</w:t>
      </w:r>
      <w:r w:rsidR="00613BF8" w:rsidRPr="00BE1C60">
        <w:rPr>
          <w:i/>
          <w:sz w:val="22"/>
          <w:szCs w:val="22"/>
          <w:vertAlign w:val="subscript"/>
        </w:rPr>
        <w:t>15</w:t>
      </w:r>
      <w:r w:rsidR="00613BF8">
        <w:rPr>
          <w:sz w:val="22"/>
          <w:szCs w:val="22"/>
        </w:rPr>
        <w:t xml:space="preserve"> = 1 for Daejeon and zero otherwise.  </w:t>
      </w:r>
      <w:r w:rsidR="00613BF8">
        <w:rPr>
          <w:color w:val="000000"/>
          <w:sz w:val="22"/>
          <w:szCs w:val="22"/>
        </w:rPr>
        <w:t xml:space="preserve">As the second smallest region, Daejeon is atypical in the sense that it requires an unusually high value of </w:t>
      </w:r>
      <w:r w:rsidR="00613BF8" w:rsidRPr="00C3062E">
        <w:rPr>
          <w:i/>
          <w:color w:val="000000"/>
          <w:sz w:val="22"/>
          <w:szCs w:val="22"/>
        </w:rPr>
        <w:t>δ</w:t>
      </w:r>
      <w:r w:rsidR="00613BF8">
        <w:rPr>
          <w:color w:val="000000"/>
          <w:sz w:val="22"/>
          <w:szCs w:val="22"/>
        </w:rPr>
        <w:t xml:space="preserve"> </w:t>
      </w:r>
      <w:r w:rsidR="00E66CF0">
        <w:rPr>
          <w:color w:val="000000"/>
          <w:sz w:val="22"/>
          <w:szCs w:val="22"/>
        </w:rPr>
        <w:t>≈</w:t>
      </w:r>
      <w:r w:rsidR="00613BF8">
        <w:rPr>
          <w:color w:val="000000"/>
          <w:sz w:val="22"/>
          <w:szCs w:val="22"/>
        </w:rPr>
        <w:t xml:space="preserve"> 0.</w:t>
      </w:r>
      <w:r w:rsidR="00E66CF0">
        <w:rPr>
          <w:color w:val="000000"/>
          <w:sz w:val="22"/>
          <w:szCs w:val="22"/>
        </w:rPr>
        <w:t>5</w:t>
      </w:r>
      <w:r w:rsidR="00613BF8">
        <w:rPr>
          <w:color w:val="000000"/>
          <w:sz w:val="22"/>
          <w:szCs w:val="22"/>
        </w:rPr>
        <w:t xml:space="preserve">.  Without </w:t>
      </w:r>
      <w:r w:rsidR="00613BF8" w:rsidRPr="00BE1C60">
        <w:rPr>
          <w:i/>
          <w:sz w:val="22"/>
          <w:szCs w:val="22"/>
        </w:rPr>
        <w:t>B</w:t>
      </w:r>
      <w:r w:rsidR="00613BF8" w:rsidRPr="00BE1C60">
        <w:rPr>
          <w:i/>
          <w:sz w:val="22"/>
          <w:szCs w:val="22"/>
          <w:vertAlign w:val="subscript"/>
        </w:rPr>
        <w:t>15</w:t>
      </w:r>
      <w:r w:rsidR="00613BF8">
        <w:rPr>
          <w:color w:val="000000"/>
          <w:sz w:val="22"/>
          <w:szCs w:val="22"/>
        </w:rPr>
        <w:t xml:space="preserve">, </w:t>
      </w:r>
      <w:r w:rsidR="00613BF8" w:rsidRPr="004E4D74">
        <w:rPr>
          <w:position w:val="-6"/>
        </w:rPr>
        <w:object w:dxaOrig="200" w:dyaOrig="320">
          <v:shape id="_x0000_i1049" type="#_x0000_t75" style="width:10.65pt;height:16.9pt" o:ole="">
            <v:imagedata r:id="rId56" o:title=""/>
          </v:shape>
          <o:OLEObject Type="Embed" ProgID="Equation.3" ShapeID="_x0000_i1049" DrawAspect="Content" ObjectID="_1524667236" r:id="rId57"/>
        </w:object>
      </w:r>
      <w:r w:rsidR="00613BF8">
        <w:t xml:space="preserve">= </w:t>
      </w:r>
      <w:r w:rsidR="00613BF8" w:rsidRPr="00B459B0">
        <w:rPr>
          <w:sz w:val="22"/>
          <w:szCs w:val="22"/>
        </w:rPr>
        <w:t>0</w:t>
      </w:r>
      <w:r w:rsidR="00613BF8">
        <w:t>.</w:t>
      </w:r>
      <w:r w:rsidR="00613BF8" w:rsidRPr="00942D4F">
        <w:rPr>
          <w:sz w:val="22"/>
          <w:szCs w:val="22"/>
        </w:rPr>
        <w:t>306</w:t>
      </w:r>
      <w:r w:rsidR="00613BF8">
        <w:rPr>
          <w:color w:val="000000"/>
          <w:sz w:val="22"/>
          <w:szCs w:val="22"/>
        </w:rPr>
        <w:t xml:space="preserve"> for this region.</w:t>
      </w:r>
    </w:p>
    <w:p w:rsidR="00613BF8" w:rsidRDefault="00243239" w:rsidP="00613BF8">
      <w:pPr>
        <w:widowControl w:val="0"/>
        <w:tabs>
          <w:tab w:val="left" w:pos="426"/>
        </w:tabs>
        <w:ind w:left="425" w:hanging="425"/>
        <w:rPr>
          <w:color w:val="000000"/>
          <w:sz w:val="22"/>
          <w:szCs w:val="22"/>
        </w:rPr>
      </w:pPr>
      <w:r>
        <w:rPr>
          <w:color w:val="000000"/>
          <w:sz w:val="22"/>
          <w:szCs w:val="22"/>
        </w:rPr>
        <w:t>12</w:t>
      </w:r>
      <w:r w:rsidR="00613BF8">
        <w:rPr>
          <w:color w:val="000000"/>
          <w:sz w:val="22"/>
          <w:szCs w:val="22"/>
        </w:rPr>
        <w:t>.</w:t>
      </w:r>
      <w:r w:rsidR="00613BF8">
        <w:rPr>
          <w:color w:val="000000"/>
          <w:sz w:val="22"/>
          <w:szCs w:val="22"/>
        </w:rPr>
        <w:tab/>
        <w:t xml:space="preserve">AIC = </w:t>
      </w:r>
      <w:r w:rsidR="00613BF8" w:rsidRPr="00C3062E">
        <w:rPr>
          <w:color w:val="000000"/>
          <w:sz w:val="22"/>
          <w:szCs w:val="22"/>
        </w:rPr>
        <w:t>ln</w:t>
      </w:r>
      <w:r w:rsidR="00613BF8" w:rsidRPr="00C3062E">
        <w:rPr>
          <w:color w:val="000000"/>
          <w:sz w:val="22"/>
          <w:szCs w:val="22"/>
          <w:vertAlign w:val="subscript"/>
        </w:rPr>
        <w:t xml:space="preserve"> </w:t>
      </w:r>
      <w:r w:rsidR="00613BF8">
        <w:rPr>
          <w:i/>
          <w:color w:val="000000"/>
          <w:sz w:val="22"/>
          <w:szCs w:val="22"/>
        </w:rPr>
        <w:t>L</w:t>
      </w:r>
      <w:r w:rsidR="00613BF8">
        <w:rPr>
          <w:color w:val="000000"/>
          <w:sz w:val="22"/>
          <w:szCs w:val="22"/>
        </w:rPr>
        <w:t xml:space="preserve"> </w:t>
      </w:r>
      <w:r w:rsidR="00613BF8" w:rsidRPr="00593F62">
        <w:rPr>
          <w:color w:val="000000"/>
          <w:sz w:val="22"/>
          <w:szCs w:val="22"/>
        </w:rPr>
        <w:sym w:font="Symbol" w:char="002D"/>
      </w:r>
      <w:r w:rsidR="00613BF8">
        <w:rPr>
          <w:color w:val="000000"/>
          <w:sz w:val="22"/>
          <w:szCs w:val="22"/>
        </w:rPr>
        <w:t xml:space="preserve"> (</w:t>
      </w:r>
      <w:r w:rsidR="00613BF8">
        <w:rPr>
          <w:i/>
          <w:color w:val="000000"/>
          <w:sz w:val="22"/>
          <w:szCs w:val="22"/>
        </w:rPr>
        <w:t>k</w:t>
      </w:r>
      <w:r w:rsidR="00613BF8">
        <w:rPr>
          <w:color w:val="000000"/>
          <w:sz w:val="22"/>
          <w:szCs w:val="22"/>
        </w:rPr>
        <w:t xml:space="preserve"> + 1), where </w:t>
      </w:r>
      <w:r w:rsidR="00613BF8" w:rsidRPr="00C3062E">
        <w:rPr>
          <w:color w:val="000000"/>
          <w:sz w:val="22"/>
          <w:szCs w:val="22"/>
        </w:rPr>
        <w:t>ln</w:t>
      </w:r>
      <w:r w:rsidR="00613BF8" w:rsidRPr="00C3062E">
        <w:rPr>
          <w:color w:val="000000"/>
          <w:sz w:val="22"/>
          <w:szCs w:val="22"/>
          <w:vertAlign w:val="subscript"/>
        </w:rPr>
        <w:t xml:space="preserve"> </w:t>
      </w:r>
      <w:r w:rsidR="00613BF8">
        <w:rPr>
          <w:i/>
          <w:color w:val="000000"/>
          <w:sz w:val="22"/>
          <w:szCs w:val="22"/>
        </w:rPr>
        <w:t>L</w:t>
      </w:r>
      <w:r w:rsidR="00613BF8">
        <w:rPr>
          <w:color w:val="000000"/>
          <w:sz w:val="22"/>
          <w:szCs w:val="22"/>
        </w:rPr>
        <w:t xml:space="preserve"> is the maximized log-likelihood of the regression and </w:t>
      </w:r>
      <w:r w:rsidR="00613BF8">
        <w:rPr>
          <w:i/>
          <w:color w:val="000000"/>
          <w:sz w:val="22"/>
          <w:szCs w:val="22"/>
        </w:rPr>
        <w:t>k</w:t>
      </w:r>
      <w:r w:rsidR="00613BF8">
        <w:rPr>
          <w:color w:val="000000"/>
          <w:sz w:val="22"/>
          <w:szCs w:val="22"/>
        </w:rPr>
        <w:t xml:space="preserve"> is the number of regressors.  Compared with the more conventional </w:t>
      </w:r>
      <w:r w:rsidR="00613BF8" w:rsidRPr="0071012B">
        <w:rPr>
          <w:position w:val="-4"/>
        </w:rPr>
        <w:object w:dxaOrig="340" w:dyaOrig="320">
          <v:shape id="_x0000_i1050" type="#_x0000_t75" style="width:18.15pt;height:16.9pt" o:ole="">
            <v:imagedata r:id="rId58" o:title=""/>
          </v:shape>
          <o:OLEObject Type="Embed" ProgID="Equation.3" ShapeID="_x0000_i1050" DrawAspect="Content" ObjectID="_1524667237" r:id="rId59"/>
        </w:object>
      </w:r>
      <w:r w:rsidR="00613BF8">
        <w:t>,</w:t>
      </w:r>
      <w:r w:rsidR="00613BF8">
        <w:rPr>
          <w:color w:val="000000"/>
          <w:sz w:val="22"/>
          <w:szCs w:val="22"/>
        </w:rPr>
        <w:t xml:space="preserve"> AIC takes more account of </w:t>
      </w:r>
      <w:r w:rsidR="00613BF8">
        <w:rPr>
          <w:i/>
          <w:color w:val="000000"/>
          <w:sz w:val="22"/>
          <w:szCs w:val="22"/>
        </w:rPr>
        <w:t>k</w:t>
      </w:r>
      <w:r w:rsidR="00613BF8">
        <w:rPr>
          <w:color w:val="000000"/>
          <w:sz w:val="22"/>
          <w:szCs w:val="22"/>
        </w:rPr>
        <w:t>.</w:t>
      </w:r>
    </w:p>
    <w:p w:rsidR="007066EC" w:rsidRDefault="00243239" w:rsidP="004508A9">
      <w:pPr>
        <w:tabs>
          <w:tab w:val="left" w:pos="426"/>
        </w:tabs>
        <w:ind w:left="425" w:hanging="425"/>
        <w:rPr>
          <w:sz w:val="22"/>
          <w:szCs w:val="22"/>
        </w:rPr>
      </w:pPr>
      <w:r>
        <w:rPr>
          <w:color w:val="000000"/>
          <w:sz w:val="22"/>
          <w:szCs w:val="22"/>
        </w:rPr>
        <w:t>13</w:t>
      </w:r>
      <w:r w:rsidR="00613BF8">
        <w:rPr>
          <w:color w:val="000000"/>
          <w:sz w:val="22"/>
          <w:szCs w:val="22"/>
        </w:rPr>
        <w:t>.</w:t>
      </w:r>
      <w:r w:rsidR="00613BF8">
        <w:rPr>
          <w:color w:val="000000"/>
          <w:sz w:val="22"/>
          <w:szCs w:val="22"/>
        </w:rPr>
        <w:tab/>
      </w:r>
      <w:r w:rsidR="00613BF8" w:rsidRPr="003B1C78">
        <w:rPr>
          <w:sz w:val="22"/>
          <w:szCs w:val="22"/>
        </w:rPr>
        <w:t xml:space="preserve">For instance, Bonfiglio and Chelli (2008, p. 248) generated their regional input and import coefficients randomly in the interval </w:t>
      </w:r>
      <w:r w:rsidR="00613BF8">
        <w:rPr>
          <w:sz w:val="22"/>
          <w:szCs w:val="22"/>
        </w:rPr>
        <w:t>[</w:t>
      </w:r>
      <w:r w:rsidR="00613BF8" w:rsidRPr="003B1C78">
        <w:rPr>
          <w:sz w:val="22"/>
          <w:szCs w:val="22"/>
        </w:rPr>
        <w:t>0</w:t>
      </w:r>
      <w:r w:rsidR="00613BF8">
        <w:rPr>
          <w:sz w:val="22"/>
          <w:szCs w:val="22"/>
        </w:rPr>
        <w:t xml:space="preserve">, </w:t>
      </w:r>
      <w:r w:rsidR="00613BF8" w:rsidRPr="003B1C78">
        <w:rPr>
          <w:sz w:val="22"/>
          <w:szCs w:val="22"/>
        </w:rPr>
        <w:t>1</w:t>
      </w:r>
      <w:r w:rsidR="00613BF8">
        <w:rPr>
          <w:sz w:val="22"/>
          <w:szCs w:val="22"/>
        </w:rPr>
        <w:t>]</w:t>
      </w:r>
      <w:r w:rsidR="00613BF8" w:rsidRPr="003B1C78">
        <w:rPr>
          <w:sz w:val="22"/>
          <w:szCs w:val="22"/>
        </w:rPr>
        <w:t>, yet that range does not represent a realistic representation of a real regional table, where input coefficients tend to be small, except for tho</w:t>
      </w:r>
      <w:r w:rsidR="004508A9">
        <w:rPr>
          <w:sz w:val="22"/>
          <w:szCs w:val="22"/>
        </w:rPr>
        <w:t>se along the principal diagonal.</w:t>
      </w:r>
    </w:p>
    <w:p w:rsidR="00FD7A4B" w:rsidRDefault="00243239" w:rsidP="00043FB2">
      <w:pPr>
        <w:widowControl w:val="0"/>
        <w:tabs>
          <w:tab w:val="left" w:pos="426"/>
        </w:tabs>
        <w:ind w:left="425" w:hanging="425"/>
        <w:rPr>
          <w:sz w:val="22"/>
          <w:szCs w:val="22"/>
        </w:rPr>
      </w:pPr>
      <w:r>
        <w:rPr>
          <w:color w:val="000000"/>
          <w:sz w:val="22"/>
          <w:szCs w:val="22"/>
        </w:rPr>
        <w:t>14</w:t>
      </w:r>
      <w:r w:rsidR="00FD7A4B">
        <w:rPr>
          <w:color w:val="000000"/>
          <w:sz w:val="22"/>
          <w:szCs w:val="22"/>
        </w:rPr>
        <w:t>.</w:t>
      </w:r>
      <w:r w:rsidR="00FD7A4B">
        <w:tab/>
      </w:r>
      <w:r w:rsidR="00FD7A4B" w:rsidRPr="00FD7A4B">
        <w:rPr>
          <w:sz w:val="22"/>
          <w:szCs w:val="22"/>
        </w:rPr>
        <w:t xml:space="preserve">We used </w:t>
      </w:r>
      <w:r w:rsidR="001E27C9">
        <w:rPr>
          <w:sz w:val="22"/>
          <w:szCs w:val="22"/>
        </w:rPr>
        <w:t>output</w:t>
      </w:r>
      <w:r w:rsidR="00FD7A4B" w:rsidRPr="00FD7A4B">
        <w:rPr>
          <w:sz w:val="22"/>
          <w:szCs w:val="22"/>
        </w:rPr>
        <w:t xml:space="preserve"> shares (see Table 10) to proxy RSRP</w:t>
      </w:r>
      <w:r w:rsidR="00FD7A4B">
        <w:rPr>
          <w:sz w:val="22"/>
          <w:szCs w:val="22"/>
        </w:rPr>
        <w:t>.  For PROP, we used the</w:t>
      </w:r>
      <w:r w:rsidR="001E27C9">
        <w:rPr>
          <w:sz w:val="22"/>
          <w:szCs w:val="22"/>
        </w:rPr>
        <w:t xml:space="preserve"> ratio A/B, where A = </w:t>
      </w:r>
      <w:r w:rsidR="004212E1">
        <w:rPr>
          <w:sz w:val="22"/>
          <w:szCs w:val="22"/>
        </w:rPr>
        <w:t>imports from other South Korean regions</w:t>
      </w:r>
      <w:r w:rsidR="00DB4F22">
        <w:rPr>
          <w:sz w:val="22"/>
          <w:szCs w:val="22"/>
        </w:rPr>
        <w:t>,</w:t>
      </w:r>
      <w:r w:rsidR="004212E1">
        <w:rPr>
          <w:sz w:val="22"/>
          <w:szCs w:val="22"/>
        </w:rPr>
        <w:t xml:space="preserve"> and </w:t>
      </w:r>
      <w:r w:rsidR="00096B26">
        <w:rPr>
          <w:sz w:val="22"/>
          <w:szCs w:val="22"/>
        </w:rPr>
        <w:t xml:space="preserve">B = </w:t>
      </w:r>
      <w:r w:rsidR="004212E1">
        <w:rPr>
          <w:sz w:val="22"/>
          <w:szCs w:val="22"/>
        </w:rPr>
        <w:t xml:space="preserve">A + </w:t>
      </w:r>
      <w:r w:rsidR="009620C4">
        <w:rPr>
          <w:sz w:val="22"/>
          <w:szCs w:val="22"/>
        </w:rPr>
        <w:t>intra</w:t>
      </w:r>
      <w:r w:rsidR="001E27C9">
        <w:rPr>
          <w:sz w:val="22"/>
          <w:szCs w:val="22"/>
        </w:rPr>
        <w:t xml:space="preserve">regional intermediate inputs </w:t>
      </w:r>
      <w:r w:rsidR="00986534">
        <w:rPr>
          <w:sz w:val="22"/>
          <w:szCs w:val="22"/>
        </w:rPr>
        <w:t>+</w:t>
      </w:r>
      <w:r w:rsidR="001E27C9">
        <w:rPr>
          <w:sz w:val="22"/>
          <w:szCs w:val="22"/>
        </w:rPr>
        <w:t xml:space="preserve"> imports from abroad.</w:t>
      </w:r>
    </w:p>
    <w:p w:rsidR="00EF383E" w:rsidRDefault="00243239" w:rsidP="004508A9">
      <w:pPr>
        <w:tabs>
          <w:tab w:val="left" w:pos="426"/>
        </w:tabs>
        <w:ind w:left="425" w:hanging="425"/>
        <w:rPr>
          <w:color w:val="000000"/>
          <w:sz w:val="22"/>
          <w:szCs w:val="22"/>
        </w:rPr>
      </w:pPr>
      <w:r>
        <w:rPr>
          <w:color w:val="000000"/>
          <w:sz w:val="22"/>
          <w:szCs w:val="22"/>
        </w:rPr>
        <w:t>15</w:t>
      </w:r>
      <w:r w:rsidR="00EF383E">
        <w:rPr>
          <w:color w:val="000000"/>
          <w:sz w:val="22"/>
          <w:szCs w:val="22"/>
        </w:rPr>
        <w:t>.</w:t>
      </w:r>
      <w:r w:rsidR="00EF383E">
        <w:rPr>
          <w:sz w:val="22"/>
          <w:szCs w:val="22"/>
        </w:rPr>
        <w:tab/>
        <w:t>For a more detailed evaluation of Bonfiglio’s method, see Flegg and Tohmo (2016, pp. 33</w:t>
      </w:r>
      <w:r w:rsidR="00986534" w:rsidRPr="00593F62">
        <w:rPr>
          <w:color w:val="000000"/>
          <w:sz w:val="22"/>
          <w:szCs w:val="22"/>
        </w:rPr>
        <w:sym w:font="Symbol" w:char="002D"/>
      </w:r>
      <w:r w:rsidR="00986534">
        <w:rPr>
          <w:color w:val="000000"/>
          <w:sz w:val="22"/>
          <w:szCs w:val="22"/>
        </w:rPr>
        <w:t>3</w:t>
      </w:r>
      <w:r w:rsidR="00FD13CC">
        <w:rPr>
          <w:color w:val="000000"/>
          <w:sz w:val="22"/>
          <w:szCs w:val="22"/>
        </w:rPr>
        <w:t>4</w:t>
      </w:r>
      <w:r w:rsidR="00986534">
        <w:rPr>
          <w:color w:val="000000"/>
          <w:sz w:val="22"/>
          <w:szCs w:val="22"/>
        </w:rPr>
        <w:t>).</w:t>
      </w:r>
    </w:p>
    <w:p w:rsidR="0051327B" w:rsidRDefault="00243239" w:rsidP="004508A9">
      <w:pPr>
        <w:tabs>
          <w:tab w:val="left" w:pos="426"/>
        </w:tabs>
        <w:ind w:left="425" w:hanging="425"/>
        <w:rPr>
          <w:sz w:val="22"/>
          <w:szCs w:val="22"/>
        </w:rPr>
      </w:pPr>
      <w:r>
        <w:rPr>
          <w:color w:val="000000"/>
          <w:sz w:val="22"/>
          <w:szCs w:val="22"/>
        </w:rPr>
        <w:t>16</w:t>
      </w:r>
      <w:r w:rsidR="00FD13CC">
        <w:rPr>
          <w:color w:val="000000"/>
          <w:sz w:val="22"/>
          <w:szCs w:val="22"/>
        </w:rPr>
        <w:t>.</w:t>
      </w:r>
      <w:r w:rsidR="00FD13CC">
        <w:rPr>
          <w:color w:val="000000"/>
          <w:sz w:val="22"/>
          <w:szCs w:val="22"/>
        </w:rPr>
        <w:tab/>
        <w:t>S</w:t>
      </w:r>
      <w:r w:rsidR="00FD13CC">
        <w:rPr>
          <w:sz w:val="22"/>
          <w:szCs w:val="22"/>
        </w:rPr>
        <w:t>ee Flegg and Tohmo (2016, pp. 34</w:t>
      </w:r>
      <w:r w:rsidR="00FD13CC" w:rsidRPr="00593F62">
        <w:rPr>
          <w:color w:val="000000"/>
          <w:sz w:val="22"/>
          <w:szCs w:val="22"/>
        </w:rPr>
        <w:sym w:font="Symbol" w:char="002D"/>
      </w:r>
      <w:r w:rsidR="00FD13CC">
        <w:rPr>
          <w:color w:val="000000"/>
          <w:sz w:val="22"/>
          <w:szCs w:val="22"/>
        </w:rPr>
        <w:t>35) f</w:t>
      </w:r>
      <w:r w:rsidR="00FD13CC">
        <w:rPr>
          <w:sz w:val="22"/>
          <w:szCs w:val="22"/>
        </w:rPr>
        <w:t>or a more detailed discussion of th</w:t>
      </w:r>
      <w:r w:rsidR="00E81CE7">
        <w:rPr>
          <w:sz w:val="22"/>
          <w:szCs w:val="22"/>
        </w:rPr>
        <w:t>is</w:t>
      </w:r>
      <w:r w:rsidR="00FD13CC">
        <w:rPr>
          <w:sz w:val="22"/>
          <w:szCs w:val="22"/>
        </w:rPr>
        <w:t xml:space="preserve"> approach.</w:t>
      </w:r>
    </w:p>
    <w:p w:rsidR="00FD13CC" w:rsidRPr="00FD7A4B" w:rsidRDefault="00243239" w:rsidP="004508A9">
      <w:pPr>
        <w:tabs>
          <w:tab w:val="left" w:pos="426"/>
        </w:tabs>
        <w:ind w:left="425" w:hanging="425"/>
        <w:rPr>
          <w:sz w:val="22"/>
          <w:szCs w:val="22"/>
        </w:rPr>
      </w:pPr>
      <w:r>
        <w:rPr>
          <w:color w:val="000000"/>
          <w:sz w:val="22"/>
          <w:szCs w:val="22"/>
        </w:rPr>
        <w:t>17</w:t>
      </w:r>
      <w:r w:rsidR="0051327B">
        <w:rPr>
          <w:color w:val="000000"/>
          <w:sz w:val="22"/>
          <w:szCs w:val="22"/>
        </w:rPr>
        <w:t>.</w:t>
      </w:r>
      <w:r w:rsidR="0051327B">
        <w:rPr>
          <w:color w:val="000000"/>
          <w:sz w:val="22"/>
          <w:szCs w:val="22"/>
        </w:rPr>
        <w:tab/>
      </w:r>
      <w:r w:rsidR="0090370B">
        <w:rPr>
          <w:sz w:val="22"/>
          <w:szCs w:val="22"/>
        </w:rPr>
        <w:t>S</w:t>
      </w:r>
      <w:r w:rsidR="00BC2C18">
        <w:rPr>
          <w:sz w:val="22"/>
          <w:szCs w:val="22"/>
        </w:rPr>
        <w:t>ee Jackson (1998) and Lahr (1993, 2001)</w:t>
      </w:r>
      <w:r w:rsidR="0090370B">
        <w:rPr>
          <w:sz w:val="22"/>
          <w:szCs w:val="22"/>
        </w:rPr>
        <w:t xml:space="preserve"> concerning the hybrid approach.</w:t>
      </w:r>
    </w:p>
    <w:p w:rsidR="001778D2" w:rsidRDefault="001778D2">
      <w:pPr>
        <w:spacing w:after="0"/>
        <w:ind w:firstLine="0"/>
        <w:jc w:val="left"/>
        <w:rPr>
          <w:b/>
          <w:lang w:val="en-US"/>
        </w:rPr>
      </w:pPr>
    </w:p>
    <w:p w:rsidR="006836F0" w:rsidRPr="00E76164" w:rsidRDefault="006836F0" w:rsidP="006836F0">
      <w:pPr>
        <w:spacing w:before="120"/>
        <w:ind w:firstLine="0"/>
        <w:rPr>
          <w:sz w:val="22"/>
          <w:szCs w:val="22"/>
          <w:lang w:val="en-US"/>
        </w:rPr>
      </w:pPr>
      <w:r w:rsidRPr="00B55DFC">
        <w:rPr>
          <w:b/>
          <w:sz w:val="22"/>
          <w:szCs w:val="22"/>
          <w:lang w:val="en-US"/>
        </w:rPr>
        <w:t>References</w:t>
      </w:r>
    </w:p>
    <w:p w:rsidR="006836F0" w:rsidRPr="008357D7" w:rsidRDefault="006836F0" w:rsidP="006836F0">
      <w:pPr>
        <w:ind w:firstLine="0"/>
        <w:rPr>
          <w:sz w:val="22"/>
          <w:szCs w:val="22"/>
        </w:rPr>
      </w:pPr>
      <w:r w:rsidRPr="008357D7">
        <w:rPr>
          <w:sz w:val="22"/>
          <w:szCs w:val="22"/>
        </w:rPr>
        <w:t>Bonfiglio</w:t>
      </w:r>
      <w:r>
        <w:rPr>
          <w:sz w:val="22"/>
          <w:szCs w:val="22"/>
        </w:rPr>
        <w:t>,</w:t>
      </w:r>
      <w:r w:rsidRPr="008357D7">
        <w:rPr>
          <w:sz w:val="22"/>
          <w:szCs w:val="22"/>
        </w:rPr>
        <w:t xml:space="preserve"> A. (2009) On the </w:t>
      </w:r>
      <w:r>
        <w:rPr>
          <w:sz w:val="22"/>
          <w:szCs w:val="22"/>
        </w:rPr>
        <w:t>p</w:t>
      </w:r>
      <w:r w:rsidRPr="008357D7">
        <w:rPr>
          <w:sz w:val="22"/>
          <w:szCs w:val="22"/>
        </w:rPr>
        <w:t xml:space="preserve">arameterization of </w:t>
      </w:r>
      <w:r>
        <w:rPr>
          <w:sz w:val="22"/>
          <w:szCs w:val="22"/>
        </w:rPr>
        <w:t>t</w:t>
      </w:r>
      <w:r w:rsidRPr="008357D7">
        <w:rPr>
          <w:sz w:val="22"/>
          <w:szCs w:val="22"/>
        </w:rPr>
        <w:t xml:space="preserve">echniques for </w:t>
      </w:r>
      <w:r>
        <w:rPr>
          <w:sz w:val="22"/>
          <w:szCs w:val="22"/>
        </w:rPr>
        <w:t>r</w:t>
      </w:r>
      <w:r w:rsidRPr="008357D7">
        <w:rPr>
          <w:sz w:val="22"/>
          <w:szCs w:val="22"/>
        </w:rPr>
        <w:t xml:space="preserve">epresenting </w:t>
      </w:r>
      <w:r>
        <w:rPr>
          <w:sz w:val="22"/>
          <w:szCs w:val="22"/>
        </w:rPr>
        <w:t>r</w:t>
      </w:r>
      <w:r w:rsidRPr="008357D7">
        <w:rPr>
          <w:sz w:val="22"/>
          <w:szCs w:val="22"/>
        </w:rPr>
        <w:t xml:space="preserve">egional </w:t>
      </w:r>
      <w:r>
        <w:rPr>
          <w:sz w:val="22"/>
          <w:szCs w:val="22"/>
        </w:rPr>
        <w:t>e</w:t>
      </w:r>
      <w:r w:rsidRPr="008357D7">
        <w:rPr>
          <w:sz w:val="22"/>
          <w:szCs w:val="22"/>
        </w:rPr>
        <w:t xml:space="preserve">conomic </w:t>
      </w:r>
      <w:r>
        <w:rPr>
          <w:sz w:val="22"/>
          <w:szCs w:val="22"/>
        </w:rPr>
        <w:t>s</w:t>
      </w:r>
      <w:r w:rsidRPr="008357D7">
        <w:rPr>
          <w:sz w:val="22"/>
          <w:szCs w:val="22"/>
        </w:rPr>
        <w:t>tructures</w:t>
      </w:r>
      <w:r>
        <w:rPr>
          <w:sz w:val="22"/>
          <w:szCs w:val="22"/>
        </w:rPr>
        <w:t>.</w:t>
      </w:r>
      <w:r w:rsidRPr="008357D7">
        <w:rPr>
          <w:sz w:val="22"/>
          <w:szCs w:val="22"/>
        </w:rPr>
        <w:t xml:space="preserve"> </w:t>
      </w:r>
      <w:r w:rsidRPr="008357D7">
        <w:rPr>
          <w:i/>
          <w:sz w:val="22"/>
          <w:szCs w:val="22"/>
        </w:rPr>
        <w:t>Economic Systems Research</w:t>
      </w:r>
      <w:r>
        <w:rPr>
          <w:sz w:val="22"/>
          <w:szCs w:val="22"/>
        </w:rPr>
        <w:t>,</w:t>
      </w:r>
      <w:r w:rsidRPr="008357D7">
        <w:rPr>
          <w:i/>
          <w:sz w:val="22"/>
          <w:szCs w:val="22"/>
        </w:rPr>
        <w:t xml:space="preserve"> </w:t>
      </w:r>
      <w:r w:rsidRPr="008357D7">
        <w:rPr>
          <w:sz w:val="22"/>
          <w:szCs w:val="22"/>
        </w:rPr>
        <w:t>21, 115</w:t>
      </w:r>
      <w:r w:rsidRPr="008357D7">
        <w:rPr>
          <w:sz w:val="22"/>
          <w:szCs w:val="22"/>
        </w:rPr>
        <w:sym w:font="Symbol" w:char="F02D"/>
      </w:r>
      <w:r w:rsidRPr="008357D7">
        <w:rPr>
          <w:sz w:val="22"/>
          <w:szCs w:val="22"/>
        </w:rPr>
        <w:t>127.</w:t>
      </w:r>
    </w:p>
    <w:p w:rsidR="006836F0" w:rsidRDefault="006836F0" w:rsidP="006836F0">
      <w:pPr>
        <w:widowControl w:val="0"/>
        <w:ind w:firstLine="0"/>
        <w:rPr>
          <w:sz w:val="22"/>
          <w:szCs w:val="22"/>
        </w:rPr>
      </w:pPr>
      <w:r w:rsidRPr="008357D7">
        <w:rPr>
          <w:sz w:val="22"/>
          <w:szCs w:val="22"/>
        </w:rPr>
        <w:t>Bonfiglio</w:t>
      </w:r>
      <w:r>
        <w:rPr>
          <w:sz w:val="22"/>
          <w:szCs w:val="22"/>
        </w:rPr>
        <w:t>,</w:t>
      </w:r>
      <w:r w:rsidRPr="008357D7">
        <w:rPr>
          <w:sz w:val="22"/>
          <w:szCs w:val="22"/>
        </w:rPr>
        <w:t xml:space="preserve"> A. and Chelli</w:t>
      </w:r>
      <w:r>
        <w:rPr>
          <w:sz w:val="22"/>
          <w:szCs w:val="22"/>
        </w:rPr>
        <w:t>,</w:t>
      </w:r>
      <w:r w:rsidRPr="008357D7">
        <w:rPr>
          <w:sz w:val="22"/>
          <w:szCs w:val="22"/>
        </w:rPr>
        <w:t xml:space="preserve"> </w:t>
      </w:r>
      <w:r>
        <w:rPr>
          <w:sz w:val="22"/>
          <w:szCs w:val="22"/>
        </w:rPr>
        <w:t xml:space="preserve">F. </w:t>
      </w:r>
      <w:r w:rsidRPr="008357D7">
        <w:rPr>
          <w:sz w:val="22"/>
          <w:szCs w:val="22"/>
        </w:rPr>
        <w:t xml:space="preserve">(2008) Assessing the </w:t>
      </w:r>
      <w:r>
        <w:rPr>
          <w:sz w:val="22"/>
          <w:szCs w:val="22"/>
        </w:rPr>
        <w:t>b</w:t>
      </w:r>
      <w:r w:rsidRPr="008357D7">
        <w:rPr>
          <w:sz w:val="22"/>
          <w:szCs w:val="22"/>
        </w:rPr>
        <w:t xml:space="preserve">ehaviour of </w:t>
      </w:r>
      <w:r>
        <w:rPr>
          <w:sz w:val="22"/>
          <w:szCs w:val="22"/>
        </w:rPr>
        <w:t>n</w:t>
      </w:r>
      <w:r w:rsidRPr="008357D7">
        <w:rPr>
          <w:sz w:val="22"/>
          <w:szCs w:val="22"/>
        </w:rPr>
        <w:t>on-</w:t>
      </w:r>
      <w:r>
        <w:rPr>
          <w:sz w:val="22"/>
          <w:szCs w:val="22"/>
        </w:rPr>
        <w:t>s</w:t>
      </w:r>
      <w:r w:rsidRPr="008357D7">
        <w:rPr>
          <w:sz w:val="22"/>
          <w:szCs w:val="22"/>
        </w:rPr>
        <w:t xml:space="preserve">urvey </w:t>
      </w:r>
      <w:r>
        <w:rPr>
          <w:sz w:val="22"/>
          <w:szCs w:val="22"/>
        </w:rPr>
        <w:t>m</w:t>
      </w:r>
      <w:r w:rsidRPr="008357D7">
        <w:rPr>
          <w:sz w:val="22"/>
          <w:szCs w:val="22"/>
        </w:rPr>
        <w:t xml:space="preserve">ethods for </w:t>
      </w:r>
      <w:r>
        <w:rPr>
          <w:sz w:val="22"/>
          <w:szCs w:val="22"/>
        </w:rPr>
        <w:t>c</w:t>
      </w:r>
      <w:r w:rsidRPr="008357D7">
        <w:rPr>
          <w:sz w:val="22"/>
          <w:szCs w:val="22"/>
        </w:rPr>
        <w:t xml:space="preserve">onstructing </w:t>
      </w:r>
      <w:r>
        <w:rPr>
          <w:sz w:val="22"/>
          <w:szCs w:val="22"/>
        </w:rPr>
        <w:t>r</w:t>
      </w:r>
      <w:r w:rsidRPr="008357D7">
        <w:rPr>
          <w:sz w:val="22"/>
          <w:szCs w:val="22"/>
        </w:rPr>
        <w:t xml:space="preserve">egional </w:t>
      </w:r>
      <w:r>
        <w:rPr>
          <w:sz w:val="22"/>
          <w:szCs w:val="22"/>
        </w:rPr>
        <w:t>i</w:t>
      </w:r>
      <w:r w:rsidRPr="008357D7">
        <w:rPr>
          <w:sz w:val="22"/>
          <w:szCs w:val="22"/>
        </w:rPr>
        <w:t>nput</w:t>
      </w:r>
      <w:r w:rsidRPr="008357D7">
        <w:rPr>
          <w:sz w:val="22"/>
          <w:szCs w:val="22"/>
        </w:rPr>
        <w:sym w:font="Symbol" w:char="F02D"/>
      </w:r>
      <w:r>
        <w:rPr>
          <w:sz w:val="22"/>
          <w:szCs w:val="22"/>
        </w:rPr>
        <w:t>o</w:t>
      </w:r>
      <w:r w:rsidRPr="008357D7">
        <w:rPr>
          <w:sz w:val="22"/>
          <w:szCs w:val="22"/>
        </w:rPr>
        <w:t xml:space="preserve">utput </w:t>
      </w:r>
      <w:r>
        <w:rPr>
          <w:sz w:val="22"/>
          <w:szCs w:val="22"/>
        </w:rPr>
        <w:t>t</w:t>
      </w:r>
      <w:r w:rsidRPr="008357D7">
        <w:rPr>
          <w:sz w:val="22"/>
          <w:szCs w:val="22"/>
        </w:rPr>
        <w:t>ables through</w:t>
      </w:r>
      <w:r>
        <w:rPr>
          <w:sz w:val="22"/>
          <w:szCs w:val="22"/>
        </w:rPr>
        <w:t xml:space="preserve"> a</w:t>
      </w:r>
      <w:r w:rsidRPr="008357D7">
        <w:rPr>
          <w:sz w:val="22"/>
          <w:szCs w:val="22"/>
        </w:rPr>
        <w:t xml:space="preserve"> Monte Carlo </w:t>
      </w:r>
      <w:r>
        <w:rPr>
          <w:sz w:val="22"/>
          <w:szCs w:val="22"/>
        </w:rPr>
        <w:t>s</w:t>
      </w:r>
      <w:r w:rsidRPr="008357D7">
        <w:rPr>
          <w:sz w:val="22"/>
          <w:szCs w:val="22"/>
        </w:rPr>
        <w:t>imulation</w:t>
      </w:r>
      <w:r>
        <w:rPr>
          <w:sz w:val="22"/>
          <w:szCs w:val="22"/>
        </w:rPr>
        <w:t>.</w:t>
      </w:r>
      <w:r w:rsidRPr="008357D7">
        <w:rPr>
          <w:sz w:val="22"/>
          <w:szCs w:val="22"/>
        </w:rPr>
        <w:t xml:space="preserve"> </w:t>
      </w:r>
      <w:r w:rsidRPr="008357D7">
        <w:rPr>
          <w:i/>
          <w:sz w:val="22"/>
          <w:szCs w:val="22"/>
        </w:rPr>
        <w:t>Economic Systems Research</w:t>
      </w:r>
      <w:r>
        <w:rPr>
          <w:sz w:val="22"/>
          <w:szCs w:val="22"/>
        </w:rPr>
        <w:t>,</w:t>
      </w:r>
      <w:r w:rsidRPr="008357D7">
        <w:rPr>
          <w:i/>
          <w:sz w:val="22"/>
          <w:szCs w:val="22"/>
        </w:rPr>
        <w:t xml:space="preserve"> </w:t>
      </w:r>
      <w:r w:rsidRPr="008357D7">
        <w:rPr>
          <w:sz w:val="22"/>
          <w:szCs w:val="22"/>
        </w:rPr>
        <w:t>20, 243</w:t>
      </w:r>
      <w:r w:rsidRPr="008357D7">
        <w:rPr>
          <w:sz w:val="22"/>
          <w:szCs w:val="22"/>
        </w:rPr>
        <w:sym w:font="Symbol" w:char="F02D"/>
      </w:r>
      <w:r w:rsidRPr="008357D7">
        <w:rPr>
          <w:sz w:val="22"/>
          <w:szCs w:val="22"/>
        </w:rPr>
        <w:t>258.</w:t>
      </w:r>
    </w:p>
    <w:p w:rsidR="006836F0" w:rsidRDefault="006836F0" w:rsidP="006836F0">
      <w:pPr>
        <w:widowControl w:val="0"/>
        <w:spacing w:after="60"/>
        <w:ind w:firstLine="0"/>
        <w:rPr>
          <w:sz w:val="22"/>
          <w:szCs w:val="22"/>
        </w:rPr>
      </w:pPr>
      <w:r w:rsidRPr="00E76164">
        <w:rPr>
          <w:color w:val="000000"/>
          <w:sz w:val="22"/>
          <w:szCs w:val="22"/>
        </w:rPr>
        <w:t>Flegg, A.T. and Tohmo</w:t>
      </w:r>
      <w:r>
        <w:rPr>
          <w:color w:val="000000"/>
          <w:sz w:val="22"/>
          <w:szCs w:val="22"/>
        </w:rPr>
        <w:t>, T.</w:t>
      </w:r>
      <w:r w:rsidRPr="00E76164">
        <w:rPr>
          <w:sz w:val="22"/>
          <w:szCs w:val="22"/>
        </w:rPr>
        <w:t xml:space="preserve"> (2013</w:t>
      </w:r>
      <w:r>
        <w:rPr>
          <w:sz w:val="22"/>
          <w:szCs w:val="22"/>
        </w:rPr>
        <w:t>a</w:t>
      </w:r>
      <w:r w:rsidRPr="00E76164">
        <w:rPr>
          <w:sz w:val="22"/>
          <w:szCs w:val="22"/>
        </w:rPr>
        <w:t>) Regional input</w:t>
      </w:r>
      <w:r w:rsidRPr="00E76164">
        <w:rPr>
          <w:sz w:val="22"/>
          <w:szCs w:val="22"/>
        </w:rPr>
        <w:sym w:font="Symbol" w:char="F02D"/>
      </w:r>
      <w:r w:rsidRPr="00E76164">
        <w:rPr>
          <w:sz w:val="22"/>
          <w:szCs w:val="22"/>
        </w:rPr>
        <w:t xml:space="preserve">output tables and the FLQ formula: a case study of Finland. </w:t>
      </w:r>
      <w:r w:rsidRPr="00E76164">
        <w:rPr>
          <w:i/>
          <w:sz w:val="22"/>
          <w:szCs w:val="22"/>
        </w:rPr>
        <w:t>Regional Studies</w:t>
      </w:r>
      <w:r w:rsidRPr="00E76164">
        <w:rPr>
          <w:sz w:val="22"/>
          <w:szCs w:val="22"/>
        </w:rPr>
        <w:t>, 47, 703</w:t>
      </w:r>
      <w:r w:rsidRPr="00E76164">
        <w:rPr>
          <w:sz w:val="22"/>
          <w:szCs w:val="22"/>
        </w:rPr>
        <w:sym w:font="Symbol" w:char="F02D"/>
      </w:r>
      <w:r w:rsidRPr="00E76164">
        <w:rPr>
          <w:sz w:val="22"/>
          <w:szCs w:val="22"/>
        </w:rPr>
        <w:t>721.</w:t>
      </w:r>
    </w:p>
    <w:p w:rsidR="006836F0" w:rsidRPr="00E76164" w:rsidRDefault="006836F0" w:rsidP="006836F0">
      <w:pPr>
        <w:widowControl w:val="0"/>
        <w:spacing w:after="60"/>
        <w:ind w:firstLine="0"/>
        <w:rPr>
          <w:color w:val="000000"/>
          <w:sz w:val="22"/>
          <w:szCs w:val="22"/>
        </w:rPr>
      </w:pPr>
      <w:r w:rsidRPr="00E76164">
        <w:rPr>
          <w:color w:val="000000"/>
          <w:sz w:val="22"/>
          <w:szCs w:val="22"/>
        </w:rPr>
        <w:t xml:space="preserve">Flegg, A.T. and </w:t>
      </w:r>
      <w:r>
        <w:rPr>
          <w:color w:val="000000"/>
          <w:sz w:val="22"/>
          <w:szCs w:val="22"/>
        </w:rPr>
        <w:t>T</w:t>
      </w:r>
      <w:r w:rsidRPr="00E76164">
        <w:rPr>
          <w:color w:val="000000"/>
          <w:sz w:val="22"/>
          <w:szCs w:val="22"/>
        </w:rPr>
        <w:t>ohmo</w:t>
      </w:r>
      <w:r>
        <w:rPr>
          <w:color w:val="000000"/>
          <w:sz w:val="22"/>
          <w:szCs w:val="22"/>
        </w:rPr>
        <w:t>, T.</w:t>
      </w:r>
      <w:r w:rsidRPr="00E76164">
        <w:rPr>
          <w:sz w:val="22"/>
          <w:szCs w:val="22"/>
        </w:rPr>
        <w:t xml:space="preserve"> (2013</w:t>
      </w:r>
      <w:r>
        <w:rPr>
          <w:sz w:val="22"/>
          <w:szCs w:val="22"/>
        </w:rPr>
        <w:t>b</w:t>
      </w:r>
      <w:r w:rsidRPr="00E76164">
        <w:rPr>
          <w:sz w:val="22"/>
          <w:szCs w:val="22"/>
        </w:rPr>
        <w:t>)</w:t>
      </w:r>
      <w:r>
        <w:rPr>
          <w:sz w:val="22"/>
          <w:szCs w:val="22"/>
        </w:rPr>
        <w:t xml:space="preserve"> </w:t>
      </w:r>
      <w:r w:rsidRPr="007C14AB">
        <w:rPr>
          <w:sz w:val="22"/>
          <w:szCs w:val="22"/>
        </w:rPr>
        <w:t xml:space="preserve">A </w:t>
      </w:r>
      <w:r>
        <w:rPr>
          <w:sz w:val="22"/>
          <w:szCs w:val="22"/>
        </w:rPr>
        <w:t>comment on Tobias Kronenberg’s ‘C</w:t>
      </w:r>
      <w:r w:rsidRPr="007C14AB">
        <w:rPr>
          <w:sz w:val="22"/>
          <w:szCs w:val="22"/>
        </w:rPr>
        <w:t xml:space="preserve">onstruction of </w:t>
      </w:r>
      <w:r>
        <w:rPr>
          <w:sz w:val="22"/>
          <w:szCs w:val="22"/>
        </w:rPr>
        <w:t>r</w:t>
      </w:r>
      <w:r w:rsidRPr="007C14AB">
        <w:rPr>
          <w:sz w:val="22"/>
          <w:szCs w:val="22"/>
        </w:rPr>
        <w:t xml:space="preserve">egional </w:t>
      </w:r>
      <w:r>
        <w:rPr>
          <w:sz w:val="22"/>
          <w:szCs w:val="22"/>
        </w:rPr>
        <w:t>i</w:t>
      </w:r>
      <w:r w:rsidRPr="007C14AB">
        <w:rPr>
          <w:sz w:val="22"/>
          <w:szCs w:val="22"/>
        </w:rPr>
        <w:t>nput</w:t>
      </w:r>
      <w:r w:rsidRPr="007C14AB">
        <w:rPr>
          <w:sz w:val="22"/>
          <w:szCs w:val="22"/>
        </w:rPr>
        <w:sym w:font="Symbol" w:char="F02D"/>
      </w:r>
      <w:r>
        <w:rPr>
          <w:sz w:val="22"/>
          <w:szCs w:val="22"/>
        </w:rPr>
        <w:t>o</w:t>
      </w:r>
      <w:r w:rsidRPr="007C14AB">
        <w:rPr>
          <w:sz w:val="22"/>
          <w:szCs w:val="22"/>
        </w:rPr>
        <w:t xml:space="preserve">utput </w:t>
      </w:r>
      <w:r>
        <w:rPr>
          <w:sz w:val="22"/>
          <w:szCs w:val="22"/>
        </w:rPr>
        <w:t>t</w:t>
      </w:r>
      <w:r w:rsidRPr="007C14AB">
        <w:rPr>
          <w:sz w:val="22"/>
          <w:szCs w:val="22"/>
        </w:rPr>
        <w:t xml:space="preserve">ables </w:t>
      </w:r>
      <w:r>
        <w:rPr>
          <w:sz w:val="22"/>
          <w:szCs w:val="22"/>
        </w:rPr>
        <w:t>u</w:t>
      </w:r>
      <w:r w:rsidRPr="007C14AB">
        <w:rPr>
          <w:sz w:val="22"/>
          <w:szCs w:val="22"/>
        </w:rPr>
        <w:t xml:space="preserve">sing </w:t>
      </w:r>
      <w:r>
        <w:rPr>
          <w:sz w:val="22"/>
          <w:szCs w:val="22"/>
        </w:rPr>
        <w:t>n</w:t>
      </w:r>
      <w:r w:rsidRPr="007C14AB">
        <w:rPr>
          <w:sz w:val="22"/>
          <w:szCs w:val="22"/>
        </w:rPr>
        <w:t xml:space="preserve">onsurvey </w:t>
      </w:r>
      <w:r>
        <w:rPr>
          <w:sz w:val="22"/>
          <w:szCs w:val="22"/>
        </w:rPr>
        <w:t>m</w:t>
      </w:r>
      <w:r w:rsidRPr="007C14AB">
        <w:rPr>
          <w:sz w:val="22"/>
          <w:szCs w:val="22"/>
        </w:rPr>
        <w:t xml:space="preserve">ethods: </w:t>
      </w:r>
      <w:r>
        <w:rPr>
          <w:sz w:val="22"/>
          <w:szCs w:val="22"/>
        </w:rPr>
        <w:t>t</w:t>
      </w:r>
      <w:r w:rsidRPr="007C14AB">
        <w:rPr>
          <w:sz w:val="22"/>
          <w:szCs w:val="22"/>
        </w:rPr>
        <w:t xml:space="preserve">he </w:t>
      </w:r>
      <w:r>
        <w:rPr>
          <w:sz w:val="22"/>
          <w:szCs w:val="22"/>
        </w:rPr>
        <w:t>r</w:t>
      </w:r>
      <w:r w:rsidRPr="007C14AB">
        <w:rPr>
          <w:sz w:val="22"/>
          <w:szCs w:val="22"/>
        </w:rPr>
        <w:t xml:space="preserve">ole of </w:t>
      </w:r>
      <w:r>
        <w:rPr>
          <w:sz w:val="22"/>
          <w:szCs w:val="22"/>
        </w:rPr>
        <w:t>c</w:t>
      </w:r>
      <w:r w:rsidRPr="007C14AB">
        <w:rPr>
          <w:sz w:val="22"/>
          <w:szCs w:val="22"/>
        </w:rPr>
        <w:t>ross-</w:t>
      </w:r>
      <w:r>
        <w:rPr>
          <w:sz w:val="22"/>
          <w:szCs w:val="22"/>
        </w:rPr>
        <w:t>h</w:t>
      </w:r>
      <w:r w:rsidRPr="007C14AB">
        <w:rPr>
          <w:sz w:val="22"/>
          <w:szCs w:val="22"/>
        </w:rPr>
        <w:t>auling</w:t>
      </w:r>
      <w:r>
        <w:rPr>
          <w:sz w:val="22"/>
          <w:szCs w:val="22"/>
        </w:rPr>
        <w:t>’.</w:t>
      </w:r>
      <w:r w:rsidRPr="007C14AB">
        <w:rPr>
          <w:sz w:val="22"/>
          <w:szCs w:val="22"/>
        </w:rPr>
        <w:t xml:space="preserve"> </w:t>
      </w:r>
      <w:r w:rsidRPr="007C14AB">
        <w:rPr>
          <w:i/>
          <w:sz w:val="22"/>
          <w:szCs w:val="22"/>
        </w:rPr>
        <w:t>International Regional Science Review</w:t>
      </w:r>
      <w:r w:rsidRPr="007C14AB">
        <w:rPr>
          <w:sz w:val="22"/>
          <w:szCs w:val="22"/>
        </w:rPr>
        <w:t>,</w:t>
      </w:r>
      <w:r w:rsidRPr="003D07A2">
        <w:rPr>
          <w:sz w:val="22"/>
          <w:szCs w:val="22"/>
        </w:rPr>
        <w:t xml:space="preserve"> </w:t>
      </w:r>
      <w:r>
        <w:rPr>
          <w:sz w:val="22"/>
          <w:szCs w:val="22"/>
        </w:rPr>
        <w:t>36</w:t>
      </w:r>
      <w:r w:rsidRPr="008357D7">
        <w:rPr>
          <w:sz w:val="22"/>
          <w:szCs w:val="22"/>
        </w:rPr>
        <w:t>, 23</w:t>
      </w:r>
      <w:r>
        <w:rPr>
          <w:sz w:val="22"/>
          <w:szCs w:val="22"/>
        </w:rPr>
        <w:t>5</w:t>
      </w:r>
      <w:r w:rsidRPr="008357D7">
        <w:rPr>
          <w:sz w:val="22"/>
          <w:szCs w:val="22"/>
        </w:rPr>
        <w:sym w:font="Symbol" w:char="F02D"/>
      </w:r>
      <w:r>
        <w:rPr>
          <w:sz w:val="22"/>
          <w:szCs w:val="22"/>
        </w:rPr>
        <w:t>2</w:t>
      </w:r>
      <w:r w:rsidRPr="008357D7">
        <w:rPr>
          <w:sz w:val="22"/>
          <w:szCs w:val="22"/>
        </w:rPr>
        <w:t>5</w:t>
      </w:r>
      <w:r>
        <w:rPr>
          <w:sz w:val="22"/>
          <w:szCs w:val="22"/>
        </w:rPr>
        <w:t>7.</w:t>
      </w:r>
    </w:p>
    <w:p w:rsidR="006836F0" w:rsidRDefault="006836F0" w:rsidP="006836F0">
      <w:pPr>
        <w:spacing w:after="60"/>
        <w:ind w:firstLine="0"/>
        <w:rPr>
          <w:sz w:val="22"/>
          <w:szCs w:val="22"/>
        </w:rPr>
      </w:pPr>
      <w:r w:rsidRPr="00E76164">
        <w:rPr>
          <w:color w:val="000000"/>
          <w:sz w:val="22"/>
          <w:szCs w:val="22"/>
        </w:rPr>
        <w:t>Flegg, A.T. and Tohmo</w:t>
      </w:r>
      <w:r>
        <w:rPr>
          <w:color w:val="000000"/>
          <w:sz w:val="22"/>
          <w:szCs w:val="22"/>
        </w:rPr>
        <w:t>, T.</w:t>
      </w:r>
      <w:r w:rsidRPr="00E76164">
        <w:rPr>
          <w:sz w:val="22"/>
          <w:szCs w:val="22"/>
        </w:rPr>
        <w:t xml:space="preserve"> (2016) Estimating regional input coefficients and multipliers: the use of FLQ is not a gamble. </w:t>
      </w:r>
      <w:r w:rsidRPr="00E76164">
        <w:rPr>
          <w:i/>
          <w:sz w:val="22"/>
          <w:szCs w:val="22"/>
        </w:rPr>
        <w:t>Regional Studies</w:t>
      </w:r>
      <w:r w:rsidRPr="00E76164">
        <w:rPr>
          <w:sz w:val="22"/>
          <w:szCs w:val="22"/>
        </w:rPr>
        <w:t>, 50,</w:t>
      </w:r>
      <w:r>
        <w:rPr>
          <w:sz w:val="22"/>
          <w:szCs w:val="22"/>
        </w:rPr>
        <w:t xml:space="preserve"> </w:t>
      </w:r>
      <w:r w:rsidRPr="00E76164">
        <w:rPr>
          <w:sz w:val="22"/>
          <w:szCs w:val="22"/>
        </w:rPr>
        <w:t>3</w:t>
      </w:r>
      <w:r>
        <w:rPr>
          <w:sz w:val="22"/>
          <w:szCs w:val="22"/>
        </w:rPr>
        <w:t>10</w:t>
      </w:r>
      <w:r w:rsidRPr="00E76164">
        <w:rPr>
          <w:sz w:val="22"/>
          <w:szCs w:val="22"/>
        </w:rPr>
        <w:sym w:font="Symbol" w:char="F02D"/>
      </w:r>
      <w:r>
        <w:rPr>
          <w:sz w:val="22"/>
          <w:szCs w:val="22"/>
        </w:rPr>
        <w:t>3</w:t>
      </w:r>
      <w:r w:rsidRPr="00E76164">
        <w:rPr>
          <w:sz w:val="22"/>
          <w:szCs w:val="22"/>
        </w:rPr>
        <w:t>2</w:t>
      </w:r>
      <w:r>
        <w:rPr>
          <w:sz w:val="22"/>
          <w:szCs w:val="22"/>
        </w:rPr>
        <w:t>5</w:t>
      </w:r>
      <w:r w:rsidRPr="00E76164">
        <w:rPr>
          <w:sz w:val="22"/>
          <w:szCs w:val="22"/>
        </w:rPr>
        <w:t>.</w:t>
      </w:r>
    </w:p>
    <w:p w:rsidR="006836F0" w:rsidRPr="00100FB9" w:rsidRDefault="006836F0" w:rsidP="006836F0">
      <w:pPr>
        <w:spacing w:after="60"/>
        <w:ind w:firstLine="0"/>
        <w:rPr>
          <w:sz w:val="22"/>
          <w:szCs w:val="22"/>
        </w:rPr>
      </w:pPr>
      <w:r w:rsidRPr="00100FB9">
        <w:rPr>
          <w:color w:val="000000"/>
          <w:sz w:val="22"/>
          <w:szCs w:val="22"/>
        </w:rPr>
        <w:t xml:space="preserve">Flegg, A.T., Huang, Y. and Tohmo, T. </w:t>
      </w:r>
      <w:r w:rsidRPr="00100FB9">
        <w:rPr>
          <w:sz w:val="22"/>
          <w:szCs w:val="22"/>
        </w:rPr>
        <w:t xml:space="preserve">(2015) </w:t>
      </w:r>
      <w:r w:rsidRPr="00100FB9">
        <w:rPr>
          <w:sz w:val="22"/>
          <w:szCs w:val="22"/>
          <w:lang w:val="en-US"/>
        </w:rPr>
        <w:t xml:space="preserve">Using CHARM to adjust for cross-hauling: the case of the province of Hubei, China. </w:t>
      </w:r>
      <w:r w:rsidRPr="00100FB9">
        <w:rPr>
          <w:i/>
          <w:sz w:val="22"/>
          <w:szCs w:val="22"/>
          <w:lang w:val="en-US"/>
        </w:rPr>
        <w:t>Economic Systems Research</w:t>
      </w:r>
      <w:r w:rsidRPr="00100FB9">
        <w:rPr>
          <w:sz w:val="22"/>
          <w:szCs w:val="22"/>
          <w:lang w:val="en-US"/>
        </w:rPr>
        <w:t xml:space="preserve">, </w:t>
      </w:r>
      <w:r w:rsidRPr="00100FB9">
        <w:rPr>
          <w:sz w:val="22"/>
          <w:szCs w:val="22"/>
        </w:rPr>
        <w:t>27, 391</w:t>
      </w:r>
      <w:r w:rsidRPr="00100FB9">
        <w:rPr>
          <w:sz w:val="22"/>
          <w:szCs w:val="22"/>
        </w:rPr>
        <w:sym w:font="Symbol" w:char="F02D"/>
      </w:r>
      <w:r w:rsidRPr="00100FB9">
        <w:rPr>
          <w:sz w:val="22"/>
          <w:szCs w:val="22"/>
        </w:rPr>
        <w:t>413.</w:t>
      </w:r>
    </w:p>
    <w:p w:rsidR="006836F0" w:rsidRDefault="006836F0" w:rsidP="006836F0">
      <w:pPr>
        <w:ind w:firstLine="0"/>
        <w:rPr>
          <w:sz w:val="22"/>
          <w:szCs w:val="22"/>
        </w:rPr>
      </w:pPr>
      <w:r w:rsidRPr="00E76164">
        <w:rPr>
          <w:color w:val="000000"/>
          <w:sz w:val="22"/>
          <w:szCs w:val="22"/>
        </w:rPr>
        <w:t>Flegg, A.T., Mastronardi</w:t>
      </w:r>
      <w:r>
        <w:rPr>
          <w:color w:val="000000"/>
          <w:sz w:val="22"/>
          <w:szCs w:val="22"/>
        </w:rPr>
        <w:t>,</w:t>
      </w:r>
      <w:r w:rsidRPr="00E76164">
        <w:rPr>
          <w:color w:val="000000"/>
          <w:sz w:val="22"/>
          <w:szCs w:val="22"/>
        </w:rPr>
        <w:t xml:space="preserve"> L.J. and Romero</w:t>
      </w:r>
      <w:r>
        <w:rPr>
          <w:color w:val="000000"/>
          <w:sz w:val="22"/>
          <w:szCs w:val="22"/>
        </w:rPr>
        <w:t>,</w:t>
      </w:r>
      <w:r w:rsidRPr="00E76164">
        <w:rPr>
          <w:sz w:val="22"/>
          <w:szCs w:val="22"/>
        </w:rPr>
        <w:t xml:space="preserve"> </w:t>
      </w:r>
      <w:r w:rsidRPr="00E76164">
        <w:rPr>
          <w:color w:val="000000"/>
          <w:sz w:val="22"/>
          <w:szCs w:val="22"/>
        </w:rPr>
        <w:t xml:space="preserve">C.A. </w:t>
      </w:r>
      <w:r w:rsidRPr="00E76164">
        <w:rPr>
          <w:sz w:val="22"/>
          <w:szCs w:val="22"/>
        </w:rPr>
        <w:t>(201</w:t>
      </w:r>
      <w:r>
        <w:rPr>
          <w:sz w:val="22"/>
          <w:szCs w:val="22"/>
        </w:rPr>
        <w:t>6</w:t>
      </w:r>
      <w:r w:rsidRPr="00E76164">
        <w:rPr>
          <w:sz w:val="22"/>
          <w:szCs w:val="22"/>
        </w:rPr>
        <w:t>)</w:t>
      </w:r>
      <w:r w:rsidRPr="00E76164">
        <w:rPr>
          <w:sz w:val="22"/>
          <w:szCs w:val="22"/>
          <w:lang w:val="en-US"/>
        </w:rPr>
        <w:t xml:space="preserve"> Evaluating the FLQ and AFLQ formulae for estimating regional input coefficients: empirical evidence for the province of Córdoba, Argentina. </w:t>
      </w:r>
      <w:r w:rsidRPr="00E76164">
        <w:rPr>
          <w:i/>
          <w:sz w:val="22"/>
          <w:szCs w:val="22"/>
          <w:lang w:val="en-US"/>
        </w:rPr>
        <w:t>Economic Systems Research</w:t>
      </w:r>
      <w:r w:rsidRPr="00E76164">
        <w:rPr>
          <w:sz w:val="22"/>
          <w:szCs w:val="22"/>
          <w:lang w:val="en-US"/>
        </w:rPr>
        <w:t xml:space="preserve">, </w:t>
      </w:r>
      <w:r w:rsidRPr="00E76164">
        <w:rPr>
          <w:sz w:val="22"/>
          <w:szCs w:val="22"/>
        </w:rPr>
        <w:t>2</w:t>
      </w:r>
      <w:r>
        <w:rPr>
          <w:sz w:val="22"/>
          <w:szCs w:val="22"/>
        </w:rPr>
        <w:t>8</w:t>
      </w:r>
      <w:r w:rsidRPr="00E76164">
        <w:rPr>
          <w:sz w:val="22"/>
          <w:szCs w:val="22"/>
        </w:rPr>
        <w:t>, 2</w:t>
      </w:r>
      <w:r>
        <w:rPr>
          <w:sz w:val="22"/>
          <w:szCs w:val="22"/>
        </w:rPr>
        <w:t>1</w:t>
      </w:r>
      <w:r w:rsidRPr="00E76164">
        <w:rPr>
          <w:sz w:val="22"/>
          <w:szCs w:val="22"/>
        </w:rPr>
        <w:sym w:font="Symbol" w:char="F02D"/>
      </w:r>
      <w:r>
        <w:rPr>
          <w:sz w:val="22"/>
          <w:szCs w:val="22"/>
        </w:rPr>
        <w:t>37</w:t>
      </w:r>
      <w:r w:rsidRPr="00E76164">
        <w:rPr>
          <w:sz w:val="22"/>
          <w:szCs w:val="22"/>
        </w:rPr>
        <w:t>.</w:t>
      </w:r>
    </w:p>
    <w:p w:rsidR="006836F0" w:rsidRPr="008357D7" w:rsidRDefault="006836F0" w:rsidP="006836F0">
      <w:pPr>
        <w:pStyle w:val="Normaali1"/>
        <w:tabs>
          <w:tab w:val="left" w:pos="426"/>
        </w:tabs>
        <w:spacing w:after="120" w:line="240" w:lineRule="auto"/>
        <w:rPr>
          <w:rFonts w:ascii="Times New Roman" w:hAnsi="Times New Roman"/>
          <w:sz w:val="22"/>
          <w:szCs w:val="22"/>
          <w:lang w:val="en-GB"/>
        </w:rPr>
      </w:pPr>
      <w:r w:rsidRPr="008357D7">
        <w:rPr>
          <w:rFonts w:ascii="Times New Roman" w:hAnsi="Times New Roman"/>
          <w:sz w:val="22"/>
          <w:szCs w:val="22"/>
          <w:lang w:val="en-GB"/>
        </w:rPr>
        <w:t>Flegg</w:t>
      </w:r>
      <w:r>
        <w:rPr>
          <w:rFonts w:ascii="Times New Roman" w:hAnsi="Times New Roman"/>
          <w:sz w:val="22"/>
          <w:szCs w:val="22"/>
          <w:lang w:val="en-GB"/>
        </w:rPr>
        <w:t>,</w:t>
      </w:r>
      <w:r w:rsidRPr="008357D7">
        <w:rPr>
          <w:rFonts w:ascii="Times New Roman" w:hAnsi="Times New Roman"/>
          <w:sz w:val="22"/>
          <w:szCs w:val="22"/>
          <w:lang w:val="en-GB"/>
        </w:rPr>
        <w:t xml:space="preserve"> A.T. and C.D. Webber (1997) On the </w:t>
      </w:r>
      <w:r>
        <w:rPr>
          <w:rFonts w:ascii="Times New Roman" w:hAnsi="Times New Roman"/>
          <w:sz w:val="22"/>
          <w:szCs w:val="22"/>
          <w:lang w:val="en-GB"/>
        </w:rPr>
        <w:t>a</w:t>
      </w:r>
      <w:r w:rsidRPr="008357D7">
        <w:rPr>
          <w:rFonts w:ascii="Times New Roman" w:hAnsi="Times New Roman"/>
          <w:sz w:val="22"/>
          <w:szCs w:val="22"/>
          <w:lang w:val="en-GB"/>
        </w:rPr>
        <w:t xml:space="preserve">ppropriate </w:t>
      </w:r>
      <w:r>
        <w:rPr>
          <w:rFonts w:ascii="Times New Roman" w:hAnsi="Times New Roman"/>
          <w:sz w:val="22"/>
          <w:szCs w:val="22"/>
          <w:lang w:val="en-GB"/>
        </w:rPr>
        <w:t>u</w:t>
      </w:r>
      <w:r w:rsidRPr="008357D7">
        <w:rPr>
          <w:rFonts w:ascii="Times New Roman" w:hAnsi="Times New Roman"/>
          <w:sz w:val="22"/>
          <w:szCs w:val="22"/>
          <w:lang w:val="en-GB"/>
        </w:rPr>
        <w:t xml:space="preserve">se of </w:t>
      </w:r>
      <w:r>
        <w:rPr>
          <w:rFonts w:ascii="Times New Roman" w:hAnsi="Times New Roman"/>
          <w:sz w:val="22"/>
          <w:szCs w:val="22"/>
          <w:lang w:val="en-GB"/>
        </w:rPr>
        <w:t>l</w:t>
      </w:r>
      <w:r w:rsidRPr="008357D7">
        <w:rPr>
          <w:rFonts w:ascii="Times New Roman" w:hAnsi="Times New Roman"/>
          <w:sz w:val="22"/>
          <w:szCs w:val="22"/>
          <w:lang w:val="en-GB"/>
        </w:rPr>
        <w:t xml:space="preserve">ocation </w:t>
      </w:r>
      <w:r>
        <w:rPr>
          <w:rFonts w:ascii="Times New Roman" w:hAnsi="Times New Roman"/>
          <w:sz w:val="22"/>
          <w:szCs w:val="22"/>
          <w:lang w:val="en-GB"/>
        </w:rPr>
        <w:t>q</w:t>
      </w:r>
      <w:r w:rsidRPr="008357D7">
        <w:rPr>
          <w:rFonts w:ascii="Times New Roman" w:hAnsi="Times New Roman"/>
          <w:sz w:val="22"/>
          <w:szCs w:val="22"/>
          <w:lang w:val="en-GB"/>
        </w:rPr>
        <w:t xml:space="preserve">uotients in </w:t>
      </w:r>
      <w:r>
        <w:rPr>
          <w:rFonts w:ascii="Times New Roman" w:hAnsi="Times New Roman"/>
          <w:sz w:val="22"/>
          <w:szCs w:val="22"/>
          <w:lang w:val="en-GB"/>
        </w:rPr>
        <w:t>g</w:t>
      </w:r>
      <w:r w:rsidRPr="008357D7">
        <w:rPr>
          <w:rFonts w:ascii="Times New Roman" w:hAnsi="Times New Roman"/>
          <w:sz w:val="22"/>
          <w:szCs w:val="22"/>
          <w:lang w:val="en-GB"/>
        </w:rPr>
        <w:t xml:space="preserve">enerating </w:t>
      </w:r>
      <w:r>
        <w:rPr>
          <w:rFonts w:ascii="Times New Roman" w:hAnsi="Times New Roman"/>
          <w:sz w:val="22"/>
          <w:szCs w:val="22"/>
          <w:lang w:val="en-GB"/>
        </w:rPr>
        <w:t>r</w:t>
      </w:r>
      <w:r w:rsidRPr="008357D7">
        <w:rPr>
          <w:rFonts w:ascii="Times New Roman" w:hAnsi="Times New Roman"/>
          <w:sz w:val="22"/>
          <w:szCs w:val="22"/>
          <w:lang w:val="en-GB"/>
        </w:rPr>
        <w:t xml:space="preserve">egional </w:t>
      </w:r>
      <w:r>
        <w:rPr>
          <w:rFonts w:ascii="Times New Roman" w:hAnsi="Times New Roman"/>
          <w:sz w:val="22"/>
          <w:szCs w:val="22"/>
          <w:lang w:val="en-GB"/>
        </w:rPr>
        <w:t>i</w:t>
      </w:r>
      <w:r w:rsidRPr="008357D7">
        <w:rPr>
          <w:rFonts w:ascii="Times New Roman" w:hAnsi="Times New Roman"/>
          <w:sz w:val="22"/>
          <w:szCs w:val="22"/>
          <w:lang w:val="en-GB"/>
        </w:rPr>
        <w:t>nput</w:t>
      </w:r>
      <w:r w:rsidRPr="008357D7">
        <w:rPr>
          <w:rFonts w:ascii="Times New Roman" w:hAnsi="Times New Roman"/>
          <w:sz w:val="22"/>
          <w:szCs w:val="22"/>
          <w:lang w:val="en-GB"/>
        </w:rPr>
        <w:sym w:font="Symbol" w:char="F02D"/>
      </w:r>
      <w:r>
        <w:rPr>
          <w:rFonts w:ascii="Times New Roman" w:hAnsi="Times New Roman"/>
          <w:sz w:val="22"/>
          <w:szCs w:val="22"/>
          <w:lang w:val="en-GB"/>
        </w:rPr>
        <w:t>o</w:t>
      </w:r>
      <w:r w:rsidRPr="008357D7">
        <w:rPr>
          <w:rFonts w:ascii="Times New Roman" w:hAnsi="Times New Roman"/>
          <w:sz w:val="22"/>
          <w:szCs w:val="22"/>
          <w:lang w:val="en-GB"/>
        </w:rPr>
        <w:t xml:space="preserve">utput </w:t>
      </w:r>
      <w:r>
        <w:rPr>
          <w:rFonts w:ascii="Times New Roman" w:hAnsi="Times New Roman"/>
          <w:sz w:val="22"/>
          <w:szCs w:val="22"/>
          <w:lang w:val="en-GB"/>
        </w:rPr>
        <w:t>t</w:t>
      </w:r>
      <w:r w:rsidRPr="008357D7">
        <w:rPr>
          <w:rFonts w:ascii="Times New Roman" w:hAnsi="Times New Roman"/>
          <w:sz w:val="22"/>
          <w:szCs w:val="22"/>
          <w:lang w:val="en-GB"/>
        </w:rPr>
        <w:t xml:space="preserve">ables: </w:t>
      </w:r>
      <w:r>
        <w:rPr>
          <w:rFonts w:ascii="Times New Roman" w:hAnsi="Times New Roman"/>
          <w:sz w:val="22"/>
          <w:szCs w:val="22"/>
          <w:lang w:val="en-GB"/>
        </w:rPr>
        <w:t>r</w:t>
      </w:r>
      <w:r w:rsidRPr="008357D7">
        <w:rPr>
          <w:rFonts w:ascii="Times New Roman" w:hAnsi="Times New Roman"/>
          <w:sz w:val="22"/>
          <w:szCs w:val="22"/>
          <w:lang w:val="en-GB"/>
        </w:rPr>
        <w:t>eply</w:t>
      </w:r>
      <w:r>
        <w:rPr>
          <w:rFonts w:ascii="Times New Roman" w:hAnsi="Times New Roman"/>
          <w:sz w:val="22"/>
          <w:szCs w:val="22"/>
          <w:lang w:val="en-GB"/>
        </w:rPr>
        <w:t>.</w:t>
      </w:r>
      <w:r w:rsidRPr="008357D7">
        <w:rPr>
          <w:rFonts w:ascii="Times New Roman" w:hAnsi="Times New Roman"/>
          <w:sz w:val="22"/>
          <w:szCs w:val="22"/>
          <w:lang w:val="en-GB"/>
        </w:rPr>
        <w:t xml:space="preserve"> </w:t>
      </w:r>
      <w:r w:rsidRPr="008357D7">
        <w:rPr>
          <w:rFonts w:ascii="Times New Roman" w:hAnsi="Times New Roman"/>
          <w:i/>
          <w:sz w:val="22"/>
          <w:szCs w:val="22"/>
          <w:lang w:val="en-GB"/>
        </w:rPr>
        <w:t>Regional Studies</w:t>
      </w:r>
      <w:r>
        <w:rPr>
          <w:rFonts w:ascii="Times New Roman" w:hAnsi="Times New Roman"/>
          <w:sz w:val="22"/>
          <w:szCs w:val="22"/>
          <w:lang w:val="en-GB"/>
        </w:rPr>
        <w:t>,</w:t>
      </w:r>
      <w:r w:rsidRPr="008357D7">
        <w:rPr>
          <w:rFonts w:ascii="Times New Roman" w:hAnsi="Times New Roman"/>
          <w:sz w:val="22"/>
          <w:szCs w:val="22"/>
          <w:lang w:val="en-GB"/>
        </w:rPr>
        <w:t xml:space="preserve"> 31, 795</w:t>
      </w:r>
      <w:r w:rsidRPr="008357D7">
        <w:rPr>
          <w:rFonts w:ascii="Times New Roman" w:hAnsi="Times New Roman"/>
          <w:sz w:val="22"/>
          <w:szCs w:val="22"/>
          <w:lang w:val="en-GB"/>
        </w:rPr>
        <w:sym w:font="Symbol" w:char="F02D"/>
      </w:r>
      <w:r w:rsidRPr="008357D7">
        <w:rPr>
          <w:rFonts w:ascii="Times New Roman" w:hAnsi="Times New Roman"/>
          <w:sz w:val="22"/>
          <w:szCs w:val="22"/>
          <w:lang w:val="en-GB"/>
        </w:rPr>
        <w:t>805.</w:t>
      </w:r>
    </w:p>
    <w:p w:rsidR="006836F0" w:rsidRDefault="006836F0" w:rsidP="006836F0">
      <w:pPr>
        <w:ind w:firstLine="0"/>
        <w:rPr>
          <w:sz w:val="22"/>
          <w:szCs w:val="22"/>
        </w:rPr>
      </w:pPr>
      <w:r w:rsidRPr="008357D7">
        <w:rPr>
          <w:sz w:val="22"/>
          <w:szCs w:val="22"/>
        </w:rPr>
        <w:t>Flegg</w:t>
      </w:r>
      <w:r>
        <w:rPr>
          <w:sz w:val="22"/>
          <w:szCs w:val="22"/>
        </w:rPr>
        <w:t>,</w:t>
      </w:r>
      <w:r w:rsidRPr="008357D7">
        <w:rPr>
          <w:sz w:val="22"/>
          <w:szCs w:val="22"/>
        </w:rPr>
        <w:t xml:space="preserve"> A.T. and Webber</w:t>
      </w:r>
      <w:r>
        <w:rPr>
          <w:sz w:val="22"/>
          <w:szCs w:val="22"/>
        </w:rPr>
        <w:t>,</w:t>
      </w:r>
      <w:r w:rsidRPr="008357D7">
        <w:rPr>
          <w:sz w:val="22"/>
          <w:szCs w:val="22"/>
        </w:rPr>
        <w:t xml:space="preserve"> </w:t>
      </w:r>
      <w:r>
        <w:rPr>
          <w:sz w:val="22"/>
          <w:szCs w:val="22"/>
        </w:rPr>
        <w:t xml:space="preserve">C.D. </w:t>
      </w:r>
      <w:r w:rsidRPr="008357D7">
        <w:rPr>
          <w:sz w:val="22"/>
          <w:szCs w:val="22"/>
        </w:rPr>
        <w:t xml:space="preserve">(2000) Regional </w:t>
      </w:r>
      <w:r>
        <w:rPr>
          <w:sz w:val="22"/>
          <w:szCs w:val="22"/>
        </w:rPr>
        <w:t>s</w:t>
      </w:r>
      <w:r w:rsidRPr="008357D7">
        <w:rPr>
          <w:sz w:val="22"/>
          <w:szCs w:val="22"/>
        </w:rPr>
        <w:t xml:space="preserve">ize, </w:t>
      </w:r>
      <w:r>
        <w:rPr>
          <w:sz w:val="22"/>
          <w:szCs w:val="22"/>
        </w:rPr>
        <w:t>r</w:t>
      </w:r>
      <w:r w:rsidRPr="008357D7">
        <w:rPr>
          <w:sz w:val="22"/>
          <w:szCs w:val="22"/>
        </w:rPr>
        <w:t xml:space="preserve">egional </w:t>
      </w:r>
      <w:r>
        <w:rPr>
          <w:sz w:val="22"/>
          <w:szCs w:val="22"/>
        </w:rPr>
        <w:t>s</w:t>
      </w:r>
      <w:r w:rsidRPr="008357D7">
        <w:rPr>
          <w:sz w:val="22"/>
          <w:szCs w:val="22"/>
        </w:rPr>
        <w:t xml:space="preserve">pecialization and the FLQ </w:t>
      </w:r>
      <w:r>
        <w:rPr>
          <w:sz w:val="22"/>
          <w:szCs w:val="22"/>
        </w:rPr>
        <w:t>f</w:t>
      </w:r>
      <w:r w:rsidRPr="008357D7">
        <w:rPr>
          <w:sz w:val="22"/>
          <w:szCs w:val="22"/>
        </w:rPr>
        <w:t>ormula</w:t>
      </w:r>
      <w:r>
        <w:rPr>
          <w:sz w:val="22"/>
          <w:szCs w:val="22"/>
        </w:rPr>
        <w:t>.</w:t>
      </w:r>
      <w:r w:rsidRPr="008357D7">
        <w:rPr>
          <w:sz w:val="22"/>
          <w:szCs w:val="22"/>
        </w:rPr>
        <w:t xml:space="preserve"> </w:t>
      </w:r>
      <w:r w:rsidRPr="008357D7">
        <w:rPr>
          <w:i/>
          <w:sz w:val="22"/>
          <w:szCs w:val="22"/>
        </w:rPr>
        <w:t>Regional Studies</w:t>
      </w:r>
      <w:r>
        <w:rPr>
          <w:sz w:val="22"/>
          <w:szCs w:val="22"/>
        </w:rPr>
        <w:t>,</w:t>
      </w:r>
      <w:r w:rsidRPr="008357D7">
        <w:rPr>
          <w:sz w:val="22"/>
          <w:szCs w:val="22"/>
        </w:rPr>
        <w:t xml:space="preserve"> 34, 563</w:t>
      </w:r>
      <w:r w:rsidRPr="008357D7">
        <w:rPr>
          <w:sz w:val="22"/>
          <w:szCs w:val="22"/>
        </w:rPr>
        <w:sym w:font="Symbol" w:char="F02D"/>
      </w:r>
      <w:r w:rsidRPr="008357D7">
        <w:rPr>
          <w:sz w:val="22"/>
          <w:szCs w:val="22"/>
        </w:rPr>
        <w:t>569.</w:t>
      </w:r>
      <w:bookmarkStart w:id="0" w:name="_GoBack"/>
      <w:bookmarkEnd w:id="0"/>
    </w:p>
    <w:p w:rsidR="006836F0" w:rsidRDefault="006836F0" w:rsidP="006836F0">
      <w:pPr>
        <w:pStyle w:val="Normaali1"/>
        <w:tabs>
          <w:tab w:val="left" w:pos="426"/>
        </w:tabs>
        <w:spacing w:after="120" w:line="240" w:lineRule="auto"/>
        <w:rPr>
          <w:rFonts w:ascii="Times New Roman" w:hAnsi="Times New Roman"/>
          <w:sz w:val="22"/>
          <w:szCs w:val="22"/>
          <w:lang w:val="en-GB"/>
        </w:rPr>
      </w:pPr>
      <w:r w:rsidRPr="008357D7">
        <w:rPr>
          <w:rFonts w:ascii="Times New Roman" w:hAnsi="Times New Roman"/>
          <w:sz w:val="22"/>
          <w:szCs w:val="22"/>
          <w:lang w:val="en-GB"/>
        </w:rPr>
        <w:t>Flegg</w:t>
      </w:r>
      <w:r>
        <w:rPr>
          <w:rFonts w:ascii="Times New Roman" w:hAnsi="Times New Roman"/>
          <w:sz w:val="22"/>
          <w:szCs w:val="22"/>
          <w:lang w:val="en-GB"/>
        </w:rPr>
        <w:t>,</w:t>
      </w:r>
      <w:r w:rsidRPr="008357D7">
        <w:rPr>
          <w:rFonts w:ascii="Times New Roman" w:hAnsi="Times New Roman"/>
          <w:sz w:val="22"/>
          <w:szCs w:val="22"/>
          <w:lang w:val="en-GB"/>
        </w:rPr>
        <w:t xml:space="preserve"> A.T., Webber</w:t>
      </w:r>
      <w:r>
        <w:rPr>
          <w:rFonts w:ascii="Times New Roman" w:hAnsi="Times New Roman"/>
          <w:sz w:val="22"/>
          <w:szCs w:val="22"/>
          <w:lang w:val="en-GB"/>
        </w:rPr>
        <w:t>,</w:t>
      </w:r>
      <w:r w:rsidRPr="008357D7">
        <w:rPr>
          <w:rFonts w:ascii="Times New Roman" w:hAnsi="Times New Roman"/>
          <w:sz w:val="22"/>
          <w:szCs w:val="22"/>
          <w:lang w:val="en-GB"/>
        </w:rPr>
        <w:t xml:space="preserve"> </w:t>
      </w:r>
      <w:r>
        <w:rPr>
          <w:rFonts w:ascii="Times New Roman" w:hAnsi="Times New Roman"/>
          <w:sz w:val="22"/>
          <w:szCs w:val="22"/>
          <w:lang w:val="en-GB"/>
        </w:rPr>
        <w:t xml:space="preserve">C.D. </w:t>
      </w:r>
      <w:r w:rsidRPr="008357D7">
        <w:rPr>
          <w:rFonts w:ascii="Times New Roman" w:hAnsi="Times New Roman"/>
          <w:sz w:val="22"/>
          <w:szCs w:val="22"/>
          <w:lang w:val="en-GB"/>
        </w:rPr>
        <w:t>and Elliott</w:t>
      </w:r>
      <w:r>
        <w:rPr>
          <w:rFonts w:ascii="Times New Roman" w:hAnsi="Times New Roman"/>
          <w:sz w:val="22"/>
          <w:szCs w:val="22"/>
          <w:lang w:val="en-GB"/>
        </w:rPr>
        <w:t xml:space="preserve">, M.V. </w:t>
      </w:r>
      <w:r w:rsidRPr="008357D7">
        <w:rPr>
          <w:rFonts w:ascii="Times New Roman" w:hAnsi="Times New Roman"/>
          <w:sz w:val="22"/>
          <w:szCs w:val="22"/>
          <w:lang w:val="en-GB"/>
        </w:rPr>
        <w:t xml:space="preserve">(1995) On the </w:t>
      </w:r>
      <w:r>
        <w:rPr>
          <w:rFonts w:ascii="Times New Roman" w:hAnsi="Times New Roman"/>
          <w:sz w:val="22"/>
          <w:szCs w:val="22"/>
          <w:lang w:val="en-GB"/>
        </w:rPr>
        <w:t>a</w:t>
      </w:r>
      <w:r w:rsidRPr="008357D7">
        <w:rPr>
          <w:rFonts w:ascii="Times New Roman" w:hAnsi="Times New Roman"/>
          <w:sz w:val="22"/>
          <w:szCs w:val="22"/>
          <w:lang w:val="en-GB"/>
        </w:rPr>
        <w:t xml:space="preserve">ppropriate </w:t>
      </w:r>
      <w:r>
        <w:rPr>
          <w:rFonts w:ascii="Times New Roman" w:hAnsi="Times New Roman"/>
          <w:sz w:val="22"/>
          <w:szCs w:val="22"/>
          <w:lang w:val="en-GB"/>
        </w:rPr>
        <w:t>u</w:t>
      </w:r>
      <w:r w:rsidRPr="008357D7">
        <w:rPr>
          <w:rFonts w:ascii="Times New Roman" w:hAnsi="Times New Roman"/>
          <w:sz w:val="22"/>
          <w:szCs w:val="22"/>
          <w:lang w:val="en-GB"/>
        </w:rPr>
        <w:t xml:space="preserve">se of </w:t>
      </w:r>
      <w:r>
        <w:rPr>
          <w:rFonts w:ascii="Times New Roman" w:hAnsi="Times New Roman"/>
          <w:sz w:val="22"/>
          <w:szCs w:val="22"/>
          <w:lang w:val="en-GB"/>
        </w:rPr>
        <w:t>l</w:t>
      </w:r>
      <w:r w:rsidRPr="008357D7">
        <w:rPr>
          <w:rFonts w:ascii="Times New Roman" w:hAnsi="Times New Roman"/>
          <w:sz w:val="22"/>
          <w:szCs w:val="22"/>
          <w:lang w:val="en-GB"/>
        </w:rPr>
        <w:t xml:space="preserve">ocation </w:t>
      </w:r>
      <w:r>
        <w:rPr>
          <w:rFonts w:ascii="Times New Roman" w:hAnsi="Times New Roman"/>
          <w:sz w:val="22"/>
          <w:szCs w:val="22"/>
          <w:lang w:val="en-GB"/>
        </w:rPr>
        <w:t>q</w:t>
      </w:r>
      <w:r w:rsidRPr="008357D7">
        <w:rPr>
          <w:rFonts w:ascii="Times New Roman" w:hAnsi="Times New Roman"/>
          <w:sz w:val="22"/>
          <w:szCs w:val="22"/>
          <w:lang w:val="en-GB"/>
        </w:rPr>
        <w:t xml:space="preserve">uotients in </w:t>
      </w:r>
      <w:r>
        <w:rPr>
          <w:rFonts w:ascii="Times New Roman" w:hAnsi="Times New Roman"/>
          <w:sz w:val="22"/>
          <w:szCs w:val="22"/>
          <w:lang w:val="en-GB"/>
        </w:rPr>
        <w:t>g</w:t>
      </w:r>
      <w:r w:rsidRPr="008357D7">
        <w:rPr>
          <w:rFonts w:ascii="Times New Roman" w:hAnsi="Times New Roman"/>
          <w:sz w:val="22"/>
          <w:szCs w:val="22"/>
          <w:lang w:val="en-GB"/>
        </w:rPr>
        <w:t xml:space="preserve">enerating </w:t>
      </w:r>
      <w:r>
        <w:rPr>
          <w:rFonts w:ascii="Times New Roman" w:hAnsi="Times New Roman"/>
          <w:sz w:val="22"/>
          <w:szCs w:val="22"/>
          <w:lang w:val="en-GB"/>
        </w:rPr>
        <w:t>r</w:t>
      </w:r>
      <w:r w:rsidRPr="008357D7">
        <w:rPr>
          <w:rFonts w:ascii="Times New Roman" w:hAnsi="Times New Roman"/>
          <w:sz w:val="22"/>
          <w:szCs w:val="22"/>
          <w:lang w:val="en-GB"/>
        </w:rPr>
        <w:t xml:space="preserve">egional </w:t>
      </w:r>
      <w:r>
        <w:rPr>
          <w:rFonts w:ascii="Times New Roman" w:hAnsi="Times New Roman"/>
          <w:sz w:val="22"/>
          <w:szCs w:val="22"/>
          <w:lang w:val="en-GB"/>
        </w:rPr>
        <w:t>i</w:t>
      </w:r>
      <w:r w:rsidRPr="008357D7">
        <w:rPr>
          <w:rFonts w:ascii="Times New Roman" w:hAnsi="Times New Roman"/>
          <w:sz w:val="22"/>
          <w:szCs w:val="22"/>
          <w:lang w:val="en-GB"/>
        </w:rPr>
        <w:t>nput</w:t>
      </w:r>
      <w:r w:rsidRPr="008357D7">
        <w:rPr>
          <w:rFonts w:ascii="Times New Roman" w:hAnsi="Times New Roman"/>
          <w:sz w:val="22"/>
          <w:szCs w:val="22"/>
          <w:lang w:val="en-GB"/>
        </w:rPr>
        <w:sym w:font="Symbol" w:char="F02D"/>
      </w:r>
      <w:r>
        <w:rPr>
          <w:rFonts w:ascii="Times New Roman" w:hAnsi="Times New Roman"/>
          <w:sz w:val="22"/>
          <w:szCs w:val="22"/>
          <w:lang w:val="en-GB"/>
        </w:rPr>
        <w:t>o</w:t>
      </w:r>
      <w:r w:rsidRPr="008357D7">
        <w:rPr>
          <w:rFonts w:ascii="Times New Roman" w:hAnsi="Times New Roman"/>
          <w:sz w:val="22"/>
          <w:szCs w:val="22"/>
          <w:lang w:val="en-GB"/>
        </w:rPr>
        <w:t xml:space="preserve">utput </w:t>
      </w:r>
      <w:r>
        <w:rPr>
          <w:rFonts w:ascii="Times New Roman" w:hAnsi="Times New Roman"/>
          <w:sz w:val="22"/>
          <w:szCs w:val="22"/>
          <w:lang w:val="en-GB"/>
        </w:rPr>
        <w:t>t</w:t>
      </w:r>
      <w:r w:rsidRPr="008357D7">
        <w:rPr>
          <w:rFonts w:ascii="Times New Roman" w:hAnsi="Times New Roman"/>
          <w:sz w:val="22"/>
          <w:szCs w:val="22"/>
          <w:lang w:val="en-GB"/>
        </w:rPr>
        <w:t>ables</w:t>
      </w:r>
      <w:r>
        <w:rPr>
          <w:rFonts w:ascii="Times New Roman" w:hAnsi="Times New Roman"/>
          <w:sz w:val="22"/>
          <w:szCs w:val="22"/>
          <w:lang w:val="en-GB"/>
        </w:rPr>
        <w:t>.</w:t>
      </w:r>
      <w:r w:rsidRPr="008357D7">
        <w:rPr>
          <w:rFonts w:ascii="Times New Roman" w:hAnsi="Times New Roman"/>
          <w:sz w:val="22"/>
          <w:szCs w:val="22"/>
          <w:lang w:val="en-GB"/>
        </w:rPr>
        <w:t xml:space="preserve"> </w:t>
      </w:r>
      <w:r w:rsidRPr="008357D7">
        <w:rPr>
          <w:rFonts w:ascii="Times New Roman" w:hAnsi="Times New Roman"/>
          <w:i/>
          <w:sz w:val="22"/>
          <w:szCs w:val="22"/>
          <w:lang w:val="en-GB"/>
        </w:rPr>
        <w:t>Regional Studies</w:t>
      </w:r>
      <w:r>
        <w:rPr>
          <w:rFonts w:ascii="Times New Roman" w:hAnsi="Times New Roman"/>
          <w:sz w:val="22"/>
          <w:szCs w:val="22"/>
          <w:lang w:val="en-GB"/>
        </w:rPr>
        <w:t>,</w:t>
      </w:r>
      <w:r w:rsidRPr="008357D7">
        <w:rPr>
          <w:rFonts w:ascii="Times New Roman" w:hAnsi="Times New Roman"/>
          <w:sz w:val="22"/>
          <w:szCs w:val="22"/>
          <w:lang w:val="en-GB"/>
        </w:rPr>
        <w:t xml:space="preserve"> 29, 547</w:t>
      </w:r>
      <w:r w:rsidRPr="008357D7">
        <w:rPr>
          <w:rFonts w:ascii="Times New Roman" w:hAnsi="Times New Roman"/>
          <w:sz w:val="22"/>
          <w:szCs w:val="22"/>
          <w:lang w:val="en-GB"/>
        </w:rPr>
        <w:sym w:font="Symbol" w:char="F02D"/>
      </w:r>
      <w:r w:rsidRPr="008357D7">
        <w:rPr>
          <w:rFonts w:ascii="Times New Roman" w:hAnsi="Times New Roman"/>
          <w:sz w:val="22"/>
          <w:szCs w:val="22"/>
          <w:lang w:val="en-GB"/>
        </w:rPr>
        <w:t>561.</w:t>
      </w:r>
    </w:p>
    <w:p w:rsidR="006836F0" w:rsidRDefault="006836F0" w:rsidP="006836F0">
      <w:pPr>
        <w:ind w:firstLine="0"/>
        <w:rPr>
          <w:sz w:val="22"/>
          <w:szCs w:val="22"/>
        </w:rPr>
      </w:pPr>
      <w:r w:rsidRPr="000A6F37">
        <w:rPr>
          <w:sz w:val="22"/>
          <w:szCs w:val="22"/>
        </w:rPr>
        <w:t>Hermannsson</w:t>
      </w:r>
      <w:r>
        <w:rPr>
          <w:sz w:val="22"/>
          <w:szCs w:val="22"/>
        </w:rPr>
        <w:t>, K.</w:t>
      </w:r>
      <w:r w:rsidRPr="000A6F37">
        <w:rPr>
          <w:sz w:val="22"/>
          <w:szCs w:val="22"/>
        </w:rPr>
        <w:t xml:space="preserve"> </w:t>
      </w:r>
      <w:r>
        <w:rPr>
          <w:sz w:val="22"/>
          <w:szCs w:val="22"/>
        </w:rPr>
        <w:t xml:space="preserve">(2016) </w:t>
      </w:r>
      <w:r w:rsidRPr="000A6F37">
        <w:rPr>
          <w:sz w:val="22"/>
          <w:szCs w:val="22"/>
        </w:rPr>
        <w:t xml:space="preserve">Beyond </w:t>
      </w:r>
      <w:r>
        <w:rPr>
          <w:sz w:val="22"/>
          <w:szCs w:val="22"/>
        </w:rPr>
        <w:t>intermediates: the r</w:t>
      </w:r>
      <w:r w:rsidRPr="000A6F37">
        <w:rPr>
          <w:sz w:val="22"/>
          <w:szCs w:val="22"/>
        </w:rPr>
        <w:t xml:space="preserve">ole of </w:t>
      </w:r>
      <w:r>
        <w:rPr>
          <w:sz w:val="22"/>
          <w:szCs w:val="22"/>
        </w:rPr>
        <w:t>c</w:t>
      </w:r>
      <w:r w:rsidRPr="000A6F37">
        <w:rPr>
          <w:sz w:val="22"/>
          <w:szCs w:val="22"/>
        </w:rPr>
        <w:t xml:space="preserve">onsumption and </w:t>
      </w:r>
      <w:r>
        <w:rPr>
          <w:sz w:val="22"/>
          <w:szCs w:val="22"/>
        </w:rPr>
        <w:t>commuting in the c</w:t>
      </w:r>
      <w:r w:rsidRPr="000A6F37">
        <w:rPr>
          <w:sz w:val="22"/>
          <w:szCs w:val="22"/>
        </w:rPr>
        <w:t xml:space="preserve">onstruction of </w:t>
      </w:r>
      <w:r>
        <w:rPr>
          <w:sz w:val="22"/>
          <w:szCs w:val="22"/>
        </w:rPr>
        <w:t>l</w:t>
      </w:r>
      <w:r w:rsidRPr="000A6F37">
        <w:rPr>
          <w:sz w:val="22"/>
          <w:szCs w:val="22"/>
        </w:rPr>
        <w:t xml:space="preserve">ocal </w:t>
      </w:r>
      <w:r>
        <w:rPr>
          <w:sz w:val="22"/>
          <w:szCs w:val="22"/>
        </w:rPr>
        <w:t>i</w:t>
      </w:r>
      <w:r w:rsidRPr="000A6F37">
        <w:rPr>
          <w:sz w:val="22"/>
          <w:szCs w:val="22"/>
        </w:rPr>
        <w:t>nput</w:t>
      </w:r>
      <w:r w:rsidRPr="008357D7">
        <w:rPr>
          <w:sz w:val="22"/>
          <w:szCs w:val="22"/>
        </w:rPr>
        <w:sym w:font="Symbol" w:char="F02D"/>
      </w:r>
      <w:r>
        <w:rPr>
          <w:sz w:val="22"/>
          <w:szCs w:val="22"/>
        </w:rPr>
        <w:t>o</w:t>
      </w:r>
      <w:r w:rsidRPr="000A6F37">
        <w:rPr>
          <w:sz w:val="22"/>
          <w:szCs w:val="22"/>
        </w:rPr>
        <w:t xml:space="preserve">utput </w:t>
      </w:r>
      <w:r>
        <w:rPr>
          <w:sz w:val="22"/>
          <w:szCs w:val="22"/>
        </w:rPr>
        <w:t>t</w:t>
      </w:r>
      <w:r w:rsidRPr="000A6F37">
        <w:rPr>
          <w:sz w:val="22"/>
          <w:szCs w:val="22"/>
        </w:rPr>
        <w:t>ables</w:t>
      </w:r>
      <w:r>
        <w:rPr>
          <w:sz w:val="22"/>
          <w:szCs w:val="22"/>
        </w:rPr>
        <w:t xml:space="preserve">. </w:t>
      </w:r>
      <w:r>
        <w:rPr>
          <w:i/>
          <w:sz w:val="22"/>
          <w:szCs w:val="22"/>
        </w:rPr>
        <w:t>Spatial Economic Analysis</w:t>
      </w:r>
      <w:r>
        <w:rPr>
          <w:sz w:val="22"/>
          <w:szCs w:val="22"/>
        </w:rPr>
        <w:t>, forthcoming.</w:t>
      </w:r>
    </w:p>
    <w:p w:rsidR="00BC2C18" w:rsidRPr="00C15E03" w:rsidRDefault="00BC2C18" w:rsidP="00BC2C18">
      <w:pPr>
        <w:pStyle w:val="Normaali1"/>
        <w:tabs>
          <w:tab w:val="left" w:pos="426"/>
        </w:tabs>
        <w:spacing w:after="120" w:line="240" w:lineRule="auto"/>
        <w:rPr>
          <w:rFonts w:ascii="Times New Roman" w:hAnsi="Times New Roman"/>
          <w:sz w:val="22"/>
          <w:szCs w:val="22"/>
          <w:lang w:val="en-GB"/>
        </w:rPr>
      </w:pPr>
      <w:r w:rsidRPr="00C15E03">
        <w:rPr>
          <w:rFonts w:ascii="Times New Roman" w:hAnsi="Times New Roman"/>
          <w:sz w:val="22"/>
          <w:szCs w:val="22"/>
        </w:rPr>
        <w:t xml:space="preserve">Jackson, R.W. (1998) Regionalizing </w:t>
      </w:r>
      <w:r>
        <w:rPr>
          <w:rFonts w:ascii="Times New Roman" w:hAnsi="Times New Roman"/>
          <w:sz w:val="22"/>
          <w:szCs w:val="22"/>
        </w:rPr>
        <w:t>n</w:t>
      </w:r>
      <w:r w:rsidRPr="00C15E03">
        <w:rPr>
          <w:rFonts w:ascii="Times New Roman" w:hAnsi="Times New Roman"/>
          <w:sz w:val="22"/>
          <w:szCs w:val="22"/>
        </w:rPr>
        <w:t xml:space="preserve">ational </w:t>
      </w:r>
      <w:r>
        <w:rPr>
          <w:rFonts w:ascii="Times New Roman" w:hAnsi="Times New Roman"/>
          <w:sz w:val="22"/>
          <w:szCs w:val="22"/>
        </w:rPr>
        <w:t>c</w:t>
      </w:r>
      <w:r w:rsidRPr="00C15E03">
        <w:rPr>
          <w:rFonts w:ascii="Times New Roman" w:hAnsi="Times New Roman"/>
          <w:sz w:val="22"/>
          <w:szCs w:val="22"/>
        </w:rPr>
        <w:t>ommodity-by-</w:t>
      </w:r>
      <w:r>
        <w:rPr>
          <w:rFonts w:ascii="Times New Roman" w:hAnsi="Times New Roman"/>
          <w:sz w:val="22"/>
          <w:szCs w:val="22"/>
        </w:rPr>
        <w:t>i</w:t>
      </w:r>
      <w:r w:rsidRPr="00C15E03">
        <w:rPr>
          <w:rFonts w:ascii="Times New Roman" w:hAnsi="Times New Roman"/>
          <w:sz w:val="22"/>
          <w:szCs w:val="22"/>
        </w:rPr>
        <w:t xml:space="preserve">ndustry </w:t>
      </w:r>
      <w:r>
        <w:rPr>
          <w:rFonts w:ascii="Times New Roman" w:hAnsi="Times New Roman"/>
          <w:sz w:val="22"/>
          <w:szCs w:val="22"/>
        </w:rPr>
        <w:t>a</w:t>
      </w:r>
      <w:r w:rsidRPr="00C15E03">
        <w:rPr>
          <w:rFonts w:ascii="Times New Roman" w:hAnsi="Times New Roman"/>
          <w:sz w:val="22"/>
          <w:szCs w:val="22"/>
        </w:rPr>
        <w:t xml:space="preserve">ccounts. </w:t>
      </w:r>
      <w:r w:rsidRPr="00C15E03">
        <w:rPr>
          <w:rFonts w:ascii="Times New Roman" w:hAnsi="Times New Roman"/>
          <w:i/>
          <w:sz w:val="22"/>
          <w:szCs w:val="22"/>
        </w:rPr>
        <w:t>Economic Systems Research</w:t>
      </w:r>
      <w:r w:rsidRPr="00C15E03">
        <w:rPr>
          <w:rFonts w:ascii="Times New Roman" w:hAnsi="Times New Roman"/>
          <w:sz w:val="22"/>
          <w:szCs w:val="22"/>
        </w:rPr>
        <w:t>,</w:t>
      </w:r>
      <w:r w:rsidRPr="00C15E03">
        <w:rPr>
          <w:rFonts w:ascii="Times New Roman" w:hAnsi="Times New Roman"/>
          <w:i/>
          <w:sz w:val="22"/>
          <w:szCs w:val="22"/>
        </w:rPr>
        <w:t xml:space="preserve"> </w:t>
      </w:r>
      <w:r w:rsidRPr="00C15E03">
        <w:rPr>
          <w:rFonts w:ascii="Times New Roman" w:hAnsi="Times New Roman"/>
          <w:sz w:val="22"/>
          <w:szCs w:val="22"/>
        </w:rPr>
        <w:t>10</w:t>
      </w:r>
      <w:r>
        <w:rPr>
          <w:rFonts w:ascii="Times New Roman" w:hAnsi="Times New Roman"/>
          <w:sz w:val="22"/>
          <w:szCs w:val="22"/>
        </w:rPr>
        <w:t>,</w:t>
      </w:r>
      <w:r w:rsidRPr="00C15E03">
        <w:rPr>
          <w:rFonts w:ascii="Times New Roman" w:hAnsi="Times New Roman"/>
          <w:sz w:val="22"/>
          <w:szCs w:val="22"/>
        </w:rPr>
        <w:t xml:space="preserve"> 223</w:t>
      </w:r>
      <w:r w:rsidRPr="00C15E03">
        <w:rPr>
          <w:rFonts w:ascii="Times New Roman" w:hAnsi="Times New Roman"/>
          <w:sz w:val="22"/>
          <w:szCs w:val="22"/>
        </w:rPr>
        <w:sym w:font="Symbol" w:char="F02D"/>
      </w:r>
      <w:r>
        <w:rPr>
          <w:rFonts w:ascii="Times New Roman" w:hAnsi="Times New Roman"/>
          <w:sz w:val="22"/>
          <w:szCs w:val="22"/>
        </w:rPr>
        <w:t>2</w:t>
      </w:r>
      <w:r w:rsidRPr="00C15E03">
        <w:rPr>
          <w:rFonts w:ascii="Times New Roman" w:hAnsi="Times New Roman"/>
          <w:sz w:val="22"/>
          <w:szCs w:val="22"/>
        </w:rPr>
        <w:t>38.</w:t>
      </w:r>
    </w:p>
    <w:p w:rsidR="006836F0" w:rsidRPr="000B37E4" w:rsidRDefault="006836F0" w:rsidP="006836F0">
      <w:pPr>
        <w:widowControl w:val="0"/>
        <w:autoSpaceDE w:val="0"/>
        <w:autoSpaceDN w:val="0"/>
        <w:adjustRightInd w:val="0"/>
        <w:ind w:firstLine="0"/>
        <w:rPr>
          <w:sz w:val="22"/>
          <w:szCs w:val="22"/>
        </w:rPr>
      </w:pPr>
      <w:r>
        <w:rPr>
          <w:rFonts w:eastAsiaTheme="minorHAnsi"/>
          <w:sz w:val="22"/>
          <w:szCs w:val="22"/>
          <w:lang w:eastAsia="en-US"/>
        </w:rPr>
        <w:t xml:space="preserve">Jahn, M. (2016) </w:t>
      </w:r>
      <w:r w:rsidRPr="000B37E4">
        <w:rPr>
          <w:rFonts w:eastAsiaTheme="minorHAnsi"/>
          <w:sz w:val="22"/>
          <w:szCs w:val="22"/>
          <w:lang w:eastAsia="en-US"/>
        </w:rPr>
        <w:t xml:space="preserve">Extending the FLQ </w:t>
      </w:r>
      <w:r>
        <w:rPr>
          <w:rFonts w:eastAsiaTheme="minorHAnsi"/>
          <w:sz w:val="22"/>
          <w:szCs w:val="22"/>
          <w:lang w:eastAsia="en-US"/>
        </w:rPr>
        <w:t>f</w:t>
      </w:r>
      <w:r w:rsidRPr="000B37E4">
        <w:rPr>
          <w:rFonts w:eastAsiaTheme="minorHAnsi"/>
          <w:sz w:val="22"/>
          <w:szCs w:val="22"/>
          <w:lang w:eastAsia="en-US"/>
        </w:rPr>
        <w:t xml:space="preserve">ormula: </w:t>
      </w:r>
      <w:r>
        <w:rPr>
          <w:rFonts w:eastAsiaTheme="minorHAnsi"/>
          <w:sz w:val="22"/>
          <w:szCs w:val="22"/>
          <w:lang w:eastAsia="en-US"/>
        </w:rPr>
        <w:t>a</w:t>
      </w:r>
      <w:r w:rsidRPr="000B37E4">
        <w:rPr>
          <w:rFonts w:eastAsiaTheme="minorHAnsi"/>
          <w:sz w:val="22"/>
          <w:szCs w:val="22"/>
          <w:lang w:eastAsia="en-US"/>
        </w:rPr>
        <w:t xml:space="preserve"> </w:t>
      </w:r>
      <w:r>
        <w:rPr>
          <w:rFonts w:eastAsiaTheme="minorHAnsi"/>
          <w:sz w:val="22"/>
          <w:szCs w:val="22"/>
          <w:lang w:eastAsia="en-US"/>
        </w:rPr>
        <w:t>l</w:t>
      </w:r>
      <w:r w:rsidRPr="000B37E4">
        <w:rPr>
          <w:rFonts w:eastAsiaTheme="minorHAnsi"/>
          <w:sz w:val="22"/>
          <w:szCs w:val="22"/>
          <w:lang w:eastAsia="en-US"/>
        </w:rPr>
        <w:t>ocation</w:t>
      </w:r>
      <w:r>
        <w:rPr>
          <w:rFonts w:eastAsiaTheme="minorHAnsi"/>
          <w:sz w:val="22"/>
          <w:szCs w:val="22"/>
          <w:lang w:eastAsia="en-US"/>
        </w:rPr>
        <w:t xml:space="preserve"> quotient-based i</w:t>
      </w:r>
      <w:r w:rsidRPr="000B37E4">
        <w:rPr>
          <w:rFonts w:eastAsiaTheme="minorHAnsi"/>
          <w:sz w:val="22"/>
          <w:szCs w:val="22"/>
          <w:lang w:eastAsia="en-US"/>
        </w:rPr>
        <w:t xml:space="preserve">nterregional </w:t>
      </w:r>
      <w:r>
        <w:rPr>
          <w:sz w:val="22"/>
          <w:szCs w:val="22"/>
        </w:rPr>
        <w:t>i</w:t>
      </w:r>
      <w:r w:rsidRPr="000A6F37">
        <w:rPr>
          <w:sz w:val="22"/>
          <w:szCs w:val="22"/>
        </w:rPr>
        <w:t>nput</w:t>
      </w:r>
      <w:r w:rsidRPr="008357D7">
        <w:rPr>
          <w:sz w:val="22"/>
          <w:szCs w:val="22"/>
        </w:rPr>
        <w:sym w:font="Symbol" w:char="F02D"/>
      </w:r>
      <w:r>
        <w:rPr>
          <w:sz w:val="22"/>
          <w:szCs w:val="22"/>
        </w:rPr>
        <w:t>o</w:t>
      </w:r>
      <w:r w:rsidRPr="000A6F37">
        <w:rPr>
          <w:sz w:val="22"/>
          <w:szCs w:val="22"/>
        </w:rPr>
        <w:t xml:space="preserve">utput </w:t>
      </w:r>
      <w:r>
        <w:rPr>
          <w:sz w:val="22"/>
          <w:szCs w:val="22"/>
        </w:rPr>
        <w:t>f</w:t>
      </w:r>
      <w:r w:rsidRPr="000B37E4">
        <w:rPr>
          <w:rFonts w:eastAsiaTheme="minorHAnsi"/>
          <w:sz w:val="22"/>
          <w:szCs w:val="22"/>
          <w:lang w:eastAsia="en-US"/>
        </w:rPr>
        <w:t>ramework</w:t>
      </w:r>
      <w:r>
        <w:rPr>
          <w:rFonts w:eastAsiaTheme="minorHAnsi"/>
          <w:sz w:val="22"/>
          <w:szCs w:val="22"/>
          <w:lang w:eastAsia="en-US"/>
        </w:rPr>
        <w:t xml:space="preserve">. </w:t>
      </w:r>
      <w:r w:rsidRPr="008357D7">
        <w:rPr>
          <w:i/>
          <w:sz w:val="22"/>
          <w:szCs w:val="22"/>
        </w:rPr>
        <w:t>Regional Studies</w:t>
      </w:r>
      <w:r>
        <w:rPr>
          <w:sz w:val="22"/>
          <w:szCs w:val="22"/>
        </w:rPr>
        <w:t xml:space="preserve">, </w:t>
      </w:r>
      <w:r w:rsidR="009349FE">
        <w:rPr>
          <w:sz w:val="22"/>
          <w:szCs w:val="22"/>
        </w:rPr>
        <w:t>forthcoming</w:t>
      </w:r>
      <w:r>
        <w:rPr>
          <w:sz w:val="22"/>
          <w:szCs w:val="22"/>
        </w:rPr>
        <w:t>.</w:t>
      </w:r>
    </w:p>
    <w:p w:rsidR="006836F0" w:rsidRDefault="006836F0" w:rsidP="006836F0">
      <w:pPr>
        <w:widowControl w:val="0"/>
        <w:spacing w:after="60"/>
        <w:ind w:firstLine="0"/>
        <w:rPr>
          <w:sz w:val="22"/>
          <w:szCs w:val="22"/>
        </w:rPr>
      </w:pPr>
      <w:r w:rsidRPr="00E76164">
        <w:rPr>
          <w:color w:val="000000"/>
          <w:sz w:val="22"/>
          <w:szCs w:val="22"/>
        </w:rPr>
        <w:t xml:space="preserve">Kowalewski, J. (2015) </w:t>
      </w:r>
      <w:r w:rsidRPr="00E76164">
        <w:rPr>
          <w:sz w:val="22"/>
          <w:szCs w:val="22"/>
        </w:rPr>
        <w:t>Regionalization of national input</w:t>
      </w:r>
      <w:r w:rsidRPr="00E76164">
        <w:rPr>
          <w:sz w:val="22"/>
          <w:szCs w:val="22"/>
        </w:rPr>
        <w:sym w:font="Symbol" w:char="F02D"/>
      </w:r>
      <w:r w:rsidRPr="00E76164">
        <w:rPr>
          <w:sz w:val="22"/>
          <w:szCs w:val="22"/>
        </w:rPr>
        <w:t xml:space="preserve">output tables: empirical evidence on the use of the FLQ formula. </w:t>
      </w:r>
      <w:r w:rsidRPr="00E76164">
        <w:rPr>
          <w:i/>
          <w:sz w:val="22"/>
          <w:szCs w:val="22"/>
        </w:rPr>
        <w:t>Regional Studies</w:t>
      </w:r>
      <w:r w:rsidRPr="00E76164">
        <w:rPr>
          <w:sz w:val="22"/>
          <w:szCs w:val="22"/>
        </w:rPr>
        <w:t>, 49, 240</w:t>
      </w:r>
      <w:r w:rsidRPr="00E76164">
        <w:rPr>
          <w:sz w:val="22"/>
          <w:szCs w:val="22"/>
        </w:rPr>
        <w:sym w:font="Symbol" w:char="F02D"/>
      </w:r>
      <w:r w:rsidRPr="00E76164">
        <w:rPr>
          <w:sz w:val="22"/>
          <w:szCs w:val="22"/>
        </w:rPr>
        <w:t>250.</w:t>
      </w:r>
    </w:p>
    <w:p w:rsidR="006836F0" w:rsidRPr="00100B39" w:rsidRDefault="006836F0" w:rsidP="006836F0">
      <w:pPr>
        <w:widowControl w:val="0"/>
        <w:ind w:firstLine="0"/>
        <w:rPr>
          <w:sz w:val="22"/>
          <w:szCs w:val="22"/>
        </w:rPr>
      </w:pPr>
      <w:r w:rsidRPr="00100B39">
        <w:rPr>
          <w:sz w:val="22"/>
          <w:szCs w:val="22"/>
        </w:rPr>
        <w:t>Kronenberg</w:t>
      </w:r>
      <w:r>
        <w:rPr>
          <w:sz w:val="22"/>
          <w:szCs w:val="22"/>
        </w:rPr>
        <w:t>,</w:t>
      </w:r>
      <w:r w:rsidRPr="00100B39">
        <w:rPr>
          <w:sz w:val="22"/>
          <w:szCs w:val="22"/>
        </w:rPr>
        <w:t xml:space="preserve"> T. (2009) Construction of </w:t>
      </w:r>
      <w:r>
        <w:rPr>
          <w:sz w:val="22"/>
          <w:szCs w:val="22"/>
        </w:rPr>
        <w:t>r</w:t>
      </w:r>
      <w:r w:rsidRPr="00100B39">
        <w:rPr>
          <w:sz w:val="22"/>
          <w:szCs w:val="22"/>
        </w:rPr>
        <w:t xml:space="preserve">egional </w:t>
      </w:r>
      <w:r>
        <w:rPr>
          <w:sz w:val="22"/>
          <w:szCs w:val="22"/>
        </w:rPr>
        <w:t>i</w:t>
      </w:r>
      <w:r w:rsidRPr="00100B39">
        <w:rPr>
          <w:sz w:val="22"/>
          <w:szCs w:val="22"/>
        </w:rPr>
        <w:t>nput</w:t>
      </w:r>
      <w:r w:rsidRPr="00100B39">
        <w:rPr>
          <w:sz w:val="22"/>
          <w:szCs w:val="22"/>
        </w:rPr>
        <w:sym w:font="Symbol" w:char="F02D"/>
      </w:r>
      <w:r>
        <w:rPr>
          <w:sz w:val="22"/>
          <w:szCs w:val="22"/>
        </w:rPr>
        <w:t>o</w:t>
      </w:r>
      <w:r w:rsidRPr="00100B39">
        <w:rPr>
          <w:sz w:val="22"/>
          <w:szCs w:val="22"/>
        </w:rPr>
        <w:t xml:space="preserve">utput </w:t>
      </w:r>
      <w:r>
        <w:rPr>
          <w:sz w:val="22"/>
          <w:szCs w:val="22"/>
        </w:rPr>
        <w:t>t</w:t>
      </w:r>
      <w:r w:rsidRPr="00100B39">
        <w:rPr>
          <w:sz w:val="22"/>
          <w:szCs w:val="22"/>
        </w:rPr>
        <w:t xml:space="preserve">ables </w:t>
      </w:r>
      <w:r>
        <w:rPr>
          <w:sz w:val="22"/>
          <w:szCs w:val="22"/>
        </w:rPr>
        <w:t>u</w:t>
      </w:r>
      <w:r w:rsidRPr="00100B39">
        <w:rPr>
          <w:sz w:val="22"/>
          <w:szCs w:val="22"/>
        </w:rPr>
        <w:t xml:space="preserve">sing </w:t>
      </w:r>
      <w:r>
        <w:rPr>
          <w:sz w:val="22"/>
          <w:szCs w:val="22"/>
        </w:rPr>
        <w:t>n</w:t>
      </w:r>
      <w:r w:rsidRPr="00100B39">
        <w:rPr>
          <w:sz w:val="22"/>
          <w:szCs w:val="22"/>
        </w:rPr>
        <w:t xml:space="preserve">onsurvey </w:t>
      </w:r>
      <w:r>
        <w:rPr>
          <w:sz w:val="22"/>
          <w:szCs w:val="22"/>
        </w:rPr>
        <w:t>m</w:t>
      </w:r>
      <w:r w:rsidRPr="00100B39">
        <w:rPr>
          <w:sz w:val="22"/>
          <w:szCs w:val="22"/>
        </w:rPr>
        <w:t xml:space="preserve">ethods: </w:t>
      </w:r>
      <w:r>
        <w:rPr>
          <w:sz w:val="22"/>
          <w:szCs w:val="22"/>
        </w:rPr>
        <w:t>t</w:t>
      </w:r>
      <w:r w:rsidRPr="00100B39">
        <w:rPr>
          <w:sz w:val="22"/>
          <w:szCs w:val="22"/>
        </w:rPr>
        <w:t xml:space="preserve">he </w:t>
      </w:r>
      <w:r>
        <w:rPr>
          <w:sz w:val="22"/>
          <w:szCs w:val="22"/>
        </w:rPr>
        <w:t>r</w:t>
      </w:r>
      <w:r w:rsidRPr="00100B39">
        <w:rPr>
          <w:sz w:val="22"/>
          <w:szCs w:val="22"/>
        </w:rPr>
        <w:t xml:space="preserve">ole of </w:t>
      </w:r>
      <w:r>
        <w:rPr>
          <w:sz w:val="22"/>
          <w:szCs w:val="22"/>
        </w:rPr>
        <w:t>c</w:t>
      </w:r>
      <w:r w:rsidRPr="00100B39">
        <w:rPr>
          <w:sz w:val="22"/>
          <w:szCs w:val="22"/>
        </w:rPr>
        <w:t>ross-</w:t>
      </w:r>
      <w:r>
        <w:rPr>
          <w:sz w:val="22"/>
          <w:szCs w:val="22"/>
        </w:rPr>
        <w:t>h</w:t>
      </w:r>
      <w:r w:rsidRPr="00100B39">
        <w:rPr>
          <w:sz w:val="22"/>
          <w:szCs w:val="22"/>
        </w:rPr>
        <w:t>auling</w:t>
      </w:r>
      <w:r>
        <w:rPr>
          <w:sz w:val="22"/>
          <w:szCs w:val="22"/>
        </w:rPr>
        <w:t>.</w:t>
      </w:r>
      <w:r w:rsidRPr="00100B39">
        <w:rPr>
          <w:sz w:val="22"/>
          <w:szCs w:val="22"/>
        </w:rPr>
        <w:t xml:space="preserve"> </w:t>
      </w:r>
      <w:r w:rsidRPr="00100B39">
        <w:rPr>
          <w:i/>
          <w:sz w:val="22"/>
          <w:szCs w:val="22"/>
        </w:rPr>
        <w:t>International Regional Science Review</w:t>
      </w:r>
      <w:r>
        <w:rPr>
          <w:sz w:val="22"/>
          <w:szCs w:val="22"/>
        </w:rPr>
        <w:t>,</w:t>
      </w:r>
      <w:r w:rsidRPr="00100B39">
        <w:rPr>
          <w:i/>
          <w:sz w:val="22"/>
          <w:szCs w:val="22"/>
        </w:rPr>
        <w:t xml:space="preserve"> </w:t>
      </w:r>
      <w:r w:rsidRPr="00100B39">
        <w:rPr>
          <w:sz w:val="22"/>
          <w:szCs w:val="22"/>
        </w:rPr>
        <w:t>32, 40</w:t>
      </w:r>
      <w:r w:rsidRPr="00100B39">
        <w:rPr>
          <w:sz w:val="22"/>
          <w:szCs w:val="22"/>
        </w:rPr>
        <w:sym w:font="Symbol" w:char="F02D"/>
      </w:r>
      <w:r w:rsidRPr="00100B39">
        <w:rPr>
          <w:sz w:val="22"/>
          <w:szCs w:val="22"/>
        </w:rPr>
        <w:t>64.</w:t>
      </w:r>
    </w:p>
    <w:p w:rsidR="006836F0" w:rsidRDefault="006836F0" w:rsidP="006836F0">
      <w:pPr>
        <w:widowControl w:val="0"/>
        <w:ind w:firstLine="0"/>
        <w:rPr>
          <w:sz w:val="22"/>
          <w:szCs w:val="22"/>
        </w:rPr>
      </w:pPr>
      <w:r w:rsidRPr="00100B39">
        <w:rPr>
          <w:sz w:val="22"/>
          <w:szCs w:val="22"/>
        </w:rPr>
        <w:t xml:space="preserve">Kronenberg, T. (2012) Regional </w:t>
      </w:r>
      <w:r>
        <w:rPr>
          <w:sz w:val="22"/>
          <w:szCs w:val="22"/>
        </w:rPr>
        <w:t>i</w:t>
      </w:r>
      <w:r w:rsidRPr="00100B39">
        <w:rPr>
          <w:sz w:val="22"/>
          <w:szCs w:val="22"/>
        </w:rPr>
        <w:t>nput</w:t>
      </w:r>
      <w:r w:rsidRPr="00100B39">
        <w:rPr>
          <w:sz w:val="22"/>
          <w:szCs w:val="22"/>
        </w:rPr>
        <w:sym w:font="Symbol" w:char="F02D"/>
      </w:r>
      <w:r>
        <w:rPr>
          <w:sz w:val="22"/>
          <w:szCs w:val="22"/>
        </w:rPr>
        <w:t>o</w:t>
      </w:r>
      <w:r w:rsidRPr="00100B39">
        <w:rPr>
          <w:sz w:val="22"/>
          <w:szCs w:val="22"/>
        </w:rPr>
        <w:t xml:space="preserve">utput </w:t>
      </w:r>
      <w:r>
        <w:rPr>
          <w:sz w:val="22"/>
          <w:szCs w:val="22"/>
        </w:rPr>
        <w:t>m</w:t>
      </w:r>
      <w:r w:rsidRPr="00100B39">
        <w:rPr>
          <w:sz w:val="22"/>
          <w:szCs w:val="22"/>
        </w:rPr>
        <w:t xml:space="preserve">odels and the </w:t>
      </w:r>
      <w:r>
        <w:rPr>
          <w:sz w:val="22"/>
          <w:szCs w:val="22"/>
        </w:rPr>
        <w:t>t</w:t>
      </w:r>
      <w:r w:rsidRPr="00100B39">
        <w:rPr>
          <w:sz w:val="22"/>
          <w:szCs w:val="22"/>
        </w:rPr>
        <w:t xml:space="preserve">reatment of </w:t>
      </w:r>
      <w:r>
        <w:rPr>
          <w:sz w:val="22"/>
          <w:szCs w:val="22"/>
        </w:rPr>
        <w:t>i</w:t>
      </w:r>
      <w:r w:rsidRPr="00100B39">
        <w:rPr>
          <w:sz w:val="22"/>
          <w:szCs w:val="22"/>
        </w:rPr>
        <w:t xml:space="preserve">mports in the European </w:t>
      </w:r>
      <w:r>
        <w:rPr>
          <w:sz w:val="22"/>
          <w:szCs w:val="22"/>
        </w:rPr>
        <w:t>s</w:t>
      </w:r>
      <w:r w:rsidRPr="00100B39">
        <w:rPr>
          <w:sz w:val="22"/>
          <w:szCs w:val="22"/>
        </w:rPr>
        <w:t xml:space="preserve">ystem of </w:t>
      </w:r>
      <w:r>
        <w:rPr>
          <w:sz w:val="22"/>
          <w:szCs w:val="22"/>
        </w:rPr>
        <w:t>a</w:t>
      </w:r>
      <w:r w:rsidRPr="00100B39">
        <w:rPr>
          <w:sz w:val="22"/>
          <w:szCs w:val="22"/>
        </w:rPr>
        <w:t>ccounts</w:t>
      </w:r>
      <w:r>
        <w:rPr>
          <w:sz w:val="22"/>
          <w:szCs w:val="22"/>
        </w:rPr>
        <w:t>.</w:t>
      </w:r>
      <w:r w:rsidRPr="00100B39">
        <w:rPr>
          <w:sz w:val="22"/>
          <w:szCs w:val="22"/>
        </w:rPr>
        <w:t xml:space="preserve"> </w:t>
      </w:r>
      <w:r w:rsidRPr="00100B39">
        <w:rPr>
          <w:i/>
          <w:sz w:val="22"/>
          <w:szCs w:val="22"/>
          <w:lang w:val="en-US"/>
        </w:rPr>
        <w:t>Jahrbuch für Regionalwissenschaft</w:t>
      </w:r>
      <w:r>
        <w:rPr>
          <w:i/>
          <w:sz w:val="22"/>
          <w:szCs w:val="22"/>
          <w:lang w:val="en-US"/>
        </w:rPr>
        <w:t xml:space="preserve"> (Review of Regional Research)</w:t>
      </w:r>
      <w:r>
        <w:rPr>
          <w:sz w:val="22"/>
          <w:szCs w:val="22"/>
          <w:lang w:val="en-US"/>
        </w:rPr>
        <w:t>, 32, 175</w:t>
      </w:r>
      <w:r w:rsidRPr="00100B39">
        <w:rPr>
          <w:sz w:val="22"/>
          <w:szCs w:val="22"/>
        </w:rPr>
        <w:sym w:font="Symbol" w:char="F02D"/>
      </w:r>
      <w:r>
        <w:rPr>
          <w:sz w:val="22"/>
          <w:szCs w:val="22"/>
        </w:rPr>
        <w:t>191.</w:t>
      </w:r>
    </w:p>
    <w:p w:rsidR="00BC2C18" w:rsidRPr="0000057F" w:rsidRDefault="00BC2C18" w:rsidP="00BC2C18">
      <w:pPr>
        <w:widowControl w:val="0"/>
        <w:ind w:firstLine="0"/>
        <w:rPr>
          <w:sz w:val="22"/>
          <w:szCs w:val="22"/>
        </w:rPr>
      </w:pPr>
      <w:r>
        <w:rPr>
          <w:sz w:val="22"/>
          <w:szCs w:val="22"/>
        </w:rPr>
        <w:t xml:space="preserve">Lahr, M.L. (1993). </w:t>
      </w:r>
      <w:r w:rsidRPr="0000057F">
        <w:rPr>
          <w:sz w:val="22"/>
          <w:szCs w:val="22"/>
        </w:rPr>
        <w:t xml:space="preserve">A </w:t>
      </w:r>
      <w:r>
        <w:rPr>
          <w:sz w:val="22"/>
          <w:szCs w:val="22"/>
        </w:rPr>
        <w:t>r</w:t>
      </w:r>
      <w:r w:rsidRPr="0000057F">
        <w:rPr>
          <w:sz w:val="22"/>
          <w:szCs w:val="22"/>
        </w:rPr>
        <w:t xml:space="preserve">eview of the </w:t>
      </w:r>
      <w:r>
        <w:rPr>
          <w:sz w:val="22"/>
          <w:szCs w:val="22"/>
        </w:rPr>
        <w:t>literature s</w:t>
      </w:r>
      <w:r w:rsidRPr="0000057F">
        <w:rPr>
          <w:sz w:val="22"/>
          <w:szCs w:val="22"/>
        </w:rPr>
        <w:t xml:space="preserve">upporting the </w:t>
      </w:r>
      <w:r>
        <w:rPr>
          <w:sz w:val="22"/>
          <w:szCs w:val="22"/>
        </w:rPr>
        <w:t>h</w:t>
      </w:r>
      <w:r w:rsidRPr="0000057F">
        <w:rPr>
          <w:sz w:val="22"/>
          <w:szCs w:val="22"/>
        </w:rPr>
        <w:t xml:space="preserve">ybrid </w:t>
      </w:r>
      <w:r>
        <w:rPr>
          <w:sz w:val="22"/>
          <w:szCs w:val="22"/>
        </w:rPr>
        <w:t>a</w:t>
      </w:r>
      <w:r w:rsidRPr="0000057F">
        <w:rPr>
          <w:sz w:val="22"/>
          <w:szCs w:val="22"/>
        </w:rPr>
        <w:t xml:space="preserve">pproach to </w:t>
      </w:r>
      <w:r>
        <w:rPr>
          <w:sz w:val="22"/>
          <w:szCs w:val="22"/>
        </w:rPr>
        <w:t>c</w:t>
      </w:r>
      <w:r w:rsidRPr="0000057F">
        <w:rPr>
          <w:sz w:val="22"/>
          <w:szCs w:val="22"/>
        </w:rPr>
        <w:t xml:space="preserve">onstructing </w:t>
      </w:r>
      <w:r>
        <w:rPr>
          <w:sz w:val="22"/>
          <w:szCs w:val="22"/>
        </w:rPr>
        <w:t>regional i</w:t>
      </w:r>
      <w:r w:rsidRPr="0000057F">
        <w:rPr>
          <w:sz w:val="22"/>
          <w:szCs w:val="22"/>
        </w:rPr>
        <w:t>nput</w:t>
      </w:r>
      <w:r w:rsidRPr="0000057F">
        <w:rPr>
          <w:sz w:val="22"/>
          <w:szCs w:val="22"/>
        </w:rPr>
        <w:sym w:font="Symbol" w:char="F02D"/>
      </w:r>
      <w:r>
        <w:rPr>
          <w:sz w:val="22"/>
          <w:szCs w:val="22"/>
        </w:rPr>
        <w:t>o</w:t>
      </w:r>
      <w:r w:rsidRPr="0000057F">
        <w:rPr>
          <w:sz w:val="22"/>
          <w:szCs w:val="22"/>
        </w:rPr>
        <w:t xml:space="preserve">utput </w:t>
      </w:r>
      <w:r>
        <w:rPr>
          <w:sz w:val="22"/>
          <w:szCs w:val="22"/>
        </w:rPr>
        <w:t>m</w:t>
      </w:r>
      <w:r w:rsidRPr="0000057F">
        <w:rPr>
          <w:sz w:val="22"/>
          <w:szCs w:val="22"/>
        </w:rPr>
        <w:t xml:space="preserve">odels. </w:t>
      </w:r>
      <w:r w:rsidRPr="0000057F">
        <w:rPr>
          <w:i/>
          <w:sz w:val="22"/>
          <w:szCs w:val="22"/>
        </w:rPr>
        <w:t>Economic Systems Research</w:t>
      </w:r>
      <w:r>
        <w:rPr>
          <w:sz w:val="22"/>
          <w:szCs w:val="22"/>
        </w:rPr>
        <w:t>,</w:t>
      </w:r>
      <w:r w:rsidRPr="0000057F">
        <w:rPr>
          <w:i/>
          <w:sz w:val="22"/>
          <w:szCs w:val="22"/>
        </w:rPr>
        <w:t xml:space="preserve"> </w:t>
      </w:r>
      <w:r w:rsidRPr="0000057F">
        <w:rPr>
          <w:sz w:val="22"/>
          <w:szCs w:val="22"/>
        </w:rPr>
        <w:t>5</w:t>
      </w:r>
      <w:r>
        <w:rPr>
          <w:sz w:val="22"/>
          <w:szCs w:val="22"/>
        </w:rPr>
        <w:t>,</w:t>
      </w:r>
      <w:r w:rsidRPr="0000057F">
        <w:rPr>
          <w:sz w:val="22"/>
          <w:szCs w:val="22"/>
        </w:rPr>
        <w:t xml:space="preserve"> 277</w:t>
      </w:r>
      <w:r w:rsidRPr="0000057F">
        <w:rPr>
          <w:sz w:val="22"/>
          <w:szCs w:val="22"/>
        </w:rPr>
        <w:sym w:font="Symbol" w:char="F02D"/>
      </w:r>
      <w:r>
        <w:rPr>
          <w:sz w:val="22"/>
          <w:szCs w:val="22"/>
        </w:rPr>
        <w:t>2</w:t>
      </w:r>
      <w:r w:rsidRPr="0000057F">
        <w:rPr>
          <w:sz w:val="22"/>
          <w:szCs w:val="22"/>
        </w:rPr>
        <w:t>93.</w:t>
      </w:r>
    </w:p>
    <w:p w:rsidR="00BC2C18" w:rsidRDefault="00BC2C18" w:rsidP="00BC2C18">
      <w:pPr>
        <w:widowControl w:val="0"/>
        <w:ind w:firstLine="0"/>
        <w:rPr>
          <w:sz w:val="22"/>
          <w:szCs w:val="22"/>
        </w:rPr>
      </w:pPr>
      <w:r>
        <w:rPr>
          <w:sz w:val="22"/>
          <w:szCs w:val="22"/>
        </w:rPr>
        <w:t>Lahr, M.L. (2001). Reconciling d</w:t>
      </w:r>
      <w:r w:rsidRPr="00A95D23">
        <w:rPr>
          <w:sz w:val="22"/>
          <w:szCs w:val="22"/>
        </w:rPr>
        <w:t xml:space="preserve">omestication </w:t>
      </w:r>
      <w:r>
        <w:rPr>
          <w:sz w:val="22"/>
          <w:szCs w:val="22"/>
        </w:rPr>
        <w:t>t</w:t>
      </w:r>
      <w:r w:rsidRPr="00A95D23">
        <w:rPr>
          <w:sz w:val="22"/>
          <w:szCs w:val="22"/>
        </w:rPr>
        <w:t xml:space="preserve">echniques, the </w:t>
      </w:r>
      <w:r>
        <w:rPr>
          <w:sz w:val="22"/>
          <w:szCs w:val="22"/>
        </w:rPr>
        <w:t>notion of r</w:t>
      </w:r>
      <w:r w:rsidRPr="00A95D23">
        <w:rPr>
          <w:sz w:val="22"/>
          <w:szCs w:val="22"/>
        </w:rPr>
        <w:t xml:space="preserve">e-exports and </w:t>
      </w:r>
      <w:r>
        <w:rPr>
          <w:sz w:val="22"/>
          <w:szCs w:val="22"/>
        </w:rPr>
        <w:t>s</w:t>
      </w:r>
      <w:r w:rsidRPr="00A95D23">
        <w:rPr>
          <w:sz w:val="22"/>
          <w:szCs w:val="22"/>
        </w:rPr>
        <w:t xml:space="preserve">ome </w:t>
      </w:r>
      <w:r>
        <w:rPr>
          <w:sz w:val="22"/>
          <w:szCs w:val="22"/>
        </w:rPr>
        <w:t>c</w:t>
      </w:r>
      <w:r w:rsidRPr="00A95D23">
        <w:rPr>
          <w:sz w:val="22"/>
          <w:szCs w:val="22"/>
        </w:rPr>
        <w:t xml:space="preserve">omments on </w:t>
      </w:r>
      <w:r>
        <w:rPr>
          <w:sz w:val="22"/>
          <w:szCs w:val="22"/>
        </w:rPr>
        <w:t>r</w:t>
      </w:r>
      <w:r w:rsidRPr="00A95D23">
        <w:rPr>
          <w:sz w:val="22"/>
          <w:szCs w:val="22"/>
        </w:rPr>
        <w:t xml:space="preserve">egional </w:t>
      </w:r>
      <w:r>
        <w:rPr>
          <w:sz w:val="22"/>
          <w:szCs w:val="22"/>
        </w:rPr>
        <w:t>a</w:t>
      </w:r>
      <w:r w:rsidRPr="00A95D23">
        <w:rPr>
          <w:sz w:val="22"/>
          <w:szCs w:val="22"/>
        </w:rPr>
        <w:t>ccounting</w:t>
      </w:r>
      <w:r w:rsidRPr="0000057F">
        <w:rPr>
          <w:sz w:val="22"/>
          <w:szCs w:val="22"/>
        </w:rPr>
        <w:t xml:space="preserve">. </w:t>
      </w:r>
      <w:r w:rsidRPr="0000057F">
        <w:rPr>
          <w:i/>
          <w:sz w:val="22"/>
          <w:szCs w:val="22"/>
        </w:rPr>
        <w:t>Economic Systems Research</w:t>
      </w:r>
      <w:r>
        <w:rPr>
          <w:sz w:val="22"/>
          <w:szCs w:val="22"/>
        </w:rPr>
        <w:t>,</w:t>
      </w:r>
      <w:r w:rsidRPr="0000057F">
        <w:rPr>
          <w:i/>
          <w:sz w:val="22"/>
          <w:szCs w:val="22"/>
        </w:rPr>
        <w:t xml:space="preserve"> </w:t>
      </w:r>
      <w:r>
        <w:rPr>
          <w:sz w:val="22"/>
          <w:szCs w:val="22"/>
        </w:rPr>
        <w:t>13,</w:t>
      </w:r>
      <w:r w:rsidRPr="0000057F">
        <w:rPr>
          <w:sz w:val="22"/>
          <w:szCs w:val="22"/>
        </w:rPr>
        <w:t xml:space="preserve"> </w:t>
      </w:r>
      <w:r>
        <w:rPr>
          <w:sz w:val="22"/>
          <w:szCs w:val="22"/>
        </w:rPr>
        <w:t>165</w:t>
      </w:r>
      <w:r w:rsidRPr="0000057F">
        <w:rPr>
          <w:sz w:val="22"/>
          <w:szCs w:val="22"/>
        </w:rPr>
        <w:sym w:font="Symbol" w:char="F02D"/>
      </w:r>
      <w:r>
        <w:rPr>
          <w:sz w:val="22"/>
          <w:szCs w:val="22"/>
        </w:rPr>
        <w:t>179</w:t>
      </w:r>
      <w:r w:rsidRPr="0000057F">
        <w:rPr>
          <w:sz w:val="22"/>
          <w:szCs w:val="22"/>
        </w:rPr>
        <w:t>.</w:t>
      </w:r>
    </w:p>
    <w:p w:rsidR="00750217" w:rsidRDefault="00F638F0" w:rsidP="00750217">
      <w:pPr>
        <w:widowControl w:val="0"/>
        <w:ind w:firstLine="0"/>
        <w:rPr>
          <w:sz w:val="22"/>
          <w:szCs w:val="22"/>
          <w:lang w:val="en-US"/>
        </w:rPr>
      </w:pPr>
      <w:r>
        <w:rPr>
          <w:sz w:val="22"/>
          <w:szCs w:val="22"/>
        </w:rPr>
        <w:t>Theil</w:t>
      </w:r>
      <w:r w:rsidR="00750217">
        <w:rPr>
          <w:sz w:val="22"/>
          <w:szCs w:val="22"/>
        </w:rPr>
        <w:t>,</w:t>
      </w:r>
      <w:r w:rsidR="00750217" w:rsidRPr="007113B8">
        <w:rPr>
          <w:sz w:val="22"/>
          <w:szCs w:val="22"/>
        </w:rPr>
        <w:t xml:space="preserve"> H., B</w:t>
      </w:r>
      <w:r w:rsidR="00750217" w:rsidRPr="00D82461">
        <w:rPr>
          <w:sz w:val="22"/>
          <w:szCs w:val="22"/>
        </w:rPr>
        <w:t>eerens</w:t>
      </w:r>
      <w:r w:rsidR="00750217">
        <w:rPr>
          <w:sz w:val="22"/>
          <w:szCs w:val="22"/>
        </w:rPr>
        <w:t>,</w:t>
      </w:r>
      <w:r w:rsidR="00750217" w:rsidRPr="00750217">
        <w:rPr>
          <w:sz w:val="22"/>
          <w:szCs w:val="22"/>
        </w:rPr>
        <w:t xml:space="preserve"> </w:t>
      </w:r>
      <w:r w:rsidR="00750217" w:rsidRPr="007113B8">
        <w:rPr>
          <w:sz w:val="22"/>
          <w:szCs w:val="22"/>
        </w:rPr>
        <w:t>G.A.C., D</w:t>
      </w:r>
      <w:r w:rsidR="00750217">
        <w:rPr>
          <w:sz w:val="22"/>
          <w:szCs w:val="22"/>
        </w:rPr>
        <w:t>e</w:t>
      </w:r>
      <w:r w:rsidR="00750217" w:rsidRPr="007113B8">
        <w:rPr>
          <w:sz w:val="22"/>
          <w:szCs w:val="22"/>
        </w:rPr>
        <w:t>L</w:t>
      </w:r>
      <w:r w:rsidR="00750217" w:rsidRPr="00D82461">
        <w:rPr>
          <w:sz w:val="22"/>
          <w:szCs w:val="22"/>
        </w:rPr>
        <w:t>eeuw</w:t>
      </w:r>
      <w:r w:rsidR="00750217">
        <w:rPr>
          <w:sz w:val="22"/>
          <w:szCs w:val="22"/>
        </w:rPr>
        <w:t>,</w:t>
      </w:r>
      <w:r w:rsidR="00750217" w:rsidRPr="007113B8">
        <w:rPr>
          <w:sz w:val="22"/>
          <w:szCs w:val="22"/>
        </w:rPr>
        <w:t xml:space="preserve"> C.G.</w:t>
      </w:r>
      <w:r w:rsidR="00750217">
        <w:rPr>
          <w:sz w:val="22"/>
          <w:szCs w:val="22"/>
        </w:rPr>
        <w:t xml:space="preserve"> </w:t>
      </w:r>
      <w:r w:rsidR="00750217" w:rsidRPr="007113B8">
        <w:rPr>
          <w:sz w:val="22"/>
          <w:szCs w:val="22"/>
        </w:rPr>
        <w:t>and T</w:t>
      </w:r>
      <w:r w:rsidR="00750217" w:rsidRPr="00D82461">
        <w:rPr>
          <w:sz w:val="22"/>
          <w:szCs w:val="22"/>
        </w:rPr>
        <w:t>ilanus</w:t>
      </w:r>
      <w:r w:rsidR="00750217">
        <w:rPr>
          <w:sz w:val="22"/>
          <w:szCs w:val="22"/>
        </w:rPr>
        <w:t>,</w:t>
      </w:r>
      <w:r w:rsidR="00750217" w:rsidRPr="007113B8">
        <w:rPr>
          <w:sz w:val="22"/>
          <w:szCs w:val="22"/>
        </w:rPr>
        <w:t xml:space="preserve"> C.B. (1966) </w:t>
      </w:r>
      <w:r w:rsidR="00750217" w:rsidRPr="007113B8">
        <w:rPr>
          <w:i/>
          <w:sz w:val="22"/>
          <w:szCs w:val="22"/>
        </w:rPr>
        <w:t>Applied Economic Forecasting</w:t>
      </w:r>
      <w:r w:rsidR="00750217">
        <w:rPr>
          <w:sz w:val="22"/>
          <w:szCs w:val="22"/>
        </w:rPr>
        <w:t xml:space="preserve">. </w:t>
      </w:r>
      <w:r w:rsidR="00750217" w:rsidRPr="007113B8">
        <w:rPr>
          <w:sz w:val="22"/>
          <w:szCs w:val="22"/>
        </w:rPr>
        <w:t>Elsevier, New York.</w:t>
      </w:r>
    </w:p>
    <w:p w:rsidR="006836F0" w:rsidRPr="00750217" w:rsidRDefault="006836F0" w:rsidP="00750217">
      <w:pPr>
        <w:widowControl w:val="0"/>
        <w:ind w:firstLine="0"/>
        <w:rPr>
          <w:sz w:val="22"/>
          <w:szCs w:val="22"/>
          <w:lang w:val="en-US"/>
        </w:rPr>
      </w:pPr>
      <w:r w:rsidRPr="001F0125">
        <w:rPr>
          <w:sz w:val="22"/>
          <w:szCs w:val="22"/>
        </w:rPr>
        <w:t>Többen</w:t>
      </w:r>
      <w:r>
        <w:rPr>
          <w:sz w:val="22"/>
          <w:szCs w:val="22"/>
        </w:rPr>
        <w:t>, J. and</w:t>
      </w:r>
      <w:r w:rsidRPr="001F0125">
        <w:rPr>
          <w:sz w:val="22"/>
          <w:szCs w:val="22"/>
        </w:rPr>
        <w:t xml:space="preserve"> Kronenberg, T.</w:t>
      </w:r>
      <w:r>
        <w:rPr>
          <w:sz w:val="22"/>
          <w:szCs w:val="22"/>
        </w:rPr>
        <w:t xml:space="preserve"> </w:t>
      </w:r>
      <w:r w:rsidRPr="00F260BC">
        <w:rPr>
          <w:sz w:val="22"/>
          <w:szCs w:val="22"/>
        </w:rPr>
        <w:t>(201</w:t>
      </w:r>
      <w:r>
        <w:rPr>
          <w:sz w:val="22"/>
          <w:szCs w:val="22"/>
        </w:rPr>
        <w:t>5</w:t>
      </w:r>
      <w:r w:rsidRPr="00F260BC">
        <w:rPr>
          <w:sz w:val="22"/>
          <w:szCs w:val="22"/>
        </w:rPr>
        <w:t xml:space="preserve">) </w:t>
      </w:r>
      <w:r>
        <w:rPr>
          <w:sz w:val="22"/>
          <w:szCs w:val="22"/>
        </w:rPr>
        <w:t>Construction of multi-r</w:t>
      </w:r>
      <w:r w:rsidRPr="00100B39">
        <w:rPr>
          <w:sz w:val="22"/>
          <w:szCs w:val="22"/>
        </w:rPr>
        <w:t xml:space="preserve">egional </w:t>
      </w:r>
      <w:r>
        <w:rPr>
          <w:sz w:val="22"/>
          <w:szCs w:val="22"/>
        </w:rPr>
        <w:t>i</w:t>
      </w:r>
      <w:r w:rsidRPr="00100B39">
        <w:rPr>
          <w:sz w:val="22"/>
          <w:szCs w:val="22"/>
        </w:rPr>
        <w:t>nput</w:t>
      </w:r>
      <w:r w:rsidRPr="00100B39">
        <w:rPr>
          <w:sz w:val="22"/>
          <w:szCs w:val="22"/>
        </w:rPr>
        <w:sym w:font="Symbol" w:char="F02D"/>
      </w:r>
      <w:r>
        <w:rPr>
          <w:sz w:val="22"/>
          <w:szCs w:val="22"/>
        </w:rPr>
        <w:t>o</w:t>
      </w:r>
      <w:r w:rsidRPr="00100B39">
        <w:rPr>
          <w:sz w:val="22"/>
          <w:szCs w:val="22"/>
        </w:rPr>
        <w:t xml:space="preserve">utput </w:t>
      </w:r>
      <w:r>
        <w:rPr>
          <w:sz w:val="22"/>
          <w:szCs w:val="22"/>
        </w:rPr>
        <w:t>t</w:t>
      </w:r>
      <w:r w:rsidRPr="00100B39">
        <w:rPr>
          <w:sz w:val="22"/>
          <w:szCs w:val="22"/>
        </w:rPr>
        <w:t xml:space="preserve">ables </w:t>
      </w:r>
      <w:r>
        <w:rPr>
          <w:sz w:val="22"/>
          <w:szCs w:val="22"/>
        </w:rPr>
        <w:t>u</w:t>
      </w:r>
      <w:r w:rsidRPr="00100B39">
        <w:rPr>
          <w:sz w:val="22"/>
          <w:szCs w:val="22"/>
        </w:rPr>
        <w:t>sing</w:t>
      </w:r>
      <w:r>
        <w:rPr>
          <w:sz w:val="22"/>
          <w:szCs w:val="22"/>
        </w:rPr>
        <w:t xml:space="preserve"> </w:t>
      </w:r>
      <w:r>
        <w:rPr>
          <w:sz w:val="22"/>
          <w:szCs w:val="22"/>
          <w:lang w:val="en-US"/>
        </w:rPr>
        <w:t xml:space="preserve">the </w:t>
      </w:r>
      <w:r w:rsidRPr="00F260BC">
        <w:rPr>
          <w:sz w:val="22"/>
          <w:szCs w:val="22"/>
          <w:lang w:val="en-US"/>
        </w:rPr>
        <w:t xml:space="preserve">CHARM </w:t>
      </w:r>
      <w:r>
        <w:rPr>
          <w:sz w:val="22"/>
          <w:szCs w:val="22"/>
          <w:lang w:val="en-US"/>
        </w:rPr>
        <w:t>method</w:t>
      </w:r>
      <w:r w:rsidRPr="00F260BC">
        <w:rPr>
          <w:sz w:val="22"/>
          <w:szCs w:val="22"/>
          <w:lang w:val="en-US"/>
        </w:rPr>
        <w:t xml:space="preserve">. </w:t>
      </w:r>
      <w:r w:rsidRPr="00F260BC">
        <w:rPr>
          <w:i/>
          <w:sz w:val="22"/>
          <w:szCs w:val="22"/>
          <w:lang w:val="en-US"/>
        </w:rPr>
        <w:t>Economic Systems Research</w:t>
      </w:r>
      <w:r w:rsidRPr="00F260BC">
        <w:rPr>
          <w:sz w:val="22"/>
          <w:szCs w:val="22"/>
          <w:lang w:val="en-US"/>
        </w:rPr>
        <w:t xml:space="preserve">, </w:t>
      </w:r>
      <w:r w:rsidRPr="00F260BC">
        <w:rPr>
          <w:sz w:val="22"/>
          <w:szCs w:val="22"/>
        </w:rPr>
        <w:t xml:space="preserve">27, </w:t>
      </w:r>
      <w:r>
        <w:rPr>
          <w:sz w:val="22"/>
          <w:szCs w:val="22"/>
        </w:rPr>
        <w:t>487</w:t>
      </w:r>
      <w:r w:rsidRPr="00F260BC">
        <w:rPr>
          <w:sz w:val="22"/>
          <w:szCs w:val="22"/>
        </w:rPr>
        <w:sym w:font="Symbol" w:char="F02D"/>
      </w:r>
      <w:r>
        <w:rPr>
          <w:sz w:val="22"/>
          <w:szCs w:val="22"/>
        </w:rPr>
        <w:t>507</w:t>
      </w:r>
      <w:r w:rsidRPr="00F260BC">
        <w:rPr>
          <w:sz w:val="22"/>
          <w:szCs w:val="22"/>
        </w:rPr>
        <w:t>.</w:t>
      </w:r>
    </w:p>
    <w:p w:rsidR="006836F0" w:rsidRPr="00E76164" w:rsidRDefault="006836F0" w:rsidP="006836F0">
      <w:pPr>
        <w:widowControl w:val="0"/>
        <w:spacing w:after="60"/>
        <w:ind w:firstLine="0"/>
        <w:rPr>
          <w:sz w:val="22"/>
          <w:szCs w:val="22"/>
          <w:lang w:val="en-US"/>
        </w:rPr>
      </w:pPr>
      <w:r w:rsidRPr="00D708B3">
        <w:rPr>
          <w:color w:val="000000"/>
          <w:sz w:val="22"/>
          <w:szCs w:val="22"/>
        </w:rPr>
        <w:t>Tohmo, T. (2004)</w:t>
      </w:r>
      <w:r w:rsidRPr="00D708B3">
        <w:rPr>
          <w:sz w:val="22"/>
          <w:szCs w:val="22"/>
        </w:rPr>
        <w:t xml:space="preserve"> New </w:t>
      </w:r>
      <w:r>
        <w:rPr>
          <w:sz w:val="22"/>
          <w:szCs w:val="22"/>
        </w:rPr>
        <w:t>d</w:t>
      </w:r>
      <w:r w:rsidRPr="00D708B3">
        <w:rPr>
          <w:sz w:val="22"/>
          <w:szCs w:val="22"/>
        </w:rPr>
        <w:t xml:space="preserve">evelopments in the </w:t>
      </w:r>
      <w:r>
        <w:rPr>
          <w:sz w:val="22"/>
          <w:szCs w:val="22"/>
        </w:rPr>
        <w:t>u</w:t>
      </w:r>
      <w:r w:rsidRPr="00D708B3">
        <w:rPr>
          <w:sz w:val="22"/>
          <w:szCs w:val="22"/>
        </w:rPr>
        <w:t xml:space="preserve">se of </w:t>
      </w:r>
      <w:r>
        <w:rPr>
          <w:sz w:val="22"/>
          <w:szCs w:val="22"/>
        </w:rPr>
        <w:t>l</w:t>
      </w:r>
      <w:r w:rsidRPr="00D708B3">
        <w:rPr>
          <w:sz w:val="22"/>
          <w:szCs w:val="22"/>
        </w:rPr>
        <w:t xml:space="preserve">ocation </w:t>
      </w:r>
      <w:r>
        <w:rPr>
          <w:sz w:val="22"/>
          <w:szCs w:val="22"/>
        </w:rPr>
        <w:t>q</w:t>
      </w:r>
      <w:r w:rsidRPr="00D708B3">
        <w:rPr>
          <w:sz w:val="22"/>
          <w:szCs w:val="22"/>
        </w:rPr>
        <w:t xml:space="preserve">uotients to </w:t>
      </w:r>
      <w:r>
        <w:rPr>
          <w:sz w:val="22"/>
          <w:szCs w:val="22"/>
        </w:rPr>
        <w:t>e</w:t>
      </w:r>
      <w:r w:rsidRPr="00D708B3">
        <w:rPr>
          <w:sz w:val="22"/>
          <w:szCs w:val="22"/>
        </w:rPr>
        <w:t xml:space="preserve">stimate </w:t>
      </w:r>
      <w:r>
        <w:rPr>
          <w:sz w:val="22"/>
          <w:szCs w:val="22"/>
        </w:rPr>
        <w:t>r</w:t>
      </w:r>
      <w:r w:rsidRPr="00D708B3">
        <w:rPr>
          <w:sz w:val="22"/>
          <w:szCs w:val="22"/>
        </w:rPr>
        <w:t xml:space="preserve">egional </w:t>
      </w:r>
      <w:r>
        <w:rPr>
          <w:sz w:val="22"/>
          <w:szCs w:val="22"/>
        </w:rPr>
        <w:t>i</w:t>
      </w:r>
      <w:r w:rsidRPr="00D708B3">
        <w:rPr>
          <w:sz w:val="22"/>
          <w:szCs w:val="22"/>
        </w:rPr>
        <w:t>nput</w:t>
      </w:r>
      <w:r w:rsidRPr="00D708B3">
        <w:rPr>
          <w:sz w:val="22"/>
          <w:szCs w:val="22"/>
        </w:rPr>
        <w:sym w:font="Symbol" w:char="F02D"/>
      </w:r>
      <w:r>
        <w:rPr>
          <w:sz w:val="22"/>
          <w:szCs w:val="22"/>
        </w:rPr>
        <w:t>o</w:t>
      </w:r>
      <w:r w:rsidRPr="00D708B3">
        <w:rPr>
          <w:sz w:val="22"/>
          <w:szCs w:val="22"/>
        </w:rPr>
        <w:t xml:space="preserve">utput </w:t>
      </w:r>
      <w:r>
        <w:rPr>
          <w:sz w:val="22"/>
          <w:szCs w:val="22"/>
        </w:rPr>
        <w:t>c</w:t>
      </w:r>
      <w:r w:rsidRPr="00D708B3">
        <w:rPr>
          <w:sz w:val="22"/>
          <w:szCs w:val="22"/>
        </w:rPr>
        <w:t xml:space="preserve">oefficients and </w:t>
      </w:r>
      <w:r>
        <w:rPr>
          <w:sz w:val="22"/>
          <w:szCs w:val="22"/>
        </w:rPr>
        <w:t>m</w:t>
      </w:r>
      <w:r w:rsidRPr="00D708B3">
        <w:rPr>
          <w:sz w:val="22"/>
          <w:szCs w:val="22"/>
        </w:rPr>
        <w:t>ultipliers</w:t>
      </w:r>
      <w:r>
        <w:rPr>
          <w:sz w:val="22"/>
          <w:szCs w:val="22"/>
        </w:rPr>
        <w:t>.</w:t>
      </w:r>
      <w:r w:rsidRPr="00D708B3">
        <w:rPr>
          <w:sz w:val="22"/>
          <w:szCs w:val="22"/>
        </w:rPr>
        <w:t xml:space="preserve"> </w:t>
      </w:r>
      <w:r w:rsidRPr="00D708B3">
        <w:rPr>
          <w:i/>
          <w:sz w:val="22"/>
          <w:szCs w:val="22"/>
        </w:rPr>
        <w:t>Regional Studies</w:t>
      </w:r>
      <w:r w:rsidRPr="00D708B3">
        <w:rPr>
          <w:sz w:val="22"/>
          <w:szCs w:val="22"/>
        </w:rPr>
        <w:t>, 38, 43</w:t>
      </w:r>
      <w:r w:rsidRPr="00D708B3">
        <w:rPr>
          <w:sz w:val="22"/>
          <w:szCs w:val="22"/>
        </w:rPr>
        <w:sym w:font="Symbol" w:char="F02D"/>
      </w:r>
      <w:r w:rsidRPr="00D708B3">
        <w:rPr>
          <w:sz w:val="22"/>
          <w:szCs w:val="22"/>
        </w:rPr>
        <w:t>54.</w:t>
      </w:r>
    </w:p>
    <w:p w:rsidR="008C4466" w:rsidRDefault="006836F0" w:rsidP="0005658A">
      <w:pPr>
        <w:spacing w:after="60"/>
        <w:ind w:firstLine="0"/>
        <w:rPr>
          <w:sz w:val="22"/>
          <w:szCs w:val="22"/>
        </w:rPr>
      </w:pPr>
      <w:r w:rsidRPr="00E76164">
        <w:rPr>
          <w:color w:val="000000"/>
          <w:sz w:val="22"/>
          <w:szCs w:val="22"/>
        </w:rPr>
        <w:t>Zhao, X. and S-G. Choi</w:t>
      </w:r>
      <w:r w:rsidRPr="00E76164">
        <w:rPr>
          <w:sz w:val="22"/>
          <w:szCs w:val="22"/>
        </w:rPr>
        <w:t xml:space="preserve"> (2015) On the regionalization of input</w:t>
      </w:r>
      <w:r w:rsidRPr="00E76164">
        <w:rPr>
          <w:sz w:val="22"/>
          <w:szCs w:val="22"/>
        </w:rPr>
        <w:sym w:font="Symbol" w:char="F02D"/>
      </w:r>
      <w:r w:rsidRPr="00E76164">
        <w:rPr>
          <w:sz w:val="22"/>
          <w:szCs w:val="22"/>
        </w:rPr>
        <w:t xml:space="preserve">output tables with an industry-specific location quotient. </w:t>
      </w:r>
      <w:r w:rsidRPr="00E76164">
        <w:rPr>
          <w:i/>
          <w:sz w:val="22"/>
          <w:szCs w:val="22"/>
        </w:rPr>
        <w:t>Annals of Regional Science</w:t>
      </w:r>
      <w:r w:rsidRPr="00E76164">
        <w:rPr>
          <w:sz w:val="22"/>
          <w:szCs w:val="22"/>
        </w:rPr>
        <w:t xml:space="preserve">, </w:t>
      </w:r>
      <w:r>
        <w:rPr>
          <w:sz w:val="22"/>
          <w:szCs w:val="22"/>
        </w:rPr>
        <w:t>5</w:t>
      </w:r>
      <w:r w:rsidRPr="00E76164">
        <w:rPr>
          <w:sz w:val="22"/>
          <w:szCs w:val="22"/>
        </w:rPr>
        <w:t>4</w:t>
      </w:r>
      <w:r>
        <w:rPr>
          <w:sz w:val="22"/>
          <w:szCs w:val="22"/>
        </w:rPr>
        <w:t>, 901</w:t>
      </w:r>
      <w:r w:rsidRPr="008357D7">
        <w:rPr>
          <w:sz w:val="22"/>
          <w:szCs w:val="22"/>
        </w:rPr>
        <w:sym w:font="Symbol" w:char="F02D"/>
      </w:r>
      <w:r>
        <w:rPr>
          <w:sz w:val="22"/>
          <w:szCs w:val="22"/>
        </w:rPr>
        <w:t>926</w:t>
      </w:r>
      <w:r w:rsidR="0050557D">
        <w:rPr>
          <w:sz w:val="22"/>
          <w:szCs w:val="22"/>
        </w:rPr>
        <w:t>.</w:t>
      </w:r>
    </w:p>
    <w:p w:rsidR="00A1113E" w:rsidRDefault="00A1113E">
      <w:pPr>
        <w:spacing w:after="0"/>
        <w:ind w:firstLine="0"/>
        <w:jc w:val="left"/>
        <w:rPr>
          <w:sz w:val="22"/>
          <w:szCs w:val="22"/>
        </w:rPr>
      </w:pPr>
      <w:r>
        <w:rPr>
          <w:sz w:val="22"/>
          <w:szCs w:val="22"/>
        </w:rPr>
        <w:br w:type="page"/>
      </w:r>
    </w:p>
    <w:p w:rsidR="00A1113E" w:rsidRDefault="00A1113E" w:rsidP="0005658A">
      <w:pPr>
        <w:spacing w:after="60"/>
        <w:ind w:firstLine="0"/>
        <w:rPr>
          <w:sz w:val="22"/>
          <w:szCs w:val="22"/>
        </w:rPr>
      </w:pPr>
    </w:p>
    <w:p w:rsidR="00BC496A" w:rsidRDefault="00BC496A" w:rsidP="00BC496A">
      <w:pPr>
        <w:ind w:left="1134" w:right="946" w:firstLine="0"/>
        <w:jc w:val="left"/>
        <w:rPr>
          <w:color w:val="000000"/>
          <w:szCs w:val="26"/>
        </w:rPr>
      </w:pPr>
      <w:r w:rsidRPr="002C6D87">
        <w:rPr>
          <w:b/>
          <w:color w:val="000000"/>
          <w:szCs w:val="26"/>
        </w:rPr>
        <w:t>Table 1</w:t>
      </w:r>
      <w:r>
        <w:rPr>
          <w:color w:val="000000"/>
          <w:szCs w:val="26"/>
        </w:rPr>
        <w:t xml:space="preserve">  </w:t>
      </w:r>
      <w:r w:rsidRPr="005C4B7A">
        <w:rPr>
          <w:color w:val="000000"/>
          <w:szCs w:val="26"/>
        </w:rPr>
        <w:t>Accuracy</w:t>
      </w:r>
      <w:r>
        <w:rPr>
          <w:color w:val="000000"/>
          <w:szCs w:val="26"/>
        </w:rPr>
        <w:t xml:space="preserve"> of estimated type I output</w:t>
      </w:r>
      <w:r w:rsidRPr="005C4B7A">
        <w:rPr>
          <w:color w:val="000000"/>
          <w:szCs w:val="26"/>
        </w:rPr>
        <w:t xml:space="preserve"> </w:t>
      </w:r>
      <w:r>
        <w:rPr>
          <w:color w:val="000000"/>
          <w:szCs w:val="26"/>
        </w:rPr>
        <w:t>multipliers for two South Korean regions</w:t>
      </w:r>
      <w:r>
        <w:rPr>
          <w:b/>
          <w:lang w:val="en-US"/>
        </w:rPr>
        <w:t xml:space="preserve"> </w:t>
      </w:r>
      <w:r w:rsidRPr="005C4B7A">
        <w:rPr>
          <w:color w:val="000000"/>
          <w:szCs w:val="26"/>
        </w:rPr>
        <w:t>in 200</w:t>
      </w:r>
      <w:r>
        <w:rPr>
          <w:color w:val="000000"/>
          <w:szCs w:val="26"/>
        </w:rPr>
        <w:t xml:space="preserve">5: </w:t>
      </w:r>
      <w:r w:rsidRPr="00CA4595">
        <w:t>Zhao and Choi’s</w:t>
      </w:r>
      <w:r>
        <w:rPr>
          <w:sz w:val="22"/>
          <w:szCs w:val="22"/>
        </w:rPr>
        <w:t xml:space="preserve"> </w:t>
      </w:r>
      <w:r w:rsidRPr="00CA4595">
        <w:t>findings</w:t>
      </w:r>
      <w:r>
        <w:rPr>
          <w:color w:val="000000"/>
          <w:szCs w:val="26"/>
        </w:rPr>
        <w:t xml:space="preserve"> (MAPE based on 28 sectors)</w:t>
      </w:r>
    </w:p>
    <w:tbl>
      <w:tblPr>
        <w:tblW w:w="6844" w:type="dxa"/>
        <w:jc w:val="center"/>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977"/>
        <w:gridCol w:w="1985"/>
        <w:gridCol w:w="1882"/>
      </w:tblGrid>
      <w:tr w:rsidR="00BC496A" w:rsidTr="007372A1">
        <w:trPr>
          <w:trHeight w:val="311"/>
          <w:jc w:val="center"/>
        </w:trPr>
        <w:tc>
          <w:tcPr>
            <w:tcW w:w="2977" w:type="dxa"/>
            <w:vMerge w:val="restart"/>
          </w:tcPr>
          <w:p w:rsidR="00BC496A" w:rsidRDefault="00BC496A" w:rsidP="007372A1">
            <w:pPr>
              <w:pStyle w:val="Normaali1"/>
              <w:spacing w:before="60" w:after="60" w:line="240" w:lineRule="auto"/>
              <w:ind w:left="-4" w:right="125"/>
              <w:rPr>
                <w:rFonts w:ascii="Times New Roman" w:hAnsi="Times New Roman"/>
                <w:sz w:val="22"/>
                <w:szCs w:val="22"/>
              </w:rPr>
            </w:pPr>
          </w:p>
          <w:p w:rsidR="00BC496A" w:rsidRPr="00F3332B" w:rsidRDefault="00BC496A" w:rsidP="007372A1">
            <w:pPr>
              <w:pStyle w:val="Normaali1"/>
              <w:spacing w:before="60" w:after="60" w:line="240" w:lineRule="auto"/>
              <w:ind w:left="-4" w:right="125"/>
              <w:rPr>
                <w:rFonts w:ascii="Times New Roman" w:hAnsi="Times New Roman"/>
                <w:sz w:val="22"/>
                <w:szCs w:val="22"/>
              </w:rPr>
            </w:pPr>
            <w:r>
              <w:rPr>
                <w:rFonts w:ascii="Times New Roman" w:hAnsi="Times New Roman"/>
                <w:sz w:val="22"/>
                <w:szCs w:val="22"/>
              </w:rPr>
              <w:t>Formula</w:t>
            </w:r>
          </w:p>
        </w:tc>
        <w:tc>
          <w:tcPr>
            <w:tcW w:w="3867" w:type="dxa"/>
            <w:gridSpan w:val="2"/>
          </w:tcPr>
          <w:p w:rsidR="00BC496A" w:rsidRPr="00F3332B"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Region</w:t>
            </w:r>
          </w:p>
        </w:tc>
      </w:tr>
      <w:tr w:rsidR="00BC496A" w:rsidTr="007372A1">
        <w:trPr>
          <w:trHeight w:val="310"/>
          <w:jc w:val="center"/>
        </w:trPr>
        <w:tc>
          <w:tcPr>
            <w:tcW w:w="2977" w:type="dxa"/>
            <w:vMerge/>
          </w:tcPr>
          <w:p w:rsidR="00BC496A" w:rsidRPr="00F3332B" w:rsidRDefault="00BC496A" w:rsidP="007372A1">
            <w:pPr>
              <w:pStyle w:val="Normaali1"/>
              <w:spacing w:before="60" w:after="60" w:line="240" w:lineRule="auto"/>
              <w:ind w:left="5" w:right="125"/>
              <w:rPr>
                <w:rFonts w:ascii="Times New Roman" w:hAnsi="Times New Roman"/>
                <w:sz w:val="22"/>
                <w:szCs w:val="22"/>
              </w:rPr>
            </w:pPr>
          </w:p>
        </w:tc>
        <w:tc>
          <w:tcPr>
            <w:tcW w:w="1985" w:type="dxa"/>
          </w:tcPr>
          <w:p w:rsidR="00BC496A"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Daegu</w:t>
            </w:r>
          </w:p>
        </w:tc>
        <w:tc>
          <w:tcPr>
            <w:tcW w:w="1882" w:type="dxa"/>
          </w:tcPr>
          <w:p w:rsidR="00BC496A"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Gyeongbuk</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SLQ</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50.78</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70.91</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CILQ</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63.01</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61.85</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14.14</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22.89</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4</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9.36</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15.84</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5</w:t>
            </w:r>
            <w:r w:rsidRPr="00F3332B">
              <w:rPr>
                <w:rFonts w:ascii="Times New Roman" w:hAnsi="Times New Roman"/>
                <w:sz w:val="22"/>
                <w:szCs w:val="22"/>
              </w:rPr>
              <w:t>)</w:t>
            </w:r>
          </w:p>
        </w:tc>
        <w:tc>
          <w:tcPr>
            <w:tcW w:w="1985" w:type="dxa"/>
            <w:vAlign w:val="bottom"/>
          </w:tcPr>
          <w:p w:rsidR="00BC496A" w:rsidRPr="003B43D6" w:rsidRDefault="00BC496A" w:rsidP="007372A1">
            <w:pPr>
              <w:widowControl w:val="0"/>
              <w:tabs>
                <w:tab w:val="decimal" w:pos="736"/>
              </w:tabs>
              <w:adjustRightInd w:val="0"/>
              <w:spacing w:before="36" w:after="36"/>
              <w:ind w:left="-26" w:right="-108" w:firstLine="0"/>
              <w:jc w:val="left"/>
              <w:textAlignment w:val="baseline"/>
              <w:rPr>
                <w:b/>
                <w:bCs/>
                <w:sz w:val="22"/>
                <w:szCs w:val="22"/>
              </w:rPr>
            </w:pPr>
            <w:r w:rsidRPr="003B43D6">
              <w:rPr>
                <w:b/>
                <w:bCs/>
                <w:sz w:val="22"/>
                <w:szCs w:val="22"/>
              </w:rPr>
              <w:t>8.65</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12.20</w:t>
            </w:r>
          </w:p>
        </w:tc>
      </w:tr>
      <w:tr w:rsidR="00BC496A" w:rsidTr="007372A1">
        <w:trPr>
          <w:jc w:val="center"/>
        </w:trPr>
        <w:tc>
          <w:tcPr>
            <w:tcW w:w="2977"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6</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9.91</w:t>
            </w:r>
          </w:p>
        </w:tc>
        <w:tc>
          <w:tcPr>
            <w:tcW w:w="1882" w:type="dxa"/>
            <w:vAlign w:val="bottom"/>
          </w:tcPr>
          <w:p w:rsidR="00BC496A" w:rsidRPr="003B43D6" w:rsidRDefault="00BC496A" w:rsidP="007372A1">
            <w:pPr>
              <w:widowControl w:val="0"/>
              <w:tabs>
                <w:tab w:val="decimal" w:pos="736"/>
              </w:tabs>
              <w:adjustRightInd w:val="0"/>
              <w:spacing w:before="36" w:after="36"/>
              <w:ind w:left="-26" w:right="-108" w:firstLine="0"/>
              <w:jc w:val="left"/>
              <w:textAlignment w:val="baseline"/>
              <w:rPr>
                <w:b/>
                <w:bCs/>
                <w:sz w:val="22"/>
                <w:szCs w:val="22"/>
              </w:rPr>
            </w:pPr>
            <w:r w:rsidRPr="003B43D6">
              <w:rPr>
                <w:b/>
                <w:bCs/>
                <w:sz w:val="22"/>
                <w:szCs w:val="22"/>
              </w:rPr>
              <w:t>8.48</w:t>
            </w:r>
          </w:p>
        </w:tc>
      </w:tr>
      <w:tr w:rsidR="00BC496A" w:rsidTr="007372A1">
        <w:trPr>
          <w:jc w:val="center"/>
        </w:trPr>
        <w:tc>
          <w:tcPr>
            <w:tcW w:w="2977" w:type="dxa"/>
          </w:tcPr>
          <w:p w:rsidR="00BC496A" w:rsidRDefault="00BC496A" w:rsidP="007372A1">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 xml:space="preserve">Best single value of </w:t>
            </w:r>
            <w:r w:rsidRPr="00F3332B">
              <w:rPr>
                <w:rFonts w:ascii="Times New Roman" w:hAnsi="Times New Roman"/>
                <w:color w:val="000000"/>
                <w:sz w:val="22"/>
                <w:szCs w:val="22"/>
                <w:lang w:val="en-GB"/>
              </w:rPr>
              <w:t>δ</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0.5</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0.6</w:t>
            </w:r>
          </w:p>
        </w:tc>
      </w:tr>
    </w:tbl>
    <w:p w:rsidR="00BC496A" w:rsidRDefault="00BC496A" w:rsidP="00BC496A">
      <w:pPr>
        <w:tabs>
          <w:tab w:val="left" w:pos="1134"/>
        </w:tabs>
        <w:spacing w:before="120"/>
        <w:ind w:firstLine="0"/>
        <w:rPr>
          <w:sz w:val="22"/>
          <w:szCs w:val="22"/>
        </w:rPr>
      </w:pPr>
      <w:r>
        <w:rPr>
          <w:i/>
          <w:lang w:val="en-US"/>
        </w:rPr>
        <w:tab/>
        <w:t>Source:</w:t>
      </w:r>
      <w:r>
        <w:rPr>
          <w:lang w:val="en-US"/>
        </w:rPr>
        <w:t xml:space="preserve"> </w:t>
      </w:r>
      <w:r>
        <w:rPr>
          <w:sz w:val="22"/>
          <w:szCs w:val="22"/>
        </w:rPr>
        <w:t>Zhao and Choi (2015, tables 8 and 9)</w:t>
      </w:r>
    </w:p>
    <w:p w:rsidR="00BC496A" w:rsidRDefault="00BC496A" w:rsidP="00BC496A">
      <w:pPr>
        <w:tabs>
          <w:tab w:val="left" w:pos="1134"/>
        </w:tabs>
        <w:spacing w:before="120" w:after="0"/>
        <w:ind w:firstLine="0"/>
        <w:rPr>
          <w:lang w:val="en-US"/>
        </w:rPr>
      </w:pPr>
      <w:r>
        <w:rPr>
          <w:lang w:val="en-US"/>
        </w:rPr>
        <w:tab/>
        <w:t>Minima are shown in bold type</w:t>
      </w:r>
    </w:p>
    <w:p w:rsidR="00BC496A" w:rsidRDefault="00BC496A" w:rsidP="00BC496A">
      <w:pPr>
        <w:tabs>
          <w:tab w:val="left" w:pos="1134"/>
        </w:tabs>
        <w:spacing w:before="120" w:after="0"/>
        <w:ind w:firstLine="0"/>
        <w:rPr>
          <w:lang w:val="en-US"/>
        </w:rPr>
      </w:pPr>
    </w:p>
    <w:p w:rsidR="00BC496A" w:rsidRDefault="00BC496A" w:rsidP="00BC496A">
      <w:pPr>
        <w:ind w:left="1134" w:right="946" w:firstLine="0"/>
        <w:jc w:val="left"/>
        <w:rPr>
          <w:color w:val="000000"/>
          <w:szCs w:val="26"/>
        </w:rPr>
      </w:pPr>
      <w:r w:rsidRPr="002C6D87">
        <w:rPr>
          <w:b/>
          <w:color w:val="000000"/>
          <w:szCs w:val="26"/>
        </w:rPr>
        <w:t xml:space="preserve">Table </w:t>
      </w:r>
      <w:r>
        <w:rPr>
          <w:b/>
          <w:color w:val="000000"/>
          <w:szCs w:val="26"/>
        </w:rPr>
        <w:t>2</w:t>
      </w:r>
      <w:r>
        <w:rPr>
          <w:color w:val="000000"/>
          <w:szCs w:val="26"/>
        </w:rPr>
        <w:t xml:space="preserve">  Reworking of </w:t>
      </w:r>
      <w:r w:rsidRPr="00CA4595">
        <w:t>Zhao and Choi’s</w:t>
      </w:r>
      <w:r>
        <w:rPr>
          <w:sz w:val="22"/>
          <w:szCs w:val="22"/>
        </w:rPr>
        <w:t xml:space="preserve"> </w:t>
      </w:r>
      <w:r w:rsidRPr="00CA4595">
        <w:t>findings</w:t>
      </w:r>
      <w:r>
        <w:rPr>
          <w:color w:val="000000"/>
          <w:szCs w:val="26"/>
        </w:rPr>
        <w:t xml:space="preserve"> based on the same stated assumptions as Table 1</w:t>
      </w:r>
    </w:p>
    <w:tbl>
      <w:tblPr>
        <w:tblW w:w="6844" w:type="dxa"/>
        <w:jc w:val="center"/>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977"/>
        <w:gridCol w:w="1985"/>
        <w:gridCol w:w="1882"/>
      </w:tblGrid>
      <w:tr w:rsidR="00BC496A" w:rsidTr="007372A1">
        <w:trPr>
          <w:trHeight w:val="311"/>
          <w:jc w:val="center"/>
        </w:trPr>
        <w:tc>
          <w:tcPr>
            <w:tcW w:w="2977" w:type="dxa"/>
            <w:vMerge w:val="restart"/>
          </w:tcPr>
          <w:p w:rsidR="00BC496A" w:rsidRDefault="00BC496A" w:rsidP="007372A1">
            <w:pPr>
              <w:pStyle w:val="Normaali1"/>
              <w:spacing w:before="60" w:after="60" w:line="240" w:lineRule="auto"/>
              <w:ind w:left="-4" w:right="125"/>
              <w:rPr>
                <w:rFonts w:ascii="Times New Roman" w:hAnsi="Times New Roman"/>
                <w:sz w:val="22"/>
                <w:szCs w:val="22"/>
              </w:rPr>
            </w:pPr>
          </w:p>
          <w:p w:rsidR="00BC496A" w:rsidRPr="00F3332B" w:rsidRDefault="00BC496A" w:rsidP="007372A1">
            <w:pPr>
              <w:pStyle w:val="Normaali1"/>
              <w:spacing w:before="60" w:after="60" w:line="240" w:lineRule="auto"/>
              <w:ind w:left="-4" w:right="125"/>
              <w:rPr>
                <w:rFonts w:ascii="Times New Roman" w:hAnsi="Times New Roman"/>
                <w:sz w:val="22"/>
                <w:szCs w:val="22"/>
              </w:rPr>
            </w:pPr>
            <w:r>
              <w:rPr>
                <w:rFonts w:ascii="Times New Roman" w:hAnsi="Times New Roman"/>
                <w:sz w:val="22"/>
                <w:szCs w:val="22"/>
              </w:rPr>
              <w:t>Formula</w:t>
            </w:r>
          </w:p>
        </w:tc>
        <w:tc>
          <w:tcPr>
            <w:tcW w:w="3867" w:type="dxa"/>
            <w:gridSpan w:val="2"/>
          </w:tcPr>
          <w:p w:rsidR="00BC496A" w:rsidRPr="00F3332B"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Region</w:t>
            </w:r>
          </w:p>
        </w:tc>
      </w:tr>
      <w:tr w:rsidR="00BC496A" w:rsidTr="007372A1">
        <w:trPr>
          <w:trHeight w:val="310"/>
          <w:jc w:val="center"/>
        </w:trPr>
        <w:tc>
          <w:tcPr>
            <w:tcW w:w="2977" w:type="dxa"/>
            <w:vMerge/>
          </w:tcPr>
          <w:p w:rsidR="00BC496A" w:rsidRPr="00F3332B" w:rsidRDefault="00BC496A" w:rsidP="007372A1">
            <w:pPr>
              <w:pStyle w:val="Normaali1"/>
              <w:spacing w:before="60" w:after="60" w:line="240" w:lineRule="auto"/>
              <w:ind w:left="5" w:right="125"/>
              <w:rPr>
                <w:rFonts w:ascii="Times New Roman" w:hAnsi="Times New Roman"/>
                <w:sz w:val="22"/>
                <w:szCs w:val="22"/>
              </w:rPr>
            </w:pPr>
          </w:p>
        </w:tc>
        <w:tc>
          <w:tcPr>
            <w:tcW w:w="1985" w:type="dxa"/>
          </w:tcPr>
          <w:p w:rsidR="00BC496A"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Daegu</w:t>
            </w:r>
          </w:p>
        </w:tc>
        <w:tc>
          <w:tcPr>
            <w:tcW w:w="1882" w:type="dxa"/>
          </w:tcPr>
          <w:p w:rsidR="00BC496A"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Gyeongbuk</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SLQ</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42.70</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66.97</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CILQ</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45.37</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56.71</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11.71</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19.07</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9.74</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16.40</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4</w:t>
            </w:r>
            <w:r w:rsidRPr="00F3332B">
              <w:rPr>
                <w:rFonts w:ascii="Times New Roman" w:hAnsi="Times New Roman"/>
                <w:sz w:val="22"/>
                <w:szCs w:val="22"/>
              </w:rPr>
              <w:t>)</w:t>
            </w:r>
          </w:p>
        </w:tc>
        <w:tc>
          <w:tcPr>
            <w:tcW w:w="1985" w:type="dxa"/>
            <w:vAlign w:val="bottom"/>
          </w:tcPr>
          <w:p w:rsidR="00BC496A" w:rsidRPr="003B43D6" w:rsidRDefault="00BC496A" w:rsidP="007372A1">
            <w:pPr>
              <w:widowControl w:val="0"/>
              <w:tabs>
                <w:tab w:val="decimal" w:pos="736"/>
              </w:tabs>
              <w:adjustRightInd w:val="0"/>
              <w:spacing w:before="36" w:after="36"/>
              <w:ind w:left="-26" w:right="-108" w:firstLine="0"/>
              <w:jc w:val="left"/>
              <w:textAlignment w:val="baseline"/>
              <w:rPr>
                <w:b/>
                <w:bCs/>
                <w:sz w:val="22"/>
                <w:szCs w:val="22"/>
              </w:rPr>
            </w:pPr>
            <w:r w:rsidRPr="003B43D6">
              <w:rPr>
                <w:b/>
                <w:bCs/>
                <w:sz w:val="22"/>
                <w:szCs w:val="22"/>
              </w:rPr>
              <w:t>9.2</w:t>
            </w:r>
            <w:r>
              <w:rPr>
                <w:b/>
                <w:bCs/>
                <w:sz w:val="22"/>
                <w:szCs w:val="22"/>
              </w:rPr>
              <w:t>0</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14.26</w:t>
            </w:r>
          </w:p>
        </w:tc>
      </w:tr>
      <w:tr w:rsidR="00BC496A" w:rsidTr="007372A1">
        <w:trPr>
          <w:jc w:val="center"/>
        </w:trPr>
        <w:tc>
          <w:tcPr>
            <w:tcW w:w="2977"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45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9.45</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13.12</w:t>
            </w:r>
          </w:p>
        </w:tc>
      </w:tr>
      <w:tr w:rsidR="00BC496A" w:rsidTr="007372A1">
        <w:trPr>
          <w:jc w:val="center"/>
        </w:trPr>
        <w:tc>
          <w:tcPr>
            <w:tcW w:w="2977" w:type="dxa"/>
          </w:tcPr>
          <w:p w:rsidR="00BC496A" w:rsidRPr="00F3332B" w:rsidRDefault="00BC496A" w:rsidP="007372A1">
            <w:pPr>
              <w:pStyle w:val="Normaali1"/>
              <w:spacing w:before="60" w:after="60" w:line="240" w:lineRule="auto"/>
              <w:ind w:right="-91" w:firstLine="6"/>
              <w:jc w:val="left"/>
              <w:rPr>
                <w:rFonts w:ascii="Times New Roman" w:hAnsi="Times New Roman"/>
                <w:sz w:val="22"/>
                <w:szCs w:val="22"/>
              </w:rPr>
            </w:pP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.5</w:t>
            </w:r>
            <w:r w:rsidRPr="00F3332B">
              <w:rPr>
                <w:rFonts w:ascii="Times New Roman" w:hAnsi="Times New Roman"/>
                <w:sz w:val="22"/>
                <w:szCs w:val="22"/>
              </w:rPr>
              <w:t>)</w:t>
            </w:r>
          </w:p>
        </w:tc>
        <w:tc>
          <w:tcPr>
            <w:tcW w:w="1985" w:type="dxa"/>
            <w:vAlign w:val="bottom"/>
          </w:tcPr>
          <w:p w:rsidR="00BC496A" w:rsidRPr="002C6D87" w:rsidRDefault="00BC496A" w:rsidP="007372A1">
            <w:pPr>
              <w:widowControl w:val="0"/>
              <w:tabs>
                <w:tab w:val="decimal" w:pos="736"/>
              </w:tabs>
              <w:adjustRightInd w:val="0"/>
              <w:spacing w:before="36" w:after="36"/>
              <w:ind w:left="-26" w:right="-108" w:firstLine="0"/>
              <w:jc w:val="left"/>
              <w:textAlignment w:val="baseline"/>
              <w:rPr>
                <w:b/>
                <w:bCs/>
                <w:sz w:val="22"/>
                <w:szCs w:val="22"/>
              </w:rPr>
            </w:pPr>
            <w:r>
              <w:rPr>
                <w:bCs/>
                <w:sz w:val="22"/>
                <w:szCs w:val="22"/>
              </w:rPr>
              <w:t>10.18</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12.47</w:t>
            </w:r>
          </w:p>
        </w:tc>
      </w:tr>
      <w:tr w:rsidR="00BC496A" w:rsidTr="007372A1">
        <w:trPr>
          <w:jc w:val="center"/>
        </w:trPr>
        <w:tc>
          <w:tcPr>
            <w:tcW w:w="2977"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55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11.15</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10.91</w:t>
            </w:r>
          </w:p>
        </w:tc>
      </w:tr>
      <w:tr w:rsidR="00BC496A" w:rsidTr="007372A1">
        <w:trPr>
          <w:jc w:val="center"/>
        </w:trPr>
        <w:tc>
          <w:tcPr>
            <w:tcW w:w="2977" w:type="dxa"/>
          </w:tcPr>
          <w:p w:rsidR="00BC496A" w:rsidRPr="00F3332B" w:rsidRDefault="00BC496A" w:rsidP="007372A1">
            <w:pPr>
              <w:pStyle w:val="Normaali1"/>
              <w:spacing w:before="60" w:after="60" w:line="240" w:lineRule="auto"/>
              <w:ind w:right="-91" w:firstLine="6"/>
              <w:jc w:val="left"/>
              <w:rPr>
                <w:rFonts w:ascii="Times New Roman" w:hAnsi="Times New Roman"/>
                <w:sz w:val="22"/>
                <w:szCs w:val="22"/>
              </w:rPr>
            </w:pP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.6</w:t>
            </w:r>
            <w:r w:rsidRPr="00F3332B">
              <w:rPr>
                <w:rFonts w:ascii="Times New Roman" w:hAnsi="Times New Roman"/>
                <w:sz w:val="22"/>
                <w:szCs w:val="22"/>
              </w:rPr>
              <w:t>)</w:t>
            </w:r>
          </w:p>
        </w:tc>
        <w:tc>
          <w:tcPr>
            <w:tcW w:w="1985" w:type="dxa"/>
            <w:vAlign w:val="bottom"/>
          </w:tcPr>
          <w:p w:rsidR="00BC496A" w:rsidRPr="00934526" w:rsidRDefault="00BC496A" w:rsidP="007372A1">
            <w:pPr>
              <w:widowControl w:val="0"/>
              <w:tabs>
                <w:tab w:val="decimal" w:pos="736"/>
              </w:tabs>
              <w:adjustRightInd w:val="0"/>
              <w:spacing w:before="36" w:after="36"/>
              <w:ind w:left="-26" w:right="-108" w:firstLine="0"/>
              <w:jc w:val="left"/>
              <w:textAlignment w:val="baseline"/>
              <w:rPr>
                <w:b/>
                <w:bCs/>
                <w:sz w:val="22"/>
                <w:szCs w:val="22"/>
              </w:rPr>
            </w:pPr>
            <w:r>
              <w:rPr>
                <w:bCs/>
                <w:sz w:val="22"/>
                <w:szCs w:val="22"/>
              </w:rPr>
              <w:t>12.20</w:t>
            </w:r>
          </w:p>
        </w:tc>
        <w:tc>
          <w:tcPr>
            <w:tcW w:w="1882" w:type="dxa"/>
            <w:vAlign w:val="bottom"/>
          </w:tcPr>
          <w:p w:rsidR="00BC496A" w:rsidRPr="003B43D6" w:rsidRDefault="00BC496A" w:rsidP="007372A1">
            <w:pPr>
              <w:widowControl w:val="0"/>
              <w:tabs>
                <w:tab w:val="decimal" w:pos="736"/>
              </w:tabs>
              <w:adjustRightInd w:val="0"/>
              <w:spacing w:before="36" w:after="36"/>
              <w:ind w:left="-26" w:right="-108" w:firstLine="0"/>
              <w:jc w:val="left"/>
              <w:textAlignment w:val="baseline"/>
              <w:rPr>
                <w:b/>
                <w:bCs/>
                <w:sz w:val="22"/>
                <w:szCs w:val="22"/>
              </w:rPr>
            </w:pPr>
            <w:r w:rsidRPr="003B43D6">
              <w:rPr>
                <w:b/>
                <w:bCs/>
                <w:sz w:val="22"/>
                <w:szCs w:val="22"/>
              </w:rPr>
              <w:t>10.</w:t>
            </w:r>
            <w:r>
              <w:rPr>
                <w:b/>
                <w:bCs/>
                <w:sz w:val="22"/>
                <w:szCs w:val="22"/>
              </w:rPr>
              <w:t>49</w:t>
            </w:r>
          </w:p>
        </w:tc>
      </w:tr>
      <w:tr w:rsidR="00BC496A" w:rsidTr="007372A1">
        <w:trPr>
          <w:jc w:val="center"/>
        </w:trPr>
        <w:tc>
          <w:tcPr>
            <w:tcW w:w="2977" w:type="dxa"/>
          </w:tcPr>
          <w:p w:rsidR="00BC496A" w:rsidRDefault="00BC496A" w:rsidP="007372A1">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 xml:space="preserve">Best single value of </w:t>
            </w:r>
            <w:r w:rsidRPr="00F3332B">
              <w:rPr>
                <w:rFonts w:ascii="Times New Roman" w:hAnsi="Times New Roman"/>
                <w:color w:val="000000"/>
                <w:sz w:val="22"/>
                <w:szCs w:val="22"/>
                <w:lang w:val="en-GB"/>
              </w:rPr>
              <w:t>δ</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0.4</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0.6</w:t>
            </w:r>
          </w:p>
        </w:tc>
      </w:tr>
    </w:tbl>
    <w:p w:rsidR="00BC496A" w:rsidRPr="0038304B" w:rsidRDefault="00BC496A" w:rsidP="00BC496A">
      <w:pPr>
        <w:tabs>
          <w:tab w:val="left" w:pos="1134"/>
        </w:tabs>
        <w:spacing w:before="120"/>
        <w:ind w:firstLine="0"/>
        <w:rPr>
          <w:b/>
          <w:lang w:val="en-US"/>
        </w:rPr>
      </w:pPr>
      <w:r>
        <w:rPr>
          <w:b/>
          <w:lang w:val="en-US"/>
        </w:rPr>
        <w:tab/>
      </w:r>
    </w:p>
    <w:p w:rsidR="00BC496A" w:rsidRDefault="00BC496A" w:rsidP="00BC496A">
      <w:pPr>
        <w:tabs>
          <w:tab w:val="left" w:pos="1134"/>
        </w:tabs>
        <w:spacing w:before="120"/>
        <w:ind w:firstLine="0"/>
        <w:rPr>
          <w:lang w:val="en-US"/>
        </w:rPr>
      </w:pPr>
    </w:p>
    <w:p w:rsidR="00BC496A" w:rsidRDefault="00BC496A" w:rsidP="00BC496A">
      <w:pPr>
        <w:spacing w:after="0"/>
        <w:ind w:firstLine="0"/>
        <w:jc w:val="left"/>
        <w:rPr>
          <w:b/>
          <w:color w:val="000000"/>
          <w:szCs w:val="26"/>
        </w:rPr>
      </w:pPr>
      <w:r>
        <w:rPr>
          <w:b/>
          <w:color w:val="000000"/>
          <w:szCs w:val="26"/>
        </w:rPr>
        <w:br w:type="page"/>
      </w:r>
    </w:p>
    <w:p w:rsidR="00BC496A" w:rsidRDefault="00BC496A" w:rsidP="00BC496A">
      <w:pPr>
        <w:ind w:left="1134" w:right="946" w:firstLine="0"/>
        <w:jc w:val="left"/>
        <w:rPr>
          <w:color w:val="000000"/>
          <w:szCs w:val="26"/>
        </w:rPr>
      </w:pPr>
      <w:r w:rsidRPr="002C6D87">
        <w:rPr>
          <w:b/>
          <w:color w:val="000000"/>
          <w:szCs w:val="26"/>
        </w:rPr>
        <w:t>Table 3</w:t>
      </w:r>
      <w:r>
        <w:rPr>
          <w:color w:val="000000"/>
          <w:szCs w:val="26"/>
        </w:rPr>
        <w:t xml:space="preserve">  Variant of Table 2 based on a type B rather than A national coefficient matrix </w:t>
      </w:r>
    </w:p>
    <w:tbl>
      <w:tblPr>
        <w:tblW w:w="6844" w:type="dxa"/>
        <w:jc w:val="center"/>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977"/>
        <w:gridCol w:w="1985"/>
        <w:gridCol w:w="1882"/>
      </w:tblGrid>
      <w:tr w:rsidR="00BC496A" w:rsidTr="007372A1">
        <w:trPr>
          <w:trHeight w:val="311"/>
          <w:jc w:val="center"/>
        </w:trPr>
        <w:tc>
          <w:tcPr>
            <w:tcW w:w="2977" w:type="dxa"/>
            <w:vMerge w:val="restart"/>
          </w:tcPr>
          <w:p w:rsidR="00BC496A" w:rsidRDefault="00BC496A" w:rsidP="007372A1">
            <w:pPr>
              <w:pStyle w:val="Normaali1"/>
              <w:spacing w:before="60" w:after="60" w:line="240" w:lineRule="auto"/>
              <w:ind w:left="-4" w:right="125"/>
              <w:rPr>
                <w:rFonts w:ascii="Times New Roman" w:hAnsi="Times New Roman"/>
                <w:sz w:val="22"/>
                <w:szCs w:val="22"/>
              </w:rPr>
            </w:pPr>
          </w:p>
          <w:p w:rsidR="00BC496A" w:rsidRPr="00F3332B" w:rsidRDefault="00BC496A" w:rsidP="007372A1">
            <w:pPr>
              <w:pStyle w:val="Normaali1"/>
              <w:spacing w:before="60" w:after="60" w:line="240" w:lineRule="auto"/>
              <w:ind w:left="-4" w:right="125"/>
              <w:rPr>
                <w:rFonts w:ascii="Times New Roman" w:hAnsi="Times New Roman"/>
                <w:sz w:val="22"/>
                <w:szCs w:val="22"/>
              </w:rPr>
            </w:pPr>
            <w:r>
              <w:rPr>
                <w:rFonts w:ascii="Times New Roman" w:hAnsi="Times New Roman"/>
                <w:sz w:val="22"/>
                <w:szCs w:val="22"/>
              </w:rPr>
              <w:t>Formula</w:t>
            </w:r>
          </w:p>
        </w:tc>
        <w:tc>
          <w:tcPr>
            <w:tcW w:w="3867" w:type="dxa"/>
            <w:gridSpan w:val="2"/>
          </w:tcPr>
          <w:p w:rsidR="00BC496A" w:rsidRPr="00F3332B"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Region</w:t>
            </w:r>
          </w:p>
        </w:tc>
      </w:tr>
      <w:tr w:rsidR="00BC496A" w:rsidTr="007372A1">
        <w:trPr>
          <w:trHeight w:val="310"/>
          <w:jc w:val="center"/>
        </w:trPr>
        <w:tc>
          <w:tcPr>
            <w:tcW w:w="2977" w:type="dxa"/>
            <w:vMerge/>
          </w:tcPr>
          <w:p w:rsidR="00BC496A" w:rsidRPr="00F3332B" w:rsidRDefault="00BC496A" w:rsidP="007372A1">
            <w:pPr>
              <w:pStyle w:val="Normaali1"/>
              <w:spacing w:before="60" w:after="60" w:line="240" w:lineRule="auto"/>
              <w:ind w:left="5" w:right="125"/>
              <w:rPr>
                <w:rFonts w:ascii="Times New Roman" w:hAnsi="Times New Roman"/>
                <w:sz w:val="22"/>
                <w:szCs w:val="22"/>
              </w:rPr>
            </w:pPr>
          </w:p>
        </w:tc>
        <w:tc>
          <w:tcPr>
            <w:tcW w:w="1985" w:type="dxa"/>
          </w:tcPr>
          <w:p w:rsidR="00BC496A"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Daegu</w:t>
            </w:r>
          </w:p>
        </w:tc>
        <w:tc>
          <w:tcPr>
            <w:tcW w:w="1882" w:type="dxa"/>
          </w:tcPr>
          <w:p w:rsidR="00BC496A"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Gyeongbuk</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SLQ</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27.11</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30.37</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CILQ</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27.11</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26.39</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6.82</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6.91</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6.46</w:t>
            </w:r>
          </w:p>
        </w:tc>
        <w:tc>
          <w:tcPr>
            <w:tcW w:w="1882" w:type="dxa"/>
            <w:vAlign w:val="bottom"/>
          </w:tcPr>
          <w:p w:rsidR="00BC496A" w:rsidRPr="0028622B" w:rsidRDefault="00BC496A" w:rsidP="007372A1">
            <w:pPr>
              <w:widowControl w:val="0"/>
              <w:tabs>
                <w:tab w:val="decimal" w:pos="736"/>
              </w:tabs>
              <w:adjustRightInd w:val="0"/>
              <w:spacing w:before="36" w:after="36"/>
              <w:ind w:left="-26" w:right="-108" w:firstLine="0"/>
              <w:jc w:val="left"/>
              <w:textAlignment w:val="baseline"/>
              <w:rPr>
                <w:b/>
                <w:bCs/>
                <w:sz w:val="22"/>
                <w:szCs w:val="22"/>
              </w:rPr>
            </w:pPr>
            <w:r w:rsidRPr="0028622B">
              <w:rPr>
                <w:b/>
                <w:bCs/>
                <w:sz w:val="22"/>
                <w:szCs w:val="22"/>
              </w:rPr>
              <w:t>6.</w:t>
            </w:r>
            <w:r>
              <w:rPr>
                <w:b/>
                <w:bCs/>
                <w:sz w:val="22"/>
                <w:szCs w:val="22"/>
              </w:rPr>
              <w:t>45</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4</w:t>
            </w:r>
            <w:r w:rsidRPr="00F3332B">
              <w:rPr>
                <w:rFonts w:ascii="Times New Roman" w:hAnsi="Times New Roman"/>
                <w:sz w:val="22"/>
                <w:szCs w:val="22"/>
              </w:rPr>
              <w:t>)</w:t>
            </w:r>
          </w:p>
        </w:tc>
        <w:tc>
          <w:tcPr>
            <w:tcW w:w="1985" w:type="dxa"/>
            <w:vAlign w:val="bottom"/>
          </w:tcPr>
          <w:p w:rsidR="00BC496A" w:rsidRPr="0028622B" w:rsidRDefault="00BC496A" w:rsidP="007372A1">
            <w:pPr>
              <w:widowControl w:val="0"/>
              <w:tabs>
                <w:tab w:val="decimal" w:pos="736"/>
              </w:tabs>
              <w:adjustRightInd w:val="0"/>
              <w:spacing w:before="36" w:after="36"/>
              <w:ind w:left="-26" w:right="-108" w:firstLine="0"/>
              <w:jc w:val="left"/>
              <w:textAlignment w:val="baseline"/>
              <w:rPr>
                <w:b/>
                <w:bCs/>
                <w:sz w:val="22"/>
                <w:szCs w:val="22"/>
              </w:rPr>
            </w:pPr>
            <w:r w:rsidRPr="0028622B">
              <w:rPr>
                <w:b/>
                <w:bCs/>
                <w:sz w:val="22"/>
                <w:szCs w:val="22"/>
              </w:rPr>
              <w:t>7.</w:t>
            </w:r>
            <w:r>
              <w:rPr>
                <w:b/>
                <w:bCs/>
                <w:sz w:val="22"/>
                <w:szCs w:val="22"/>
              </w:rPr>
              <w:t>07</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6.62</w:t>
            </w:r>
          </w:p>
        </w:tc>
      </w:tr>
      <w:tr w:rsidR="00BC496A" w:rsidTr="007372A1">
        <w:trPr>
          <w:jc w:val="center"/>
        </w:trPr>
        <w:tc>
          <w:tcPr>
            <w:tcW w:w="2977"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45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8.16</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7.21</w:t>
            </w:r>
          </w:p>
        </w:tc>
      </w:tr>
      <w:tr w:rsidR="00BC496A" w:rsidTr="007372A1">
        <w:trPr>
          <w:jc w:val="center"/>
        </w:trPr>
        <w:tc>
          <w:tcPr>
            <w:tcW w:w="2977" w:type="dxa"/>
          </w:tcPr>
          <w:p w:rsidR="00BC496A" w:rsidRPr="00F3332B" w:rsidRDefault="00BC496A" w:rsidP="007372A1">
            <w:pPr>
              <w:pStyle w:val="Normaali1"/>
              <w:spacing w:before="60" w:after="60" w:line="240" w:lineRule="auto"/>
              <w:ind w:right="-91" w:firstLine="6"/>
              <w:jc w:val="left"/>
              <w:rPr>
                <w:rFonts w:ascii="Times New Roman" w:hAnsi="Times New Roman"/>
                <w:sz w:val="22"/>
                <w:szCs w:val="22"/>
              </w:rPr>
            </w:pP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.5</w:t>
            </w:r>
            <w:r w:rsidRPr="00F3332B">
              <w:rPr>
                <w:rFonts w:ascii="Times New Roman" w:hAnsi="Times New Roman"/>
                <w:sz w:val="22"/>
                <w:szCs w:val="22"/>
              </w:rPr>
              <w:t>)</w:t>
            </w:r>
          </w:p>
        </w:tc>
        <w:tc>
          <w:tcPr>
            <w:tcW w:w="1985" w:type="dxa"/>
            <w:vAlign w:val="bottom"/>
          </w:tcPr>
          <w:p w:rsidR="00BC496A" w:rsidRPr="00934526" w:rsidRDefault="00BC496A" w:rsidP="007372A1">
            <w:pPr>
              <w:widowControl w:val="0"/>
              <w:tabs>
                <w:tab w:val="decimal" w:pos="736"/>
              </w:tabs>
              <w:adjustRightInd w:val="0"/>
              <w:spacing w:before="36" w:after="36"/>
              <w:ind w:left="-26" w:right="-108" w:firstLine="0"/>
              <w:jc w:val="left"/>
              <w:textAlignment w:val="baseline"/>
              <w:rPr>
                <w:b/>
                <w:bCs/>
                <w:sz w:val="22"/>
                <w:szCs w:val="22"/>
              </w:rPr>
            </w:pPr>
            <w:r>
              <w:rPr>
                <w:bCs/>
                <w:sz w:val="22"/>
                <w:szCs w:val="22"/>
              </w:rPr>
              <w:t>9.40</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8.22</w:t>
            </w:r>
          </w:p>
        </w:tc>
      </w:tr>
      <w:tr w:rsidR="00BC496A" w:rsidTr="007372A1">
        <w:trPr>
          <w:jc w:val="center"/>
        </w:trPr>
        <w:tc>
          <w:tcPr>
            <w:tcW w:w="2977"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55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10.44</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9.79</w:t>
            </w:r>
          </w:p>
        </w:tc>
      </w:tr>
      <w:tr w:rsidR="00BC496A" w:rsidTr="007372A1">
        <w:trPr>
          <w:jc w:val="center"/>
        </w:trPr>
        <w:tc>
          <w:tcPr>
            <w:tcW w:w="2977" w:type="dxa"/>
          </w:tcPr>
          <w:p w:rsidR="00BC496A" w:rsidRPr="00F3332B" w:rsidRDefault="00BC496A" w:rsidP="007372A1">
            <w:pPr>
              <w:pStyle w:val="Normaali1"/>
              <w:spacing w:before="60" w:after="60" w:line="240" w:lineRule="auto"/>
              <w:ind w:right="-91" w:firstLine="6"/>
              <w:jc w:val="left"/>
              <w:rPr>
                <w:rFonts w:ascii="Times New Roman" w:hAnsi="Times New Roman"/>
                <w:sz w:val="22"/>
                <w:szCs w:val="22"/>
              </w:rPr>
            </w:pP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.6</w:t>
            </w:r>
            <w:r w:rsidRPr="00F3332B">
              <w:rPr>
                <w:rFonts w:ascii="Times New Roman" w:hAnsi="Times New Roman"/>
                <w:sz w:val="22"/>
                <w:szCs w:val="22"/>
              </w:rPr>
              <w:t>)</w:t>
            </w:r>
          </w:p>
        </w:tc>
        <w:tc>
          <w:tcPr>
            <w:tcW w:w="1985" w:type="dxa"/>
            <w:vAlign w:val="bottom"/>
          </w:tcPr>
          <w:p w:rsidR="00BC496A" w:rsidRPr="00934526" w:rsidRDefault="00BC496A" w:rsidP="007372A1">
            <w:pPr>
              <w:widowControl w:val="0"/>
              <w:tabs>
                <w:tab w:val="decimal" w:pos="736"/>
              </w:tabs>
              <w:adjustRightInd w:val="0"/>
              <w:spacing w:before="36" w:after="36"/>
              <w:ind w:left="-26" w:right="-108" w:firstLine="0"/>
              <w:jc w:val="left"/>
              <w:textAlignment w:val="baseline"/>
              <w:rPr>
                <w:b/>
                <w:bCs/>
                <w:sz w:val="22"/>
                <w:szCs w:val="22"/>
              </w:rPr>
            </w:pPr>
            <w:r>
              <w:rPr>
                <w:bCs/>
                <w:sz w:val="22"/>
                <w:szCs w:val="22"/>
              </w:rPr>
              <w:t>11.41</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11.79</w:t>
            </w:r>
          </w:p>
        </w:tc>
      </w:tr>
      <w:tr w:rsidR="00BC496A" w:rsidTr="007372A1">
        <w:trPr>
          <w:jc w:val="center"/>
        </w:trPr>
        <w:tc>
          <w:tcPr>
            <w:tcW w:w="2977" w:type="dxa"/>
          </w:tcPr>
          <w:p w:rsidR="00BC496A" w:rsidRDefault="00BC496A" w:rsidP="007372A1">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 xml:space="preserve">Best single value of </w:t>
            </w:r>
            <w:r w:rsidRPr="00F3332B">
              <w:rPr>
                <w:rFonts w:ascii="Times New Roman" w:hAnsi="Times New Roman"/>
                <w:color w:val="000000"/>
                <w:sz w:val="22"/>
                <w:szCs w:val="22"/>
                <w:lang w:val="en-GB"/>
              </w:rPr>
              <w:t>δ</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0.4</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0.35</w:t>
            </w:r>
          </w:p>
        </w:tc>
      </w:tr>
    </w:tbl>
    <w:p w:rsidR="00BC496A" w:rsidRDefault="00BC496A" w:rsidP="00BC496A">
      <w:pPr>
        <w:ind w:left="1134" w:right="946" w:firstLine="0"/>
        <w:jc w:val="left"/>
        <w:rPr>
          <w:lang w:val="en-US"/>
        </w:rPr>
      </w:pPr>
    </w:p>
    <w:p w:rsidR="00BC496A" w:rsidRDefault="00BC496A" w:rsidP="00BC496A">
      <w:pPr>
        <w:ind w:left="1134" w:right="946" w:firstLine="0"/>
        <w:jc w:val="left"/>
        <w:rPr>
          <w:color w:val="000000"/>
          <w:szCs w:val="26"/>
        </w:rPr>
      </w:pPr>
      <w:r w:rsidRPr="002C6D87">
        <w:rPr>
          <w:b/>
          <w:color w:val="000000"/>
          <w:szCs w:val="26"/>
        </w:rPr>
        <w:t>Table 4</w:t>
      </w:r>
      <w:r>
        <w:rPr>
          <w:color w:val="000000"/>
          <w:szCs w:val="26"/>
        </w:rPr>
        <w:t xml:space="preserve">  Variant of Table 3 based on sectoral output rather than employment data</w:t>
      </w:r>
    </w:p>
    <w:tbl>
      <w:tblPr>
        <w:tblW w:w="6844" w:type="dxa"/>
        <w:jc w:val="center"/>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977"/>
        <w:gridCol w:w="1985"/>
        <w:gridCol w:w="1882"/>
      </w:tblGrid>
      <w:tr w:rsidR="00BC496A" w:rsidTr="007372A1">
        <w:trPr>
          <w:trHeight w:val="311"/>
          <w:jc w:val="center"/>
        </w:trPr>
        <w:tc>
          <w:tcPr>
            <w:tcW w:w="2977" w:type="dxa"/>
            <w:vMerge w:val="restart"/>
          </w:tcPr>
          <w:p w:rsidR="00BC496A" w:rsidRDefault="00BC496A" w:rsidP="007372A1">
            <w:pPr>
              <w:pStyle w:val="Normaali1"/>
              <w:spacing w:before="60" w:after="60" w:line="240" w:lineRule="auto"/>
              <w:ind w:left="-4" w:right="125"/>
              <w:rPr>
                <w:rFonts w:ascii="Times New Roman" w:hAnsi="Times New Roman"/>
                <w:sz w:val="22"/>
                <w:szCs w:val="22"/>
              </w:rPr>
            </w:pPr>
          </w:p>
          <w:p w:rsidR="00BC496A" w:rsidRPr="00F3332B" w:rsidRDefault="00BC496A" w:rsidP="007372A1">
            <w:pPr>
              <w:pStyle w:val="Normaali1"/>
              <w:spacing w:before="60" w:after="60" w:line="240" w:lineRule="auto"/>
              <w:ind w:left="-4" w:right="125"/>
              <w:rPr>
                <w:rFonts w:ascii="Times New Roman" w:hAnsi="Times New Roman"/>
                <w:sz w:val="22"/>
                <w:szCs w:val="22"/>
              </w:rPr>
            </w:pPr>
            <w:r>
              <w:rPr>
                <w:rFonts w:ascii="Times New Roman" w:hAnsi="Times New Roman"/>
                <w:sz w:val="22"/>
                <w:szCs w:val="22"/>
              </w:rPr>
              <w:t>Formula</w:t>
            </w:r>
          </w:p>
        </w:tc>
        <w:tc>
          <w:tcPr>
            <w:tcW w:w="3867" w:type="dxa"/>
            <w:gridSpan w:val="2"/>
          </w:tcPr>
          <w:p w:rsidR="00BC496A" w:rsidRPr="00F3332B"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Region</w:t>
            </w:r>
          </w:p>
        </w:tc>
      </w:tr>
      <w:tr w:rsidR="00BC496A" w:rsidTr="007372A1">
        <w:trPr>
          <w:trHeight w:val="310"/>
          <w:jc w:val="center"/>
        </w:trPr>
        <w:tc>
          <w:tcPr>
            <w:tcW w:w="2977" w:type="dxa"/>
            <w:vMerge/>
          </w:tcPr>
          <w:p w:rsidR="00BC496A" w:rsidRPr="00F3332B" w:rsidRDefault="00BC496A" w:rsidP="007372A1">
            <w:pPr>
              <w:pStyle w:val="Normaali1"/>
              <w:spacing w:before="60" w:after="60" w:line="240" w:lineRule="auto"/>
              <w:ind w:left="5" w:right="125"/>
              <w:rPr>
                <w:rFonts w:ascii="Times New Roman" w:hAnsi="Times New Roman"/>
                <w:sz w:val="22"/>
                <w:szCs w:val="22"/>
              </w:rPr>
            </w:pPr>
          </w:p>
        </w:tc>
        <w:tc>
          <w:tcPr>
            <w:tcW w:w="1985" w:type="dxa"/>
          </w:tcPr>
          <w:p w:rsidR="00BC496A"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Daegu</w:t>
            </w:r>
          </w:p>
        </w:tc>
        <w:tc>
          <w:tcPr>
            <w:tcW w:w="1882" w:type="dxa"/>
          </w:tcPr>
          <w:p w:rsidR="00BC496A"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Gyeongbuk</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SLQ</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23.33</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13.67</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CILQ</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20.90</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18.50</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6.29</w:t>
            </w:r>
          </w:p>
        </w:tc>
        <w:tc>
          <w:tcPr>
            <w:tcW w:w="1882" w:type="dxa"/>
            <w:vAlign w:val="bottom"/>
          </w:tcPr>
          <w:p w:rsidR="00BC496A" w:rsidRPr="00EF6310" w:rsidRDefault="00BC496A" w:rsidP="007372A1">
            <w:pPr>
              <w:widowControl w:val="0"/>
              <w:tabs>
                <w:tab w:val="decimal" w:pos="736"/>
              </w:tabs>
              <w:adjustRightInd w:val="0"/>
              <w:spacing w:before="36" w:after="36"/>
              <w:ind w:left="-26" w:right="-108" w:firstLine="0"/>
              <w:jc w:val="left"/>
              <w:textAlignment w:val="baseline"/>
              <w:rPr>
                <w:b/>
                <w:bCs/>
                <w:sz w:val="22"/>
                <w:szCs w:val="22"/>
              </w:rPr>
            </w:pPr>
            <w:r>
              <w:rPr>
                <w:b/>
                <w:bCs/>
                <w:sz w:val="22"/>
                <w:szCs w:val="22"/>
              </w:rPr>
              <w:t>5</w:t>
            </w:r>
            <w:r w:rsidRPr="00EF6310">
              <w:rPr>
                <w:b/>
                <w:bCs/>
                <w:sz w:val="22"/>
                <w:szCs w:val="22"/>
              </w:rPr>
              <w:t>.1</w:t>
            </w:r>
            <w:r>
              <w:rPr>
                <w:b/>
                <w:bCs/>
                <w:sz w:val="22"/>
                <w:szCs w:val="22"/>
              </w:rPr>
              <w:t>1</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35</w:t>
            </w:r>
            <w:r w:rsidRPr="00F3332B">
              <w:rPr>
                <w:rFonts w:ascii="Times New Roman" w:hAnsi="Times New Roman"/>
                <w:sz w:val="22"/>
                <w:szCs w:val="22"/>
              </w:rPr>
              <w:t>)</w:t>
            </w:r>
          </w:p>
        </w:tc>
        <w:tc>
          <w:tcPr>
            <w:tcW w:w="1985" w:type="dxa"/>
            <w:vAlign w:val="bottom"/>
          </w:tcPr>
          <w:p w:rsidR="00BC496A" w:rsidRPr="00647B68" w:rsidRDefault="00BC496A" w:rsidP="007372A1">
            <w:pPr>
              <w:widowControl w:val="0"/>
              <w:tabs>
                <w:tab w:val="decimal" w:pos="736"/>
              </w:tabs>
              <w:adjustRightInd w:val="0"/>
              <w:spacing w:before="36" w:after="36"/>
              <w:ind w:left="-26" w:right="-108" w:firstLine="0"/>
              <w:jc w:val="left"/>
              <w:textAlignment w:val="baseline"/>
              <w:rPr>
                <w:b/>
                <w:bCs/>
                <w:sz w:val="22"/>
                <w:szCs w:val="22"/>
              </w:rPr>
            </w:pPr>
            <w:r w:rsidRPr="00647B68">
              <w:rPr>
                <w:b/>
                <w:bCs/>
                <w:sz w:val="22"/>
                <w:szCs w:val="22"/>
              </w:rPr>
              <w:t>6.</w:t>
            </w:r>
            <w:r>
              <w:rPr>
                <w:b/>
                <w:bCs/>
                <w:sz w:val="22"/>
                <w:szCs w:val="22"/>
              </w:rPr>
              <w:t>12</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5.44</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4</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6.65</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6.28</w:t>
            </w:r>
          </w:p>
        </w:tc>
      </w:tr>
      <w:tr w:rsidR="00BC496A" w:rsidTr="007372A1">
        <w:trPr>
          <w:jc w:val="center"/>
        </w:trPr>
        <w:tc>
          <w:tcPr>
            <w:tcW w:w="2977"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45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7.45</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7.15</w:t>
            </w:r>
          </w:p>
        </w:tc>
      </w:tr>
      <w:tr w:rsidR="00BC496A" w:rsidTr="007372A1">
        <w:trPr>
          <w:jc w:val="center"/>
        </w:trPr>
        <w:tc>
          <w:tcPr>
            <w:tcW w:w="2977" w:type="dxa"/>
          </w:tcPr>
          <w:p w:rsidR="00BC496A" w:rsidRPr="00F3332B" w:rsidRDefault="00BC496A" w:rsidP="007372A1">
            <w:pPr>
              <w:pStyle w:val="Normaali1"/>
              <w:spacing w:before="60" w:after="60" w:line="240" w:lineRule="auto"/>
              <w:ind w:right="-91" w:firstLine="6"/>
              <w:jc w:val="left"/>
              <w:rPr>
                <w:rFonts w:ascii="Times New Roman" w:hAnsi="Times New Roman"/>
                <w:sz w:val="22"/>
                <w:szCs w:val="22"/>
              </w:rPr>
            </w:pP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.5</w:t>
            </w:r>
            <w:r w:rsidRPr="00F3332B">
              <w:rPr>
                <w:rFonts w:ascii="Times New Roman" w:hAnsi="Times New Roman"/>
                <w:sz w:val="22"/>
                <w:szCs w:val="22"/>
              </w:rPr>
              <w:t>)</w:t>
            </w:r>
          </w:p>
        </w:tc>
        <w:tc>
          <w:tcPr>
            <w:tcW w:w="1985" w:type="dxa"/>
            <w:vAlign w:val="bottom"/>
          </w:tcPr>
          <w:p w:rsidR="00BC496A" w:rsidRPr="00934526" w:rsidRDefault="00BC496A" w:rsidP="007372A1">
            <w:pPr>
              <w:widowControl w:val="0"/>
              <w:tabs>
                <w:tab w:val="decimal" w:pos="736"/>
              </w:tabs>
              <w:adjustRightInd w:val="0"/>
              <w:spacing w:before="36" w:after="36"/>
              <w:ind w:left="-26" w:right="-108" w:firstLine="0"/>
              <w:jc w:val="left"/>
              <w:textAlignment w:val="baseline"/>
              <w:rPr>
                <w:b/>
                <w:bCs/>
                <w:sz w:val="22"/>
                <w:szCs w:val="22"/>
              </w:rPr>
            </w:pPr>
            <w:r>
              <w:rPr>
                <w:bCs/>
                <w:sz w:val="22"/>
                <w:szCs w:val="22"/>
              </w:rPr>
              <w:t>8.89</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8.48</w:t>
            </w:r>
          </w:p>
        </w:tc>
      </w:tr>
      <w:tr w:rsidR="00BC496A" w:rsidTr="007372A1">
        <w:trPr>
          <w:jc w:val="center"/>
        </w:trPr>
        <w:tc>
          <w:tcPr>
            <w:tcW w:w="2977"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55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9.92</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10.43</w:t>
            </w:r>
          </w:p>
        </w:tc>
      </w:tr>
      <w:tr w:rsidR="00BC496A" w:rsidTr="007372A1">
        <w:trPr>
          <w:jc w:val="center"/>
        </w:trPr>
        <w:tc>
          <w:tcPr>
            <w:tcW w:w="2977" w:type="dxa"/>
          </w:tcPr>
          <w:p w:rsidR="00BC496A" w:rsidRPr="00F3332B" w:rsidRDefault="00BC496A" w:rsidP="007372A1">
            <w:pPr>
              <w:pStyle w:val="Normaali1"/>
              <w:spacing w:before="60" w:after="60" w:line="240" w:lineRule="auto"/>
              <w:ind w:right="-91" w:firstLine="6"/>
              <w:jc w:val="left"/>
              <w:rPr>
                <w:rFonts w:ascii="Times New Roman" w:hAnsi="Times New Roman"/>
                <w:sz w:val="22"/>
                <w:szCs w:val="22"/>
              </w:rPr>
            </w:pP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.6</w:t>
            </w:r>
            <w:r w:rsidRPr="00F3332B">
              <w:rPr>
                <w:rFonts w:ascii="Times New Roman" w:hAnsi="Times New Roman"/>
                <w:sz w:val="22"/>
                <w:szCs w:val="22"/>
              </w:rPr>
              <w:t>)</w:t>
            </w:r>
          </w:p>
        </w:tc>
        <w:tc>
          <w:tcPr>
            <w:tcW w:w="1985" w:type="dxa"/>
            <w:vAlign w:val="bottom"/>
          </w:tcPr>
          <w:p w:rsidR="00BC496A" w:rsidRPr="00934526" w:rsidRDefault="00BC496A" w:rsidP="007372A1">
            <w:pPr>
              <w:widowControl w:val="0"/>
              <w:tabs>
                <w:tab w:val="decimal" w:pos="736"/>
              </w:tabs>
              <w:adjustRightInd w:val="0"/>
              <w:spacing w:before="36" w:after="36"/>
              <w:ind w:left="-26" w:right="-108" w:firstLine="0"/>
              <w:jc w:val="left"/>
              <w:textAlignment w:val="baseline"/>
              <w:rPr>
                <w:b/>
                <w:bCs/>
                <w:sz w:val="22"/>
                <w:szCs w:val="22"/>
              </w:rPr>
            </w:pPr>
            <w:r>
              <w:rPr>
                <w:bCs/>
                <w:sz w:val="22"/>
                <w:szCs w:val="22"/>
              </w:rPr>
              <w:t>10.77</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12.22</w:t>
            </w:r>
          </w:p>
        </w:tc>
      </w:tr>
      <w:tr w:rsidR="00BC496A" w:rsidTr="007372A1">
        <w:trPr>
          <w:jc w:val="center"/>
        </w:trPr>
        <w:tc>
          <w:tcPr>
            <w:tcW w:w="2977" w:type="dxa"/>
          </w:tcPr>
          <w:p w:rsidR="00BC496A" w:rsidRDefault="00BC496A" w:rsidP="007372A1">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 xml:space="preserve">Best single value of </w:t>
            </w:r>
            <w:r w:rsidRPr="00F3332B">
              <w:rPr>
                <w:rFonts w:ascii="Times New Roman" w:hAnsi="Times New Roman"/>
                <w:color w:val="000000"/>
                <w:sz w:val="22"/>
                <w:szCs w:val="22"/>
                <w:lang w:val="en-GB"/>
              </w:rPr>
              <w:t>δ</w:t>
            </w:r>
          </w:p>
        </w:tc>
        <w:tc>
          <w:tcPr>
            <w:tcW w:w="1985"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0.35</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0.3</w:t>
            </w:r>
          </w:p>
        </w:tc>
      </w:tr>
    </w:tbl>
    <w:p w:rsidR="00BC496A" w:rsidRDefault="00BC496A" w:rsidP="00BC496A">
      <w:pPr>
        <w:tabs>
          <w:tab w:val="left" w:pos="1134"/>
        </w:tabs>
        <w:spacing w:before="120"/>
        <w:ind w:firstLine="0"/>
        <w:rPr>
          <w:lang w:val="en-US"/>
        </w:rPr>
      </w:pPr>
    </w:p>
    <w:p w:rsidR="00BC496A" w:rsidRDefault="00BC496A" w:rsidP="00BC496A">
      <w:pPr>
        <w:spacing w:after="0"/>
        <w:ind w:firstLine="0"/>
        <w:jc w:val="left"/>
        <w:rPr>
          <w:lang w:val="en-US"/>
        </w:rPr>
      </w:pPr>
      <w:r>
        <w:rPr>
          <w:lang w:val="en-US"/>
        </w:rPr>
        <w:br w:type="page"/>
      </w:r>
    </w:p>
    <w:p w:rsidR="00BC496A" w:rsidRDefault="00BC496A" w:rsidP="00BC496A">
      <w:pPr>
        <w:ind w:left="1134" w:right="946" w:firstLine="0"/>
        <w:jc w:val="left"/>
        <w:rPr>
          <w:color w:val="000000"/>
          <w:szCs w:val="26"/>
        </w:rPr>
      </w:pPr>
      <w:r w:rsidRPr="002C6D87">
        <w:rPr>
          <w:b/>
          <w:color w:val="000000"/>
          <w:szCs w:val="26"/>
        </w:rPr>
        <w:t>Table 5</w:t>
      </w:r>
      <w:r>
        <w:rPr>
          <w:color w:val="000000"/>
          <w:szCs w:val="26"/>
        </w:rPr>
        <w:t xml:space="preserve">  Variant of Table 4 using output instead of employment to measure regional size</w:t>
      </w:r>
    </w:p>
    <w:tbl>
      <w:tblPr>
        <w:tblW w:w="6844" w:type="dxa"/>
        <w:jc w:val="center"/>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977"/>
        <w:gridCol w:w="1985"/>
        <w:gridCol w:w="1882"/>
      </w:tblGrid>
      <w:tr w:rsidR="00BC496A" w:rsidTr="007372A1">
        <w:trPr>
          <w:trHeight w:val="311"/>
          <w:jc w:val="center"/>
        </w:trPr>
        <w:tc>
          <w:tcPr>
            <w:tcW w:w="2977" w:type="dxa"/>
            <w:vMerge w:val="restart"/>
          </w:tcPr>
          <w:p w:rsidR="00BC496A" w:rsidRDefault="00BC496A" w:rsidP="007372A1">
            <w:pPr>
              <w:pStyle w:val="Normaali1"/>
              <w:spacing w:before="60" w:after="60" w:line="240" w:lineRule="auto"/>
              <w:ind w:left="-4" w:right="125"/>
              <w:rPr>
                <w:rFonts w:ascii="Times New Roman" w:hAnsi="Times New Roman"/>
                <w:sz w:val="22"/>
                <w:szCs w:val="22"/>
              </w:rPr>
            </w:pPr>
          </w:p>
          <w:p w:rsidR="00BC496A" w:rsidRPr="00F3332B" w:rsidRDefault="00BC496A" w:rsidP="007372A1">
            <w:pPr>
              <w:pStyle w:val="Normaali1"/>
              <w:spacing w:before="60" w:after="60" w:line="240" w:lineRule="auto"/>
              <w:ind w:left="-4" w:right="125"/>
              <w:rPr>
                <w:rFonts w:ascii="Times New Roman" w:hAnsi="Times New Roman"/>
                <w:sz w:val="22"/>
                <w:szCs w:val="22"/>
              </w:rPr>
            </w:pPr>
            <w:r>
              <w:rPr>
                <w:rFonts w:ascii="Times New Roman" w:hAnsi="Times New Roman"/>
                <w:sz w:val="22"/>
                <w:szCs w:val="22"/>
              </w:rPr>
              <w:t>Formula</w:t>
            </w:r>
          </w:p>
        </w:tc>
        <w:tc>
          <w:tcPr>
            <w:tcW w:w="3867" w:type="dxa"/>
            <w:gridSpan w:val="2"/>
          </w:tcPr>
          <w:p w:rsidR="00BC496A" w:rsidRPr="00F3332B" w:rsidRDefault="00BC496A" w:rsidP="007372A1">
            <w:pPr>
              <w:pStyle w:val="Normaali1"/>
              <w:spacing w:before="60" w:after="60" w:line="240" w:lineRule="auto"/>
              <w:ind w:left="-37" w:right="284"/>
              <w:jc w:val="center"/>
              <w:rPr>
                <w:rFonts w:ascii="Times New Roman" w:hAnsi="Times New Roman"/>
                <w:sz w:val="22"/>
                <w:szCs w:val="22"/>
              </w:rPr>
            </w:pPr>
            <w:r>
              <w:rPr>
                <w:rFonts w:ascii="Times New Roman" w:hAnsi="Times New Roman"/>
                <w:sz w:val="22"/>
                <w:szCs w:val="22"/>
              </w:rPr>
              <w:t>Region</w:t>
            </w:r>
          </w:p>
        </w:tc>
      </w:tr>
      <w:tr w:rsidR="00BC496A" w:rsidTr="007372A1">
        <w:trPr>
          <w:trHeight w:val="310"/>
          <w:jc w:val="center"/>
        </w:trPr>
        <w:tc>
          <w:tcPr>
            <w:tcW w:w="2977" w:type="dxa"/>
            <w:vMerge/>
          </w:tcPr>
          <w:p w:rsidR="00BC496A" w:rsidRPr="00F3332B" w:rsidRDefault="00BC496A" w:rsidP="007372A1">
            <w:pPr>
              <w:pStyle w:val="Normaali1"/>
              <w:spacing w:before="60" w:after="60" w:line="240" w:lineRule="auto"/>
              <w:ind w:left="5" w:right="125"/>
              <w:rPr>
                <w:rFonts w:ascii="Times New Roman" w:hAnsi="Times New Roman"/>
                <w:sz w:val="22"/>
                <w:szCs w:val="22"/>
              </w:rPr>
            </w:pPr>
          </w:p>
        </w:tc>
        <w:tc>
          <w:tcPr>
            <w:tcW w:w="1985" w:type="dxa"/>
          </w:tcPr>
          <w:p w:rsidR="00BC496A" w:rsidRDefault="00BC496A" w:rsidP="007372A1">
            <w:pPr>
              <w:pStyle w:val="Normaali1"/>
              <w:spacing w:before="60" w:after="60" w:line="240" w:lineRule="auto"/>
              <w:ind w:left="-37"/>
              <w:jc w:val="center"/>
              <w:rPr>
                <w:rFonts w:ascii="Times New Roman" w:hAnsi="Times New Roman"/>
                <w:sz w:val="22"/>
                <w:szCs w:val="22"/>
              </w:rPr>
            </w:pPr>
            <w:r>
              <w:rPr>
                <w:rFonts w:ascii="Times New Roman" w:hAnsi="Times New Roman"/>
                <w:sz w:val="22"/>
                <w:szCs w:val="22"/>
              </w:rPr>
              <w:t>Daegu</w:t>
            </w:r>
          </w:p>
        </w:tc>
        <w:tc>
          <w:tcPr>
            <w:tcW w:w="1882" w:type="dxa"/>
          </w:tcPr>
          <w:p w:rsidR="00BC496A" w:rsidRDefault="00BC496A" w:rsidP="007372A1">
            <w:pPr>
              <w:pStyle w:val="Normaali1"/>
              <w:tabs>
                <w:tab w:val="center" w:pos="1629"/>
              </w:tabs>
              <w:spacing w:before="60" w:after="60" w:line="240" w:lineRule="auto"/>
              <w:ind w:left="-37" w:right="23"/>
              <w:jc w:val="center"/>
              <w:rPr>
                <w:rFonts w:ascii="Times New Roman" w:hAnsi="Times New Roman"/>
                <w:sz w:val="22"/>
                <w:szCs w:val="22"/>
              </w:rPr>
            </w:pPr>
            <w:r>
              <w:rPr>
                <w:rFonts w:ascii="Times New Roman" w:hAnsi="Times New Roman"/>
                <w:sz w:val="22"/>
                <w:szCs w:val="22"/>
              </w:rPr>
              <w:t>Gyeongbuk</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SLQ</w:t>
            </w:r>
          </w:p>
        </w:tc>
        <w:tc>
          <w:tcPr>
            <w:tcW w:w="1985" w:type="dxa"/>
            <w:vAlign w:val="bottom"/>
          </w:tcPr>
          <w:p w:rsidR="00BC496A" w:rsidRPr="008A4578" w:rsidRDefault="00BC496A" w:rsidP="007372A1">
            <w:pPr>
              <w:widowControl w:val="0"/>
              <w:tabs>
                <w:tab w:val="decimal" w:pos="779"/>
              </w:tabs>
              <w:adjustRightInd w:val="0"/>
              <w:spacing w:before="36" w:after="36"/>
              <w:ind w:left="-26" w:right="-108" w:firstLine="0"/>
              <w:jc w:val="left"/>
              <w:textAlignment w:val="baseline"/>
              <w:rPr>
                <w:bCs/>
                <w:sz w:val="22"/>
                <w:szCs w:val="22"/>
              </w:rPr>
            </w:pPr>
            <w:r>
              <w:rPr>
                <w:bCs/>
                <w:sz w:val="22"/>
                <w:szCs w:val="22"/>
              </w:rPr>
              <w:t>23.33</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13.67</w:t>
            </w:r>
          </w:p>
        </w:tc>
      </w:tr>
      <w:tr w:rsidR="00BC496A" w:rsidTr="007372A1">
        <w:trPr>
          <w:jc w:val="center"/>
        </w:trPr>
        <w:tc>
          <w:tcPr>
            <w:tcW w:w="2977"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CILQ</w:t>
            </w:r>
          </w:p>
        </w:tc>
        <w:tc>
          <w:tcPr>
            <w:tcW w:w="1985" w:type="dxa"/>
            <w:vAlign w:val="bottom"/>
          </w:tcPr>
          <w:p w:rsidR="00BC496A" w:rsidRPr="008A4578" w:rsidRDefault="00BC496A" w:rsidP="007372A1">
            <w:pPr>
              <w:widowControl w:val="0"/>
              <w:tabs>
                <w:tab w:val="decimal" w:pos="779"/>
              </w:tabs>
              <w:adjustRightInd w:val="0"/>
              <w:spacing w:before="36" w:after="36"/>
              <w:ind w:left="-26" w:right="-108" w:firstLine="0"/>
              <w:jc w:val="left"/>
              <w:textAlignment w:val="baseline"/>
              <w:rPr>
                <w:bCs/>
                <w:sz w:val="22"/>
                <w:szCs w:val="22"/>
              </w:rPr>
            </w:pPr>
            <w:r>
              <w:rPr>
                <w:bCs/>
                <w:sz w:val="22"/>
                <w:szCs w:val="22"/>
              </w:rPr>
              <w:t>20.90</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18.50</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w:t>
            </w:r>
            <w:r w:rsidRPr="00F3332B">
              <w:rPr>
                <w:rFonts w:ascii="Times New Roman" w:hAnsi="Times New Roman"/>
                <w:sz w:val="22"/>
                <w:szCs w:val="22"/>
              </w:rPr>
              <w:t>)</w:t>
            </w:r>
          </w:p>
        </w:tc>
        <w:tc>
          <w:tcPr>
            <w:tcW w:w="1985" w:type="dxa"/>
            <w:vAlign w:val="bottom"/>
          </w:tcPr>
          <w:p w:rsidR="00BC496A" w:rsidRPr="00D37786" w:rsidRDefault="00BC496A" w:rsidP="007372A1">
            <w:pPr>
              <w:widowControl w:val="0"/>
              <w:tabs>
                <w:tab w:val="decimal" w:pos="779"/>
              </w:tabs>
              <w:adjustRightInd w:val="0"/>
              <w:spacing w:before="36" w:after="36"/>
              <w:ind w:left="-26" w:right="-108" w:firstLine="0"/>
              <w:jc w:val="left"/>
              <w:textAlignment w:val="baseline"/>
              <w:rPr>
                <w:b/>
                <w:bCs/>
                <w:sz w:val="22"/>
                <w:szCs w:val="22"/>
              </w:rPr>
            </w:pPr>
            <w:r w:rsidRPr="00D37786">
              <w:rPr>
                <w:b/>
                <w:bCs/>
                <w:sz w:val="22"/>
                <w:szCs w:val="22"/>
              </w:rPr>
              <w:t>6.</w:t>
            </w:r>
            <w:r>
              <w:rPr>
                <w:b/>
                <w:bCs/>
                <w:sz w:val="22"/>
                <w:szCs w:val="22"/>
              </w:rPr>
              <w:t>16</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5.51</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79"/>
              </w:tabs>
              <w:adjustRightInd w:val="0"/>
              <w:spacing w:before="36" w:after="36"/>
              <w:ind w:left="-26" w:right="-108" w:firstLine="0"/>
              <w:jc w:val="left"/>
              <w:textAlignment w:val="baseline"/>
              <w:rPr>
                <w:bCs/>
                <w:sz w:val="22"/>
                <w:szCs w:val="22"/>
              </w:rPr>
            </w:pPr>
            <w:r>
              <w:rPr>
                <w:bCs/>
                <w:sz w:val="22"/>
                <w:szCs w:val="22"/>
              </w:rPr>
              <w:t>6.89</w:t>
            </w:r>
          </w:p>
        </w:tc>
        <w:tc>
          <w:tcPr>
            <w:tcW w:w="1882" w:type="dxa"/>
            <w:vAlign w:val="bottom"/>
          </w:tcPr>
          <w:p w:rsidR="00BC496A" w:rsidRPr="00D37786" w:rsidRDefault="00BC496A" w:rsidP="007372A1">
            <w:pPr>
              <w:widowControl w:val="0"/>
              <w:tabs>
                <w:tab w:val="decimal" w:pos="736"/>
              </w:tabs>
              <w:adjustRightInd w:val="0"/>
              <w:spacing w:before="36" w:after="36"/>
              <w:ind w:left="-26" w:right="-108" w:firstLine="0"/>
              <w:jc w:val="left"/>
              <w:textAlignment w:val="baseline"/>
              <w:rPr>
                <w:b/>
                <w:bCs/>
                <w:sz w:val="22"/>
                <w:szCs w:val="22"/>
              </w:rPr>
            </w:pPr>
            <w:r>
              <w:rPr>
                <w:b/>
                <w:bCs/>
                <w:sz w:val="22"/>
                <w:szCs w:val="22"/>
              </w:rPr>
              <w:t>5</w:t>
            </w:r>
            <w:r w:rsidRPr="00D37786">
              <w:rPr>
                <w:b/>
                <w:bCs/>
                <w:sz w:val="22"/>
                <w:szCs w:val="22"/>
              </w:rPr>
              <w:t>.13</w:t>
            </w:r>
          </w:p>
        </w:tc>
      </w:tr>
      <w:tr w:rsidR="00BC496A" w:rsidTr="007372A1">
        <w:trPr>
          <w:jc w:val="center"/>
        </w:trPr>
        <w:tc>
          <w:tcPr>
            <w:tcW w:w="2977"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4</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79"/>
              </w:tabs>
              <w:adjustRightInd w:val="0"/>
              <w:spacing w:before="36" w:after="36"/>
              <w:ind w:left="-26" w:right="-108" w:firstLine="0"/>
              <w:jc w:val="left"/>
              <w:textAlignment w:val="baseline"/>
              <w:rPr>
                <w:bCs/>
                <w:sz w:val="22"/>
                <w:szCs w:val="22"/>
              </w:rPr>
            </w:pPr>
            <w:r>
              <w:rPr>
                <w:bCs/>
                <w:sz w:val="22"/>
                <w:szCs w:val="22"/>
              </w:rPr>
              <w:t>8.26</w:t>
            </w:r>
          </w:p>
        </w:tc>
        <w:tc>
          <w:tcPr>
            <w:tcW w:w="1882" w:type="dxa"/>
            <w:vAlign w:val="bottom"/>
          </w:tcPr>
          <w:p w:rsidR="00BC496A" w:rsidRPr="00CE2864"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5</w:t>
            </w:r>
            <w:r w:rsidRPr="00CE2864">
              <w:rPr>
                <w:bCs/>
                <w:sz w:val="22"/>
                <w:szCs w:val="22"/>
              </w:rPr>
              <w:t>.</w:t>
            </w:r>
            <w:r>
              <w:rPr>
                <w:bCs/>
                <w:sz w:val="22"/>
                <w:szCs w:val="22"/>
              </w:rPr>
              <w:t>30</w:t>
            </w:r>
          </w:p>
        </w:tc>
      </w:tr>
      <w:tr w:rsidR="00BC496A" w:rsidTr="007372A1">
        <w:trPr>
          <w:jc w:val="center"/>
        </w:trPr>
        <w:tc>
          <w:tcPr>
            <w:tcW w:w="2977"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45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79"/>
              </w:tabs>
              <w:adjustRightInd w:val="0"/>
              <w:spacing w:before="36" w:after="36"/>
              <w:ind w:left="-26" w:right="-108" w:firstLine="0"/>
              <w:jc w:val="left"/>
              <w:textAlignment w:val="baseline"/>
              <w:rPr>
                <w:bCs/>
                <w:sz w:val="22"/>
                <w:szCs w:val="22"/>
              </w:rPr>
            </w:pPr>
            <w:r>
              <w:rPr>
                <w:bCs/>
                <w:sz w:val="22"/>
                <w:szCs w:val="22"/>
              </w:rPr>
              <w:t>9.54</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5.84</w:t>
            </w:r>
          </w:p>
        </w:tc>
      </w:tr>
      <w:tr w:rsidR="00BC496A" w:rsidTr="007372A1">
        <w:trPr>
          <w:jc w:val="center"/>
        </w:trPr>
        <w:tc>
          <w:tcPr>
            <w:tcW w:w="2977" w:type="dxa"/>
          </w:tcPr>
          <w:p w:rsidR="00BC496A" w:rsidRPr="00F3332B" w:rsidRDefault="00BC496A" w:rsidP="007372A1">
            <w:pPr>
              <w:pStyle w:val="Normaali1"/>
              <w:spacing w:before="60" w:after="60" w:line="240" w:lineRule="auto"/>
              <w:ind w:right="-91" w:firstLine="6"/>
              <w:jc w:val="left"/>
              <w:rPr>
                <w:rFonts w:ascii="Times New Roman" w:hAnsi="Times New Roman"/>
                <w:sz w:val="22"/>
                <w:szCs w:val="22"/>
              </w:rPr>
            </w:pP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.5</w:t>
            </w:r>
            <w:r w:rsidRPr="00F3332B">
              <w:rPr>
                <w:rFonts w:ascii="Times New Roman" w:hAnsi="Times New Roman"/>
                <w:sz w:val="22"/>
                <w:szCs w:val="22"/>
              </w:rPr>
              <w:t>)</w:t>
            </w:r>
          </w:p>
        </w:tc>
        <w:tc>
          <w:tcPr>
            <w:tcW w:w="1985" w:type="dxa"/>
            <w:vAlign w:val="bottom"/>
          </w:tcPr>
          <w:p w:rsidR="00BC496A" w:rsidRPr="00D37786" w:rsidRDefault="00BC496A" w:rsidP="007372A1">
            <w:pPr>
              <w:widowControl w:val="0"/>
              <w:tabs>
                <w:tab w:val="decimal" w:pos="779"/>
              </w:tabs>
              <w:adjustRightInd w:val="0"/>
              <w:spacing w:before="36" w:after="36"/>
              <w:ind w:left="-26" w:right="-108" w:firstLine="0"/>
              <w:jc w:val="left"/>
              <w:textAlignment w:val="baseline"/>
              <w:rPr>
                <w:bCs/>
                <w:sz w:val="22"/>
                <w:szCs w:val="22"/>
              </w:rPr>
            </w:pPr>
            <w:r>
              <w:rPr>
                <w:bCs/>
                <w:sz w:val="22"/>
                <w:szCs w:val="22"/>
              </w:rPr>
              <w:t>10</w:t>
            </w:r>
            <w:r w:rsidRPr="00D37786">
              <w:rPr>
                <w:bCs/>
                <w:sz w:val="22"/>
                <w:szCs w:val="22"/>
              </w:rPr>
              <w:t>.</w:t>
            </w:r>
            <w:r>
              <w:rPr>
                <w:bCs/>
                <w:sz w:val="22"/>
                <w:szCs w:val="22"/>
              </w:rPr>
              <w:t>60</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6.61</w:t>
            </w:r>
          </w:p>
        </w:tc>
      </w:tr>
      <w:tr w:rsidR="00BC496A" w:rsidTr="007372A1">
        <w:trPr>
          <w:jc w:val="center"/>
        </w:trPr>
        <w:tc>
          <w:tcPr>
            <w:tcW w:w="2977"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55</w:t>
            </w:r>
            <w:r w:rsidRPr="00F3332B">
              <w:rPr>
                <w:rFonts w:ascii="Times New Roman" w:hAnsi="Times New Roman"/>
                <w:sz w:val="22"/>
                <w:szCs w:val="22"/>
              </w:rPr>
              <w:t>)</w:t>
            </w:r>
          </w:p>
        </w:tc>
        <w:tc>
          <w:tcPr>
            <w:tcW w:w="1985" w:type="dxa"/>
            <w:vAlign w:val="bottom"/>
          </w:tcPr>
          <w:p w:rsidR="00BC496A" w:rsidRPr="008A4578" w:rsidRDefault="00BC496A" w:rsidP="007372A1">
            <w:pPr>
              <w:widowControl w:val="0"/>
              <w:tabs>
                <w:tab w:val="decimal" w:pos="779"/>
              </w:tabs>
              <w:adjustRightInd w:val="0"/>
              <w:spacing w:before="36" w:after="36"/>
              <w:ind w:left="-26" w:right="-108" w:firstLine="0"/>
              <w:jc w:val="left"/>
              <w:textAlignment w:val="baseline"/>
              <w:rPr>
                <w:bCs/>
                <w:sz w:val="22"/>
                <w:szCs w:val="22"/>
              </w:rPr>
            </w:pPr>
            <w:r>
              <w:rPr>
                <w:bCs/>
                <w:sz w:val="22"/>
                <w:szCs w:val="22"/>
              </w:rPr>
              <w:t>11.71</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7.41</w:t>
            </w:r>
          </w:p>
        </w:tc>
      </w:tr>
      <w:tr w:rsidR="00BC496A" w:rsidTr="007372A1">
        <w:trPr>
          <w:jc w:val="center"/>
        </w:trPr>
        <w:tc>
          <w:tcPr>
            <w:tcW w:w="2977" w:type="dxa"/>
          </w:tcPr>
          <w:p w:rsidR="00BC496A" w:rsidRPr="00F3332B" w:rsidRDefault="00BC496A" w:rsidP="007372A1">
            <w:pPr>
              <w:pStyle w:val="Normaali1"/>
              <w:spacing w:before="60" w:after="60" w:line="240" w:lineRule="auto"/>
              <w:ind w:right="-91" w:firstLine="6"/>
              <w:jc w:val="left"/>
              <w:rPr>
                <w:rFonts w:ascii="Times New Roman" w:hAnsi="Times New Roman"/>
                <w:sz w:val="22"/>
                <w:szCs w:val="22"/>
              </w:rPr>
            </w:pPr>
            <w:r w:rsidRPr="00F3332B">
              <w:rPr>
                <w:rFonts w:ascii="Times New Roman" w:hAnsi="Times New Roman"/>
                <w:sz w:val="22"/>
                <w:szCs w:val="22"/>
              </w:rPr>
              <w:t>FLQ</w:t>
            </w:r>
            <w:r>
              <w:rPr>
                <w:rFonts w:ascii="Times New Roman" w:hAnsi="Times New Roman"/>
                <w:sz w:val="22"/>
                <w:szCs w:val="22"/>
              </w:rPr>
              <w:t xml:space="preserve"> </w:t>
            </w:r>
            <w:r w:rsidRPr="00F3332B">
              <w:rPr>
                <w:rFonts w:ascii="Times New Roman" w:hAnsi="Times New Roman"/>
                <w:sz w:val="22"/>
                <w:szCs w:val="22"/>
              </w:rPr>
              <w:t>(</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.6</w:t>
            </w:r>
            <w:r w:rsidRPr="00F3332B">
              <w:rPr>
                <w:rFonts w:ascii="Times New Roman" w:hAnsi="Times New Roman"/>
                <w:sz w:val="22"/>
                <w:szCs w:val="22"/>
              </w:rPr>
              <w:t>)</w:t>
            </w:r>
          </w:p>
        </w:tc>
        <w:tc>
          <w:tcPr>
            <w:tcW w:w="1985" w:type="dxa"/>
            <w:vAlign w:val="bottom"/>
          </w:tcPr>
          <w:p w:rsidR="00BC496A" w:rsidRPr="00D37786" w:rsidRDefault="00BC496A" w:rsidP="007372A1">
            <w:pPr>
              <w:widowControl w:val="0"/>
              <w:tabs>
                <w:tab w:val="decimal" w:pos="779"/>
              </w:tabs>
              <w:adjustRightInd w:val="0"/>
              <w:spacing w:before="36" w:after="36"/>
              <w:ind w:left="-26" w:right="-108" w:firstLine="0"/>
              <w:jc w:val="left"/>
              <w:textAlignment w:val="baseline"/>
              <w:rPr>
                <w:bCs/>
                <w:sz w:val="22"/>
                <w:szCs w:val="22"/>
              </w:rPr>
            </w:pPr>
            <w:r w:rsidRPr="00D37786">
              <w:rPr>
                <w:bCs/>
                <w:sz w:val="22"/>
                <w:szCs w:val="22"/>
              </w:rPr>
              <w:t>1</w:t>
            </w:r>
            <w:r>
              <w:rPr>
                <w:bCs/>
                <w:sz w:val="22"/>
                <w:szCs w:val="22"/>
              </w:rPr>
              <w:t>2</w:t>
            </w:r>
            <w:r w:rsidRPr="00D37786">
              <w:rPr>
                <w:bCs/>
                <w:sz w:val="22"/>
                <w:szCs w:val="22"/>
              </w:rPr>
              <w:t>.</w:t>
            </w:r>
            <w:r>
              <w:rPr>
                <w:bCs/>
                <w:sz w:val="22"/>
                <w:szCs w:val="22"/>
              </w:rPr>
              <w:t>86</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8.53</w:t>
            </w:r>
          </w:p>
        </w:tc>
      </w:tr>
      <w:tr w:rsidR="00BC496A" w:rsidTr="007372A1">
        <w:trPr>
          <w:jc w:val="center"/>
        </w:trPr>
        <w:tc>
          <w:tcPr>
            <w:tcW w:w="2977" w:type="dxa"/>
          </w:tcPr>
          <w:p w:rsidR="00BC496A" w:rsidRDefault="00BC496A" w:rsidP="007372A1">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 xml:space="preserve">Best single value of </w:t>
            </w:r>
            <w:r w:rsidRPr="00F3332B">
              <w:rPr>
                <w:rFonts w:ascii="Times New Roman" w:hAnsi="Times New Roman"/>
                <w:color w:val="000000"/>
                <w:sz w:val="22"/>
                <w:szCs w:val="22"/>
                <w:lang w:val="en-GB"/>
              </w:rPr>
              <w:t>δ</w:t>
            </w:r>
          </w:p>
        </w:tc>
        <w:tc>
          <w:tcPr>
            <w:tcW w:w="1985" w:type="dxa"/>
            <w:vAlign w:val="bottom"/>
          </w:tcPr>
          <w:p w:rsidR="00BC496A" w:rsidRPr="008A4578" w:rsidRDefault="00BC496A" w:rsidP="007372A1">
            <w:pPr>
              <w:widowControl w:val="0"/>
              <w:tabs>
                <w:tab w:val="decimal" w:pos="779"/>
              </w:tabs>
              <w:adjustRightInd w:val="0"/>
              <w:spacing w:before="36" w:after="36"/>
              <w:ind w:left="-26" w:right="-108" w:firstLine="0"/>
              <w:jc w:val="left"/>
              <w:textAlignment w:val="baseline"/>
              <w:rPr>
                <w:bCs/>
                <w:sz w:val="22"/>
                <w:szCs w:val="22"/>
              </w:rPr>
            </w:pPr>
            <w:r>
              <w:rPr>
                <w:bCs/>
                <w:sz w:val="22"/>
                <w:szCs w:val="22"/>
              </w:rPr>
              <w:t>0.3</w:t>
            </w:r>
          </w:p>
        </w:tc>
        <w:tc>
          <w:tcPr>
            <w:tcW w:w="1882"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0.35</w:t>
            </w:r>
          </w:p>
        </w:tc>
      </w:tr>
    </w:tbl>
    <w:p w:rsidR="00BC496A" w:rsidRDefault="00BC496A" w:rsidP="00BC496A">
      <w:pPr>
        <w:ind w:left="1134" w:right="946" w:firstLine="0"/>
        <w:jc w:val="left"/>
        <w:rPr>
          <w:b/>
          <w:sz w:val="22"/>
          <w:szCs w:val="22"/>
        </w:rPr>
      </w:pPr>
    </w:p>
    <w:p w:rsidR="00BC496A" w:rsidRDefault="00BC496A" w:rsidP="00BC496A">
      <w:pPr>
        <w:ind w:left="1134" w:right="1229" w:hanging="567"/>
        <w:jc w:val="left"/>
        <w:rPr>
          <w:color w:val="000000"/>
          <w:szCs w:val="26"/>
        </w:rPr>
      </w:pPr>
      <w:r>
        <w:rPr>
          <w:b/>
          <w:color w:val="000000"/>
          <w:szCs w:val="26"/>
        </w:rPr>
        <w:t>Table 6</w:t>
      </w:r>
      <w:r>
        <w:rPr>
          <w:color w:val="000000"/>
          <w:szCs w:val="26"/>
        </w:rPr>
        <w:t xml:space="preserve">  Regression results based on Kowalewski’s model (10)</w:t>
      </w:r>
    </w:p>
    <w:tbl>
      <w:tblPr>
        <w:tblW w:w="7890" w:type="dxa"/>
        <w:jc w:val="center"/>
        <w:tblInd w:w="-18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417"/>
        <w:gridCol w:w="1700"/>
        <w:gridCol w:w="1843"/>
        <w:gridCol w:w="1417"/>
        <w:gridCol w:w="1513"/>
      </w:tblGrid>
      <w:tr w:rsidR="00BC496A" w:rsidTr="007372A1">
        <w:trPr>
          <w:trHeight w:val="207"/>
          <w:jc w:val="center"/>
        </w:trPr>
        <w:tc>
          <w:tcPr>
            <w:tcW w:w="1418" w:type="dxa"/>
            <w:tcBorders>
              <w:top w:val="double" w:sz="4" w:space="0" w:color="auto"/>
              <w:left w:val="double" w:sz="4" w:space="0" w:color="auto"/>
              <w:bottom w:val="single" w:sz="4" w:space="0" w:color="auto"/>
              <w:right w:val="single" w:sz="4" w:space="0" w:color="auto"/>
            </w:tcBorders>
          </w:tcPr>
          <w:p w:rsidR="00BC496A" w:rsidRDefault="00BC496A" w:rsidP="007372A1">
            <w:pPr>
              <w:pStyle w:val="Normaali1"/>
              <w:spacing w:before="60" w:after="60" w:line="240" w:lineRule="auto"/>
              <w:ind w:left="-4" w:right="125"/>
              <w:rPr>
                <w:rFonts w:ascii="Times New Roman" w:hAnsi="Times New Roman"/>
                <w:sz w:val="22"/>
                <w:szCs w:val="22"/>
              </w:rPr>
            </w:pPr>
          </w:p>
        </w:tc>
        <w:tc>
          <w:tcPr>
            <w:tcW w:w="1701"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after="60" w:line="240" w:lineRule="auto"/>
              <w:ind w:left="-37" w:right="284"/>
              <w:jc w:val="center"/>
              <w:rPr>
                <w:rFonts w:ascii="Times New Roman" w:hAnsi="Times New Roman"/>
                <w:sz w:val="22"/>
                <w:szCs w:val="22"/>
              </w:rPr>
            </w:pPr>
          </w:p>
        </w:tc>
        <w:tc>
          <w:tcPr>
            <w:tcW w:w="1843"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after="60" w:line="240" w:lineRule="auto"/>
              <w:ind w:left="-37" w:right="284"/>
              <w:jc w:val="center"/>
              <w:rPr>
                <w:rFonts w:ascii="Times New Roman" w:hAnsi="Times New Roman"/>
                <w:sz w:val="22"/>
                <w:szCs w:val="22"/>
              </w:rPr>
            </w:pPr>
          </w:p>
        </w:tc>
        <w:tc>
          <w:tcPr>
            <w:tcW w:w="2930" w:type="dxa"/>
            <w:gridSpan w:val="2"/>
            <w:tcBorders>
              <w:top w:val="double" w:sz="4" w:space="0" w:color="auto"/>
              <w:left w:val="single" w:sz="4" w:space="0" w:color="auto"/>
              <w:bottom w:val="single" w:sz="4" w:space="0" w:color="auto"/>
              <w:right w:val="double" w:sz="4" w:space="0" w:color="auto"/>
            </w:tcBorders>
            <w:hideMark/>
          </w:tcPr>
          <w:p w:rsidR="00BC496A" w:rsidRDefault="00BC496A" w:rsidP="007372A1">
            <w:pPr>
              <w:pStyle w:val="Normaali1"/>
              <w:spacing w:before="60" w:after="60" w:line="240" w:lineRule="auto"/>
              <w:ind w:left="-37"/>
              <w:jc w:val="center"/>
              <w:rPr>
                <w:rFonts w:ascii="Times New Roman" w:hAnsi="Times New Roman"/>
                <w:sz w:val="22"/>
                <w:szCs w:val="22"/>
              </w:rPr>
            </w:pPr>
            <w:r>
              <w:rPr>
                <w:rFonts w:ascii="Times New Roman" w:hAnsi="Times New Roman"/>
                <w:sz w:val="22"/>
                <w:szCs w:val="22"/>
              </w:rPr>
              <w:t>New results</w:t>
            </w:r>
          </w:p>
        </w:tc>
      </w:tr>
      <w:tr w:rsidR="00BC496A" w:rsidTr="007372A1">
        <w:trPr>
          <w:trHeight w:val="207"/>
          <w:jc w:val="center"/>
        </w:trPr>
        <w:tc>
          <w:tcPr>
            <w:tcW w:w="1418"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spacing w:before="60" w:after="60" w:line="240" w:lineRule="auto"/>
              <w:ind w:left="5" w:right="125"/>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BC496A" w:rsidRDefault="00BC496A" w:rsidP="007372A1">
            <w:pPr>
              <w:pStyle w:val="Normaali1"/>
              <w:tabs>
                <w:tab w:val="center" w:pos="672"/>
              </w:tabs>
              <w:spacing w:before="60" w:after="60" w:line="240" w:lineRule="auto"/>
              <w:ind w:left="-37" w:right="-115"/>
              <w:rPr>
                <w:rFonts w:ascii="Times New Roman" w:hAnsi="Times New Roman"/>
                <w:sz w:val="22"/>
                <w:szCs w:val="22"/>
              </w:rPr>
            </w:pPr>
            <w:r>
              <w:rPr>
                <w:rFonts w:ascii="Times New Roman" w:hAnsi="Times New Roman"/>
                <w:sz w:val="22"/>
                <w:szCs w:val="22"/>
              </w:rPr>
              <w:tab/>
              <w:t>Kowalewski</w:t>
            </w:r>
          </w:p>
        </w:tc>
        <w:tc>
          <w:tcPr>
            <w:tcW w:w="1843" w:type="dxa"/>
            <w:tcBorders>
              <w:top w:val="single" w:sz="4" w:space="0" w:color="auto"/>
              <w:left w:val="single" w:sz="4" w:space="0" w:color="auto"/>
              <w:bottom w:val="single" w:sz="4" w:space="0" w:color="auto"/>
              <w:right w:val="single" w:sz="4" w:space="0" w:color="auto"/>
            </w:tcBorders>
            <w:hideMark/>
          </w:tcPr>
          <w:p w:rsidR="00BC496A" w:rsidRDefault="00BC496A" w:rsidP="007372A1">
            <w:pPr>
              <w:pStyle w:val="Normaali1"/>
              <w:tabs>
                <w:tab w:val="center" w:pos="735"/>
              </w:tabs>
              <w:spacing w:before="60" w:after="60" w:line="240" w:lineRule="auto"/>
              <w:ind w:left="-37" w:right="27"/>
              <w:jc w:val="center"/>
              <w:rPr>
                <w:rFonts w:ascii="Times New Roman" w:hAnsi="Times New Roman"/>
                <w:sz w:val="22"/>
                <w:szCs w:val="22"/>
              </w:rPr>
            </w:pPr>
            <w:r>
              <w:rPr>
                <w:rFonts w:ascii="Times New Roman" w:hAnsi="Times New Roman"/>
                <w:sz w:val="22"/>
                <w:szCs w:val="22"/>
              </w:rPr>
              <w:tab/>
              <w:t>Zhao and Choi</w:t>
            </w:r>
          </w:p>
        </w:tc>
        <w:tc>
          <w:tcPr>
            <w:tcW w:w="1417" w:type="dxa"/>
            <w:tcBorders>
              <w:top w:val="single" w:sz="4" w:space="0" w:color="auto"/>
              <w:left w:val="single" w:sz="4" w:space="0" w:color="auto"/>
              <w:bottom w:val="single" w:sz="4" w:space="0" w:color="auto"/>
              <w:right w:val="single" w:sz="4" w:space="0" w:color="auto"/>
            </w:tcBorders>
            <w:hideMark/>
          </w:tcPr>
          <w:p w:rsidR="00BC496A" w:rsidRDefault="00BC496A" w:rsidP="007372A1">
            <w:pPr>
              <w:pStyle w:val="Normaali1"/>
              <w:tabs>
                <w:tab w:val="center" w:pos="594"/>
              </w:tabs>
              <w:spacing w:before="60" w:after="60" w:line="240" w:lineRule="auto"/>
              <w:ind w:left="-37" w:right="27"/>
              <w:jc w:val="left"/>
              <w:rPr>
                <w:rFonts w:ascii="Times New Roman" w:hAnsi="Times New Roman"/>
                <w:sz w:val="22"/>
                <w:szCs w:val="22"/>
              </w:rPr>
            </w:pPr>
            <w:r>
              <w:rPr>
                <w:rFonts w:ascii="Times New Roman" w:hAnsi="Times New Roman"/>
                <w:sz w:val="22"/>
                <w:szCs w:val="22"/>
              </w:rPr>
              <w:tab/>
              <w:t>Daegu</w:t>
            </w:r>
          </w:p>
        </w:tc>
        <w:tc>
          <w:tcPr>
            <w:tcW w:w="1513" w:type="dxa"/>
            <w:tcBorders>
              <w:top w:val="single" w:sz="4" w:space="0" w:color="auto"/>
              <w:left w:val="single" w:sz="4" w:space="0" w:color="auto"/>
              <w:bottom w:val="single" w:sz="4" w:space="0" w:color="auto"/>
              <w:right w:val="double" w:sz="4" w:space="0" w:color="auto"/>
            </w:tcBorders>
            <w:hideMark/>
          </w:tcPr>
          <w:p w:rsidR="00BC496A" w:rsidRDefault="00BC496A" w:rsidP="007372A1">
            <w:pPr>
              <w:pStyle w:val="Normaali1"/>
              <w:tabs>
                <w:tab w:val="center" w:pos="594"/>
              </w:tabs>
              <w:spacing w:before="60" w:after="60" w:line="240" w:lineRule="auto"/>
              <w:ind w:left="-37" w:right="-20"/>
              <w:jc w:val="left"/>
              <w:rPr>
                <w:rFonts w:ascii="Times New Roman" w:hAnsi="Times New Roman"/>
                <w:sz w:val="22"/>
                <w:szCs w:val="22"/>
              </w:rPr>
            </w:pPr>
            <w:r>
              <w:rPr>
                <w:rFonts w:ascii="Times New Roman" w:hAnsi="Times New Roman"/>
                <w:sz w:val="22"/>
                <w:szCs w:val="22"/>
              </w:rPr>
              <w:tab/>
              <w:t>Gyeongbuk</w:t>
            </w:r>
          </w:p>
        </w:tc>
      </w:tr>
      <w:tr w:rsidR="00BC496A" w:rsidTr="007372A1">
        <w:trPr>
          <w:trHeight w:val="375"/>
          <w:jc w:val="center"/>
        </w:trPr>
        <w:tc>
          <w:tcPr>
            <w:tcW w:w="1418"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tabs>
                <w:tab w:val="left" w:pos="360"/>
                <w:tab w:val="left" w:pos="972"/>
              </w:tabs>
              <w:spacing w:before="60" w:after="60" w:line="240" w:lineRule="auto"/>
              <w:ind w:right="284"/>
              <w:jc w:val="left"/>
              <w:rPr>
                <w:rFonts w:ascii="Times New Roman" w:hAnsi="Times New Roman"/>
                <w:sz w:val="22"/>
                <w:szCs w:val="22"/>
              </w:rPr>
            </w:pPr>
            <w:r>
              <w:rPr>
                <w:rFonts w:ascii="Times New Roman" w:hAnsi="Times New Roman"/>
                <w:sz w:val="22"/>
                <w:szCs w:val="22"/>
              </w:rPr>
              <w:t>Intercept</w:t>
            </w:r>
          </w:p>
        </w:tc>
        <w:tc>
          <w:tcPr>
            <w:tcW w:w="1701" w:type="dxa"/>
            <w:tcBorders>
              <w:top w:val="single" w:sz="4" w:space="0" w:color="auto"/>
              <w:left w:val="single" w:sz="4" w:space="0" w:color="auto"/>
              <w:bottom w:val="single" w:sz="4" w:space="0" w:color="auto"/>
              <w:right w:val="single" w:sz="4" w:space="0" w:color="auto"/>
            </w:tcBorders>
            <w:hideMark/>
          </w:tcPr>
          <w:p w:rsidR="00BC496A" w:rsidRDefault="00BC496A" w:rsidP="007372A1">
            <w:pPr>
              <w:pStyle w:val="Normaali1"/>
              <w:tabs>
                <w:tab w:val="decimal" w:pos="615"/>
              </w:tabs>
              <w:spacing w:before="60" w:line="240" w:lineRule="auto"/>
              <w:ind w:right="28" w:hanging="6"/>
              <w:jc w:val="left"/>
              <w:rPr>
                <w:sz w:val="22"/>
                <w:szCs w:val="22"/>
              </w:rPr>
            </w:pPr>
            <w:r>
              <w:rPr>
                <w:sz w:val="22"/>
                <w:szCs w:val="22"/>
              </w:rPr>
              <w:sym w:font="Symbol" w:char="F02D"/>
            </w:r>
            <w:r>
              <w:rPr>
                <w:sz w:val="22"/>
                <w:szCs w:val="22"/>
              </w:rPr>
              <w:t>0.009</w:t>
            </w:r>
          </w:p>
          <w:p w:rsidR="00BC496A" w:rsidRDefault="00BC496A" w:rsidP="007372A1">
            <w:pPr>
              <w:pStyle w:val="Normaali1"/>
              <w:tabs>
                <w:tab w:val="decimal" w:pos="615"/>
              </w:tabs>
              <w:spacing w:after="60" w:line="240" w:lineRule="auto"/>
              <w:ind w:right="28" w:hanging="6"/>
              <w:jc w:val="left"/>
              <w:rPr>
                <w:rFonts w:ascii="Times New Roman" w:hAnsi="Times New Roman"/>
                <w:sz w:val="22"/>
                <w:szCs w:val="22"/>
              </w:rPr>
            </w:pPr>
            <w:r>
              <w:rPr>
                <w:sz w:val="22"/>
                <w:szCs w:val="22"/>
              </w:rPr>
              <w:t>(</w:t>
            </w:r>
            <w:r>
              <w:rPr>
                <w:sz w:val="22"/>
                <w:szCs w:val="22"/>
              </w:rPr>
              <w:sym w:font="Symbol" w:char="F02D"/>
            </w:r>
            <w:r>
              <w:rPr>
                <w:sz w:val="22"/>
                <w:szCs w:val="22"/>
              </w:rPr>
              <w:t>0.08)</w:t>
            </w:r>
          </w:p>
        </w:tc>
        <w:tc>
          <w:tcPr>
            <w:tcW w:w="1843" w:type="dxa"/>
            <w:tcBorders>
              <w:top w:val="single" w:sz="4" w:space="0" w:color="auto"/>
              <w:left w:val="single" w:sz="4" w:space="0" w:color="auto"/>
              <w:bottom w:val="single" w:sz="4" w:space="0" w:color="auto"/>
              <w:right w:val="single" w:sz="4" w:space="0" w:color="auto"/>
            </w:tcBorders>
            <w:hideMark/>
          </w:tcPr>
          <w:p w:rsidR="00BC496A" w:rsidRDefault="00BC496A" w:rsidP="007372A1">
            <w:pPr>
              <w:pStyle w:val="Normaali1"/>
              <w:tabs>
                <w:tab w:val="decimal" w:pos="615"/>
              </w:tabs>
              <w:spacing w:before="60" w:line="240" w:lineRule="auto"/>
              <w:ind w:right="28" w:hanging="6"/>
              <w:jc w:val="left"/>
              <w:rPr>
                <w:sz w:val="22"/>
                <w:szCs w:val="22"/>
              </w:rPr>
            </w:pPr>
            <w:r>
              <w:rPr>
                <w:sz w:val="22"/>
                <w:szCs w:val="22"/>
              </w:rPr>
              <w:t>0.616</w:t>
            </w:r>
          </w:p>
          <w:p w:rsidR="00BC496A" w:rsidRDefault="00BC496A" w:rsidP="007372A1">
            <w:pPr>
              <w:pStyle w:val="Normaali1"/>
              <w:tabs>
                <w:tab w:val="decimal" w:pos="615"/>
              </w:tabs>
              <w:spacing w:after="60" w:line="240" w:lineRule="auto"/>
              <w:ind w:right="28" w:hanging="6"/>
              <w:jc w:val="left"/>
              <w:rPr>
                <w:rFonts w:ascii="Times New Roman" w:hAnsi="Times New Roman"/>
                <w:sz w:val="22"/>
                <w:szCs w:val="22"/>
              </w:rPr>
            </w:pPr>
            <w:r>
              <w:rPr>
                <w:sz w:val="22"/>
                <w:szCs w:val="22"/>
              </w:rPr>
              <w:t>(17.5)</w:t>
            </w:r>
          </w:p>
        </w:tc>
        <w:tc>
          <w:tcPr>
            <w:tcW w:w="1417" w:type="dxa"/>
            <w:tcBorders>
              <w:top w:val="single" w:sz="4" w:space="0" w:color="auto"/>
              <w:left w:val="single" w:sz="4" w:space="0" w:color="auto"/>
              <w:bottom w:val="single" w:sz="4" w:space="0" w:color="auto"/>
              <w:right w:val="single" w:sz="4" w:space="0" w:color="auto"/>
            </w:tcBorders>
            <w:hideMark/>
          </w:tcPr>
          <w:p w:rsidR="00BC496A" w:rsidRDefault="00BC496A" w:rsidP="007372A1">
            <w:pPr>
              <w:pStyle w:val="Normaali1"/>
              <w:tabs>
                <w:tab w:val="decimal" w:pos="453"/>
              </w:tabs>
              <w:spacing w:before="60" w:line="240" w:lineRule="auto"/>
              <w:ind w:right="28" w:hanging="6"/>
              <w:jc w:val="left"/>
              <w:rPr>
                <w:sz w:val="22"/>
                <w:szCs w:val="22"/>
              </w:rPr>
            </w:pPr>
            <w:r>
              <w:rPr>
                <w:sz w:val="22"/>
                <w:szCs w:val="22"/>
              </w:rPr>
              <w:t>0.365</w:t>
            </w:r>
          </w:p>
          <w:p w:rsidR="00BC496A" w:rsidRDefault="00BC496A" w:rsidP="007372A1">
            <w:pPr>
              <w:pStyle w:val="Normaali1"/>
              <w:tabs>
                <w:tab w:val="decimal" w:pos="453"/>
              </w:tabs>
              <w:spacing w:after="60" w:line="240" w:lineRule="auto"/>
              <w:ind w:right="28" w:hanging="6"/>
              <w:jc w:val="left"/>
              <w:rPr>
                <w:rFonts w:ascii="Times New Roman" w:hAnsi="Times New Roman"/>
                <w:sz w:val="22"/>
                <w:szCs w:val="22"/>
              </w:rPr>
            </w:pPr>
            <w:r>
              <w:rPr>
                <w:sz w:val="22"/>
                <w:szCs w:val="22"/>
              </w:rPr>
              <w:t>(2.74)</w:t>
            </w:r>
          </w:p>
        </w:tc>
        <w:tc>
          <w:tcPr>
            <w:tcW w:w="1513" w:type="dxa"/>
            <w:tcBorders>
              <w:top w:val="single" w:sz="4" w:space="0" w:color="auto"/>
              <w:left w:val="single" w:sz="4" w:space="0" w:color="auto"/>
              <w:bottom w:val="single" w:sz="4" w:space="0" w:color="auto"/>
              <w:right w:val="double" w:sz="4" w:space="0" w:color="auto"/>
            </w:tcBorders>
            <w:hideMark/>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0.880</w:t>
            </w:r>
          </w:p>
          <w:p w:rsidR="00BC496A" w:rsidRDefault="00BC496A" w:rsidP="007372A1">
            <w:pPr>
              <w:pStyle w:val="Normaali1"/>
              <w:tabs>
                <w:tab w:val="decimal" w:pos="452"/>
              </w:tabs>
              <w:spacing w:after="60" w:line="240" w:lineRule="auto"/>
              <w:ind w:right="28" w:hanging="6"/>
              <w:jc w:val="left"/>
              <w:rPr>
                <w:rFonts w:ascii="Times New Roman" w:hAnsi="Times New Roman"/>
                <w:sz w:val="22"/>
                <w:szCs w:val="22"/>
              </w:rPr>
            </w:pPr>
            <w:r>
              <w:rPr>
                <w:sz w:val="22"/>
                <w:szCs w:val="22"/>
              </w:rPr>
              <w:t>(6.12)</w:t>
            </w:r>
          </w:p>
        </w:tc>
      </w:tr>
      <w:tr w:rsidR="00BC496A" w:rsidTr="007372A1">
        <w:trPr>
          <w:jc w:val="center"/>
        </w:trPr>
        <w:tc>
          <w:tcPr>
            <w:tcW w:w="1418"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tabs>
                <w:tab w:val="left" w:pos="360"/>
                <w:tab w:val="left" w:pos="972"/>
              </w:tabs>
              <w:spacing w:before="60" w:after="60" w:line="240" w:lineRule="auto"/>
              <w:ind w:left="403" w:right="288" w:hanging="397"/>
              <w:jc w:val="left"/>
              <w:rPr>
                <w:rFonts w:ascii="Times New Roman" w:hAnsi="Times New Roman"/>
                <w:sz w:val="22"/>
                <w:szCs w:val="22"/>
              </w:rPr>
            </w:pPr>
            <w:r>
              <w:rPr>
                <w:i/>
                <w:color w:val="000000"/>
              </w:rPr>
              <w:t>CL</w:t>
            </w:r>
            <w:r>
              <w:rPr>
                <w:i/>
                <w:color w:val="000000"/>
                <w:vertAlign w:val="subscript"/>
              </w:rPr>
              <w:t>j</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widowControl w:val="0"/>
              <w:tabs>
                <w:tab w:val="decimal" w:pos="615"/>
              </w:tabs>
              <w:adjustRightInd w:val="0"/>
              <w:spacing w:before="60" w:after="0"/>
              <w:ind w:left="-28" w:right="-108" w:firstLine="0"/>
              <w:jc w:val="left"/>
              <w:textAlignment w:val="baseline"/>
              <w:rPr>
                <w:bCs/>
                <w:sz w:val="22"/>
                <w:szCs w:val="22"/>
              </w:rPr>
            </w:pPr>
            <w:r>
              <w:rPr>
                <w:bCs/>
                <w:sz w:val="22"/>
                <w:szCs w:val="22"/>
              </w:rPr>
              <w:t>1.266</w:t>
            </w:r>
          </w:p>
          <w:p w:rsidR="00BC496A" w:rsidRDefault="00BC496A" w:rsidP="007372A1">
            <w:pPr>
              <w:widowControl w:val="0"/>
              <w:tabs>
                <w:tab w:val="decimal" w:pos="615"/>
              </w:tabs>
              <w:adjustRightInd w:val="0"/>
              <w:spacing w:after="60"/>
              <w:ind w:left="-28" w:right="-108" w:firstLine="0"/>
              <w:jc w:val="left"/>
              <w:textAlignment w:val="baseline"/>
              <w:rPr>
                <w:bCs/>
                <w:sz w:val="22"/>
                <w:szCs w:val="22"/>
              </w:rPr>
            </w:pPr>
            <w:r>
              <w:rPr>
                <w:bCs/>
                <w:sz w:val="22"/>
                <w:szCs w:val="22"/>
              </w:rPr>
              <w:t>(4.49)</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widowControl w:val="0"/>
              <w:tabs>
                <w:tab w:val="decimal" w:pos="615"/>
              </w:tabs>
              <w:adjustRightInd w:val="0"/>
              <w:spacing w:before="60" w:after="0"/>
              <w:ind w:left="-28" w:right="-108" w:firstLine="0"/>
              <w:jc w:val="left"/>
              <w:textAlignment w:val="baseline"/>
              <w:rPr>
                <w:bCs/>
                <w:sz w:val="22"/>
                <w:szCs w:val="22"/>
              </w:rPr>
            </w:pPr>
            <w:r>
              <w:rPr>
                <w:bCs/>
                <w:sz w:val="22"/>
                <w:szCs w:val="22"/>
              </w:rPr>
              <w:t>10.635</w:t>
            </w:r>
          </w:p>
          <w:p w:rsidR="00BC496A" w:rsidRDefault="00BC496A" w:rsidP="007372A1">
            <w:pPr>
              <w:widowControl w:val="0"/>
              <w:tabs>
                <w:tab w:val="decimal" w:pos="615"/>
              </w:tabs>
              <w:adjustRightInd w:val="0"/>
              <w:spacing w:after="60"/>
              <w:ind w:left="-28" w:right="-108" w:firstLine="0"/>
              <w:jc w:val="left"/>
              <w:textAlignment w:val="baseline"/>
              <w:rPr>
                <w:bCs/>
                <w:sz w:val="22"/>
                <w:szCs w:val="22"/>
              </w:rPr>
            </w:pPr>
            <w:r>
              <w:rPr>
                <w:bCs/>
                <w:sz w:val="22"/>
                <w:szCs w:val="22"/>
              </w:rPr>
              <w:t>(5.53)</w:t>
            </w:r>
          </w:p>
        </w:tc>
        <w:tc>
          <w:tcPr>
            <w:tcW w:w="1417"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widowControl w:val="0"/>
              <w:tabs>
                <w:tab w:val="decimal" w:pos="453"/>
              </w:tabs>
              <w:adjustRightInd w:val="0"/>
              <w:spacing w:before="60" w:after="0"/>
              <w:ind w:left="-28" w:right="-108" w:firstLine="0"/>
              <w:jc w:val="left"/>
              <w:textAlignment w:val="baseline"/>
              <w:rPr>
                <w:bCs/>
                <w:sz w:val="22"/>
                <w:szCs w:val="22"/>
              </w:rPr>
            </w:pPr>
            <w:r>
              <w:rPr>
                <w:bCs/>
                <w:sz w:val="22"/>
                <w:szCs w:val="22"/>
              </w:rPr>
              <w:t>0.541</w:t>
            </w:r>
          </w:p>
          <w:p w:rsidR="00BC496A" w:rsidRDefault="00BC496A" w:rsidP="007372A1">
            <w:pPr>
              <w:widowControl w:val="0"/>
              <w:tabs>
                <w:tab w:val="decimal" w:pos="453"/>
              </w:tabs>
              <w:adjustRightInd w:val="0"/>
              <w:spacing w:after="60"/>
              <w:ind w:left="-28" w:right="-108" w:firstLine="0"/>
              <w:jc w:val="left"/>
              <w:textAlignment w:val="baseline"/>
              <w:rPr>
                <w:bCs/>
                <w:sz w:val="22"/>
                <w:szCs w:val="22"/>
              </w:rPr>
            </w:pPr>
            <w:r>
              <w:rPr>
                <w:bCs/>
                <w:sz w:val="22"/>
                <w:szCs w:val="22"/>
              </w:rPr>
              <w:t>(3.02)</w:t>
            </w:r>
          </w:p>
        </w:tc>
        <w:tc>
          <w:tcPr>
            <w:tcW w:w="1513" w:type="dxa"/>
            <w:tcBorders>
              <w:top w:val="single" w:sz="4" w:space="0" w:color="auto"/>
              <w:left w:val="single" w:sz="4" w:space="0" w:color="auto"/>
              <w:bottom w:val="single" w:sz="4" w:space="0" w:color="auto"/>
              <w:right w:val="double" w:sz="4" w:space="0" w:color="auto"/>
            </w:tcBorders>
            <w:vAlign w:val="bottom"/>
            <w:hideMark/>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0.326</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1.35)</w:t>
            </w:r>
          </w:p>
        </w:tc>
      </w:tr>
      <w:tr w:rsidR="00BC496A" w:rsidTr="007372A1">
        <w:trPr>
          <w:jc w:val="center"/>
        </w:trPr>
        <w:tc>
          <w:tcPr>
            <w:tcW w:w="1418"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tabs>
                <w:tab w:val="left" w:pos="360"/>
                <w:tab w:val="left" w:pos="972"/>
              </w:tabs>
              <w:spacing w:before="60" w:after="60" w:line="240" w:lineRule="auto"/>
              <w:ind w:left="403" w:right="288" w:hanging="397"/>
              <w:jc w:val="left"/>
              <w:rPr>
                <w:rFonts w:ascii="Times New Roman" w:hAnsi="Times New Roman"/>
                <w:sz w:val="22"/>
                <w:szCs w:val="22"/>
              </w:rPr>
            </w:pPr>
            <w:r>
              <w:rPr>
                <w:i/>
                <w:color w:val="000000"/>
              </w:rPr>
              <w:t>SLQ</w:t>
            </w:r>
            <w:r>
              <w:rPr>
                <w:i/>
                <w:color w:val="000000"/>
                <w:vertAlign w:val="subscript"/>
              </w:rPr>
              <w:t>j</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615"/>
              </w:tabs>
              <w:spacing w:before="60" w:line="240" w:lineRule="auto"/>
              <w:ind w:right="28" w:hanging="6"/>
              <w:jc w:val="left"/>
              <w:rPr>
                <w:sz w:val="22"/>
                <w:szCs w:val="22"/>
              </w:rPr>
            </w:pPr>
            <w:r>
              <w:rPr>
                <w:sz w:val="22"/>
                <w:szCs w:val="22"/>
              </w:rPr>
              <w:sym w:font="Symbol" w:char="F02D"/>
            </w:r>
            <w:r>
              <w:rPr>
                <w:sz w:val="22"/>
                <w:szCs w:val="22"/>
              </w:rPr>
              <w:t>0.025</w:t>
            </w:r>
          </w:p>
          <w:p w:rsidR="00BC496A" w:rsidRDefault="00BC496A" w:rsidP="007372A1">
            <w:pPr>
              <w:widowControl w:val="0"/>
              <w:tabs>
                <w:tab w:val="decimal" w:pos="615"/>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0.38)</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615"/>
              </w:tabs>
              <w:spacing w:before="60" w:line="240" w:lineRule="auto"/>
              <w:ind w:right="28" w:hanging="6"/>
              <w:jc w:val="left"/>
              <w:rPr>
                <w:sz w:val="22"/>
                <w:szCs w:val="22"/>
              </w:rPr>
            </w:pPr>
            <w:r>
              <w:rPr>
                <w:sz w:val="22"/>
                <w:szCs w:val="22"/>
              </w:rPr>
              <w:sym w:font="Symbol" w:char="F02D"/>
            </w:r>
            <w:r>
              <w:rPr>
                <w:sz w:val="22"/>
                <w:szCs w:val="22"/>
              </w:rPr>
              <w:t>0.214</w:t>
            </w:r>
          </w:p>
          <w:p w:rsidR="00BC496A" w:rsidRDefault="00BC496A" w:rsidP="007372A1">
            <w:pPr>
              <w:widowControl w:val="0"/>
              <w:tabs>
                <w:tab w:val="decimal" w:pos="615"/>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5.45)</w:t>
            </w:r>
          </w:p>
        </w:tc>
        <w:tc>
          <w:tcPr>
            <w:tcW w:w="1417"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453"/>
              </w:tabs>
              <w:spacing w:before="60" w:line="240" w:lineRule="auto"/>
              <w:ind w:right="28" w:hanging="6"/>
              <w:jc w:val="left"/>
              <w:rPr>
                <w:sz w:val="22"/>
                <w:szCs w:val="22"/>
              </w:rPr>
            </w:pPr>
            <w:r>
              <w:rPr>
                <w:sz w:val="22"/>
                <w:szCs w:val="22"/>
              </w:rPr>
              <w:sym w:font="Symbol" w:char="F02D"/>
            </w:r>
            <w:r>
              <w:rPr>
                <w:sz w:val="22"/>
                <w:szCs w:val="22"/>
              </w:rPr>
              <w:t>0.086</w:t>
            </w:r>
          </w:p>
          <w:p w:rsidR="00BC496A" w:rsidRDefault="00BC496A" w:rsidP="007372A1">
            <w:pPr>
              <w:widowControl w:val="0"/>
              <w:tabs>
                <w:tab w:val="decimal" w:pos="453"/>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1.66)</w:t>
            </w:r>
          </w:p>
        </w:tc>
        <w:tc>
          <w:tcPr>
            <w:tcW w:w="1513" w:type="dxa"/>
            <w:tcBorders>
              <w:top w:val="single" w:sz="4" w:space="0" w:color="auto"/>
              <w:left w:val="single" w:sz="4" w:space="0" w:color="auto"/>
              <w:bottom w:val="single" w:sz="4" w:space="0" w:color="auto"/>
              <w:right w:val="double" w:sz="4" w:space="0" w:color="auto"/>
            </w:tcBorders>
            <w:vAlign w:val="bottom"/>
            <w:hideMark/>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0.018</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0.41)</w:t>
            </w:r>
          </w:p>
        </w:tc>
      </w:tr>
      <w:tr w:rsidR="00BC496A" w:rsidTr="007372A1">
        <w:trPr>
          <w:jc w:val="center"/>
        </w:trPr>
        <w:tc>
          <w:tcPr>
            <w:tcW w:w="1418"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spacing w:before="60" w:after="60" w:line="240" w:lineRule="auto"/>
              <w:ind w:right="-91" w:firstLine="6"/>
              <w:jc w:val="left"/>
              <w:rPr>
                <w:rFonts w:ascii="Times New Roman" w:hAnsi="Times New Roman"/>
                <w:sz w:val="22"/>
                <w:szCs w:val="22"/>
              </w:rPr>
            </w:pPr>
            <w:r>
              <w:rPr>
                <w:i/>
                <w:color w:val="000000"/>
              </w:rPr>
              <w:t>IM</w:t>
            </w:r>
            <w:r>
              <w:rPr>
                <w:i/>
                <w:color w:val="000000"/>
                <w:vertAlign w:val="subscript"/>
              </w:rPr>
              <w:t>j</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615"/>
              </w:tabs>
              <w:spacing w:before="60" w:line="240" w:lineRule="auto"/>
              <w:ind w:right="28" w:hanging="6"/>
              <w:jc w:val="left"/>
              <w:rPr>
                <w:sz w:val="22"/>
                <w:szCs w:val="22"/>
              </w:rPr>
            </w:pPr>
            <w:r>
              <w:rPr>
                <w:sz w:val="22"/>
                <w:szCs w:val="22"/>
              </w:rPr>
              <w:sym w:font="Symbol" w:char="F02D"/>
            </w:r>
            <w:r>
              <w:rPr>
                <w:sz w:val="22"/>
                <w:szCs w:val="22"/>
              </w:rPr>
              <w:t>0.230</w:t>
            </w:r>
          </w:p>
          <w:p w:rsidR="00BC496A" w:rsidRDefault="00BC496A" w:rsidP="007372A1">
            <w:pPr>
              <w:widowControl w:val="0"/>
              <w:tabs>
                <w:tab w:val="decimal" w:pos="615"/>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0.64)</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615"/>
              </w:tabs>
              <w:spacing w:before="60" w:line="240" w:lineRule="auto"/>
              <w:ind w:right="28" w:hanging="6"/>
              <w:jc w:val="left"/>
              <w:rPr>
                <w:sz w:val="22"/>
                <w:szCs w:val="22"/>
              </w:rPr>
            </w:pPr>
            <w:r>
              <w:rPr>
                <w:sz w:val="22"/>
                <w:szCs w:val="22"/>
              </w:rPr>
              <w:t>3.352</w:t>
            </w:r>
          </w:p>
          <w:p w:rsidR="00BC496A" w:rsidRDefault="00BC496A" w:rsidP="007372A1">
            <w:pPr>
              <w:widowControl w:val="0"/>
              <w:tabs>
                <w:tab w:val="decimal" w:pos="615"/>
              </w:tabs>
              <w:adjustRightInd w:val="0"/>
              <w:spacing w:after="60"/>
              <w:ind w:left="-28" w:right="-108" w:firstLine="0"/>
              <w:jc w:val="left"/>
              <w:textAlignment w:val="baseline"/>
              <w:rPr>
                <w:bCs/>
                <w:sz w:val="22"/>
                <w:szCs w:val="22"/>
              </w:rPr>
            </w:pPr>
            <w:r>
              <w:rPr>
                <w:sz w:val="22"/>
                <w:szCs w:val="22"/>
              </w:rPr>
              <w:t>(1.51)</w:t>
            </w:r>
          </w:p>
        </w:tc>
        <w:tc>
          <w:tcPr>
            <w:tcW w:w="1417"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453"/>
              </w:tabs>
              <w:spacing w:before="60" w:line="240" w:lineRule="auto"/>
              <w:ind w:right="28" w:hanging="6"/>
              <w:jc w:val="left"/>
              <w:rPr>
                <w:sz w:val="22"/>
                <w:szCs w:val="22"/>
              </w:rPr>
            </w:pPr>
            <w:r>
              <w:rPr>
                <w:sz w:val="22"/>
                <w:szCs w:val="22"/>
              </w:rPr>
              <w:sym w:font="Symbol" w:char="F02D"/>
            </w:r>
            <w:r>
              <w:rPr>
                <w:sz w:val="22"/>
                <w:szCs w:val="22"/>
              </w:rPr>
              <w:t>0.044</w:t>
            </w:r>
          </w:p>
          <w:p w:rsidR="00BC496A" w:rsidRDefault="00BC496A" w:rsidP="007372A1">
            <w:pPr>
              <w:widowControl w:val="0"/>
              <w:tabs>
                <w:tab w:val="decimal" w:pos="453"/>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0.25)</w:t>
            </w:r>
          </w:p>
        </w:tc>
        <w:tc>
          <w:tcPr>
            <w:tcW w:w="1513" w:type="dxa"/>
            <w:tcBorders>
              <w:top w:val="single" w:sz="4" w:space="0" w:color="auto"/>
              <w:left w:val="single" w:sz="4" w:space="0" w:color="auto"/>
              <w:bottom w:val="single" w:sz="4" w:space="0" w:color="auto"/>
              <w:right w:val="double" w:sz="4" w:space="0" w:color="auto"/>
            </w:tcBorders>
            <w:vAlign w:val="bottom"/>
            <w:hideMark/>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0.197</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1.13)</w:t>
            </w:r>
          </w:p>
        </w:tc>
      </w:tr>
      <w:tr w:rsidR="00BC496A" w:rsidTr="007372A1">
        <w:trPr>
          <w:jc w:val="center"/>
        </w:trPr>
        <w:tc>
          <w:tcPr>
            <w:tcW w:w="1418"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spacing w:before="60" w:after="60" w:line="240" w:lineRule="auto"/>
              <w:ind w:right="-84" w:firstLine="6"/>
              <w:jc w:val="left"/>
              <w:rPr>
                <w:rFonts w:ascii="Times New Roman" w:hAnsi="Times New Roman"/>
                <w:sz w:val="22"/>
                <w:szCs w:val="22"/>
              </w:rPr>
            </w:pPr>
            <w:r>
              <w:rPr>
                <w:i/>
                <w:color w:val="000000"/>
              </w:rPr>
              <w:t>VA</w:t>
            </w:r>
            <w:r>
              <w:rPr>
                <w:i/>
                <w:color w:val="000000"/>
                <w:vertAlign w:val="subscript"/>
              </w:rPr>
              <w:t>j</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widowControl w:val="0"/>
              <w:tabs>
                <w:tab w:val="decimal" w:pos="615"/>
              </w:tabs>
              <w:adjustRightInd w:val="0"/>
              <w:spacing w:before="60" w:after="0"/>
              <w:ind w:left="-28" w:right="-108" w:firstLine="0"/>
              <w:jc w:val="left"/>
              <w:textAlignment w:val="baseline"/>
              <w:rPr>
                <w:bCs/>
                <w:sz w:val="22"/>
                <w:szCs w:val="22"/>
              </w:rPr>
            </w:pPr>
            <w:r>
              <w:rPr>
                <w:bCs/>
                <w:sz w:val="22"/>
                <w:szCs w:val="22"/>
              </w:rPr>
              <w:t>0.124</w:t>
            </w:r>
          </w:p>
          <w:p w:rsidR="00BC496A" w:rsidRDefault="00BC496A" w:rsidP="007372A1">
            <w:pPr>
              <w:widowControl w:val="0"/>
              <w:tabs>
                <w:tab w:val="decimal" w:pos="615"/>
              </w:tabs>
              <w:adjustRightInd w:val="0"/>
              <w:spacing w:after="60"/>
              <w:ind w:left="-28" w:right="-108" w:firstLine="0"/>
              <w:jc w:val="left"/>
              <w:textAlignment w:val="baseline"/>
              <w:rPr>
                <w:bCs/>
                <w:sz w:val="22"/>
                <w:szCs w:val="22"/>
              </w:rPr>
            </w:pPr>
            <w:r>
              <w:rPr>
                <w:bCs/>
                <w:sz w:val="22"/>
                <w:szCs w:val="22"/>
              </w:rPr>
              <w:t>(1.12)</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615"/>
              </w:tabs>
              <w:spacing w:before="60" w:line="240" w:lineRule="auto"/>
              <w:ind w:right="28" w:hanging="6"/>
              <w:jc w:val="left"/>
              <w:rPr>
                <w:sz w:val="22"/>
                <w:szCs w:val="22"/>
              </w:rPr>
            </w:pPr>
            <w:r>
              <w:rPr>
                <w:sz w:val="22"/>
                <w:szCs w:val="22"/>
              </w:rPr>
              <w:sym w:font="Symbol" w:char="F02D"/>
            </w:r>
            <w:r>
              <w:rPr>
                <w:sz w:val="22"/>
                <w:szCs w:val="22"/>
              </w:rPr>
              <w:t>0.247</w:t>
            </w:r>
          </w:p>
          <w:p w:rsidR="00BC496A" w:rsidRDefault="00BC496A" w:rsidP="007372A1">
            <w:pPr>
              <w:widowControl w:val="0"/>
              <w:tabs>
                <w:tab w:val="decimal" w:pos="615"/>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0.51)</w:t>
            </w:r>
          </w:p>
        </w:tc>
        <w:tc>
          <w:tcPr>
            <w:tcW w:w="1417"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453"/>
              </w:tabs>
              <w:spacing w:before="60" w:line="240" w:lineRule="auto"/>
              <w:ind w:right="28" w:hanging="6"/>
              <w:jc w:val="left"/>
              <w:rPr>
                <w:sz w:val="22"/>
                <w:szCs w:val="22"/>
              </w:rPr>
            </w:pPr>
            <w:r>
              <w:rPr>
                <w:sz w:val="22"/>
                <w:szCs w:val="22"/>
              </w:rPr>
              <w:sym w:font="Symbol" w:char="F02D"/>
            </w:r>
            <w:r>
              <w:rPr>
                <w:sz w:val="22"/>
                <w:szCs w:val="22"/>
              </w:rPr>
              <w:t>0.253</w:t>
            </w:r>
          </w:p>
          <w:p w:rsidR="00BC496A" w:rsidRDefault="00BC496A" w:rsidP="007372A1">
            <w:pPr>
              <w:widowControl w:val="0"/>
              <w:tabs>
                <w:tab w:val="decimal" w:pos="453"/>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1.68)</w:t>
            </w:r>
          </w:p>
        </w:tc>
        <w:tc>
          <w:tcPr>
            <w:tcW w:w="1513" w:type="dxa"/>
            <w:tcBorders>
              <w:top w:val="single" w:sz="4" w:space="0" w:color="auto"/>
              <w:left w:val="single" w:sz="4" w:space="0" w:color="auto"/>
              <w:bottom w:val="single" w:sz="4" w:space="0" w:color="auto"/>
              <w:right w:val="double" w:sz="4" w:space="0" w:color="auto"/>
            </w:tcBorders>
            <w:vAlign w:val="bottom"/>
            <w:hideMark/>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0.830</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3.82)</w:t>
            </w:r>
          </w:p>
        </w:tc>
      </w:tr>
      <w:tr w:rsidR="00BC496A" w:rsidTr="007372A1">
        <w:trPr>
          <w:jc w:val="center"/>
        </w:trPr>
        <w:tc>
          <w:tcPr>
            <w:tcW w:w="1418"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spacing w:before="60" w:after="60" w:line="240" w:lineRule="auto"/>
              <w:ind w:right="-84" w:firstLine="6"/>
              <w:jc w:val="left"/>
              <w:rPr>
                <w:rFonts w:ascii="Times New Roman" w:hAnsi="Times New Roman"/>
                <w:i/>
                <w:sz w:val="22"/>
                <w:szCs w:val="22"/>
                <w:vertAlign w:val="superscript"/>
              </w:rPr>
            </w:pPr>
            <w:r>
              <w:rPr>
                <w:rFonts w:ascii="Times New Roman" w:hAnsi="Times New Roman"/>
                <w:i/>
                <w:sz w:val="22"/>
                <w:szCs w:val="22"/>
              </w:rPr>
              <w:t>R</w:t>
            </w:r>
            <w:r>
              <w:rPr>
                <w:rFonts w:ascii="Times New Roman" w:hAnsi="Times New Roman"/>
                <w:i/>
                <w:sz w:val="22"/>
                <w:szCs w:val="22"/>
                <w:vertAlign w:val="superscript"/>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widowControl w:val="0"/>
              <w:tabs>
                <w:tab w:val="decimal" w:pos="594"/>
              </w:tabs>
              <w:adjustRightInd w:val="0"/>
              <w:spacing w:before="36" w:after="36"/>
              <w:ind w:left="-26" w:right="-108" w:firstLine="0"/>
              <w:jc w:val="left"/>
              <w:textAlignment w:val="baseline"/>
              <w:rPr>
                <w:bCs/>
                <w:sz w:val="22"/>
                <w:szCs w:val="22"/>
              </w:rPr>
            </w:pPr>
            <w:r>
              <w:rPr>
                <w:bCs/>
                <w:sz w:val="22"/>
                <w:szCs w:val="22"/>
              </w:rPr>
              <w:t>0.67</w:t>
            </w:r>
          </w:p>
        </w:tc>
        <w:tc>
          <w:tcPr>
            <w:tcW w:w="1843"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widowControl w:val="0"/>
              <w:tabs>
                <w:tab w:val="decimal" w:pos="594"/>
              </w:tabs>
              <w:adjustRightInd w:val="0"/>
              <w:spacing w:before="36" w:after="36"/>
              <w:ind w:left="-26" w:right="-108" w:firstLine="0"/>
              <w:jc w:val="left"/>
              <w:textAlignment w:val="baseline"/>
              <w:rPr>
                <w:bCs/>
                <w:sz w:val="22"/>
                <w:szCs w:val="22"/>
              </w:rPr>
            </w:pPr>
            <w:r>
              <w:rPr>
                <w:bCs/>
                <w:sz w:val="22"/>
                <w:szCs w:val="22"/>
              </w:rPr>
              <w:t>0.511</w:t>
            </w:r>
          </w:p>
        </w:tc>
        <w:tc>
          <w:tcPr>
            <w:tcW w:w="1417"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widowControl w:val="0"/>
              <w:tabs>
                <w:tab w:val="decimal" w:pos="453"/>
              </w:tabs>
              <w:adjustRightInd w:val="0"/>
              <w:spacing w:before="36" w:after="36"/>
              <w:ind w:left="-26" w:right="-108" w:firstLine="0"/>
              <w:jc w:val="left"/>
              <w:textAlignment w:val="baseline"/>
              <w:rPr>
                <w:bCs/>
                <w:sz w:val="22"/>
                <w:szCs w:val="22"/>
              </w:rPr>
            </w:pPr>
            <w:r>
              <w:rPr>
                <w:bCs/>
                <w:sz w:val="22"/>
                <w:szCs w:val="22"/>
              </w:rPr>
              <w:t>0.631</w:t>
            </w:r>
          </w:p>
        </w:tc>
        <w:tc>
          <w:tcPr>
            <w:tcW w:w="1513" w:type="dxa"/>
            <w:tcBorders>
              <w:top w:val="single" w:sz="4" w:space="0" w:color="auto"/>
              <w:left w:val="single" w:sz="4" w:space="0" w:color="auto"/>
              <w:bottom w:val="single" w:sz="4" w:space="0" w:color="auto"/>
              <w:right w:val="double" w:sz="4" w:space="0" w:color="auto"/>
            </w:tcBorders>
            <w:vAlign w:val="bottom"/>
            <w:hideMark/>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0.410</w:t>
            </w:r>
          </w:p>
        </w:tc>
      </w:tr>
      <w:tr w:rsidR="00BC496A" w:rsidTr="007372A1">
        <w:trPr>
          <w:jc w:val="center"/>
        </w:trPr>
        <w:tc>
          <w:tcPr>
            <w:tcW w:w="1418" w:type="dxa"/>
            <w:tcBorders>
              <w:top w:val="single" w:sz="4" w:space="0" w:color="auto"/>
              <w:left w:val="double" w:sz="4" w:space="0" w:color="auto"/>
              <w:bottom w:val="double" w:sz="4" w:space="0" w:color="auto"/>
              <w:right w:val="single" w:sz="4" w:space="0" w:color="auto"/>
            </w:tcBorders>
            <w:hideMark/>
          </w:tcPr>
          <w:p w:rsidR="00BC496A" w:rsidRDefault="00BC496A" w:rsidP="007372A1">
            <w:pPr>
              <w:pStyle w:val="Normaali1"/>
              <w:spacing w:before="60" w:after="60" w:line="240" w:lineRule="auto"/>
              <w:ind w:right="-84" w:firstLine="6"/>
              <w:jc w:val="left"/>
              <w:rPr>
                <w:rFonts w:ascii="Times New Roman" w:hAnsi="Times New Roman"/>
                <w:i/>
                <w:sz w:val="22"/>
                <w:szCs w:val="22"/>
              </w:rPr>
            </w:pPr>
            <w:r>
              <w:rPr>
                <w:rFonts w:ascii="Times New Roman" w:hAnsi="Times New Roman"/>
                <w:i/>
                <w:sz w:val="22"/>
                <w:szCs w:val="22"/>
              </w:rPr>
              <w:t>n</w:t>
            </w:r>
          </w:p>
        </w:tc>
        <w:tc>
          <w:tcPr>
            <w:tcW w:w="1701" w:type="dxa"/>
            <w:tcBorders>
              <w:top w:val="single" w:sz="4" w:space="0" w:color="auto"/>
              <w:left w:val="single" w:sz="4" w:space="0" w:color="auto"/>
              <w:bottom w:val="double" w:sz="4" w:space="0" w:color="auto"/>
              <w:right w:val="single" w:sz="4" w:space="0" w:color="auto"/>
            </w:tcBorders>
            <w:vAlign w:val="bottom"/>
            <w:hideMark/>
          </w:tcPr>
          <w:p w:rsidR="00BC496A" w:rsidRDefault="00BC496A" w:rsidP="007372A1">
            <w:pPr>
              <w:widowControl w:val="0"/>
              <w:tabs>
                <w:tab w:val="center" w:pos="691"/>
              </w:tabs>
              <w:adjustRightInd w:val="0"/>
              <w:spacing w:before="36" w:after="36"/>
              <w:ind w:left="-26" w:right="-108" w:firstLine="0"/>
              <w:textAlignment w:val="baseline"/>
              <w:rPr>
                <w:bCs/>
                <w:sz w:val="22"/>
                <w:szCs w:val="22"/>
              </w:rPr>
            </w:pPr>
            <w:r>
              <w:rPr>
                <w:bCs/>
                <w:sz w:val="22"/>
                <w:szCs w:val="22"/>
              </w:rPr>
              <w:tab/>
              <w:t>21</w:t>
            </w:r>
          </w:p>
        </w:tc>
        <w:tc>
          <w:tcPr>
            <w:tcW w:w="1843"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center" w:pos="736"/>
              </w:tabs>
              <w:adjustRightInd w:val="0"/>
              <w:spacing w:before="36" w:after="36"/>
              <w:ind w:left="-26" w:right="-108" w:firstLine="0"/>
              <w:textAlignment w:val="baseline"/>
              <w:rPr>
                <w:bCs/>
                <w:sz w:val="22"/>
                <w:szCs w:val="22"/>
              </w:rPr>
            </w:pPr>
            <w:r>
              <w:rPr>
                <w:bCs/>
                <w:sz w:val="22"/>
                <w:szCs w:val="22"/>
              </w:rPr>
              <w:tab/>
              <w:t>?</w:t>
            </w:r>
          </w:p>
        </w:tc>
        <w:tc>
          <w:tcPr>
            <w:tcW w:w="1417" w:type="dxa"/>
            <w:tcBorders>
              <w:top w:val="single" w:sz="4" w:space="0" w:color="auto"/>
              <w:left w:val="single" w:sz="4" w:space="0" w:color="auto"/>
              <w:bottom w:val="double" w:sz="4" w:space="0" w:color="auto"/>
              <w:right w:val="single" w:sz="4" w:space="0" w:color="auto"/>
            </w:tcBorders>
            <w:vAlign w:val="bottom"/>
            <w:hideMark/>
          </w:tcPr>
          <w:p w:rsidR="00BC496A" w:rsidRDefault="00BC496A" w:rsidP="007372A1">
            <w:pPr>
              <w:widowControl w:val="0"/>
              <w:tabs>
                <w:tab w:val="center" w:pos="594"/>
              </w:tabs>
              <w:adjustRightInd w:val="0"/>
              <w:spacing w:before="36" w:after="36"/>
              <w:ind w:left="-26" w:right="-108" w:firstLine="0"/>
              <w:textAlignment w:val="baseline"/>
              <w:rPr>
                <w:bCs/>
                <w:sz w:val="22"/>
                <w:szCs w:val="22"/>
              </w:rPr>
            </w:pPr>
            <w:r>
              <w:rPr>
                <w:bCs/>
                <w:sz w:val="22"/>
                <w:szCs w:val="22"/>
              </w:rPr>
              <w:tab/>
              <w:t>26</w:t>
            </w:r>
          </w:p>
        </w:tc>
        <w:tc>
          <w:tcPr>
            <w:tcW w:w="1513" w:type="dxa"/>
            <w:tcBorders>
              <w:top w:val="single" w:sz="4" w:space="0" w:color="auto"/>
              <w:left w:val="single" w:sz="4" w:space="0" w:color="auto"/>
              <w:bottom w:val="double" w:sz="4" w:space="0" w:color="auto"/>
              <w:right w:val="double" w:sz="4" w:space="0" w:color="auto"/>
            </w:tcBorders>
            <w:vAlign w:val="bottom"/>
            <w:hideMark/>
          </w:tcPr>
          <w:p w:rsidR="00BC496A" w:rsidRDefault="00BC496A" w:rsidP="007372A1">
            <w:pPr>
              <w:widowControl w:val="0"/>
              <w:tabs>
                <w:tab w:val="center" w:pos="594"/>
              </w:tabs>
              <w:adjustRightInd w:val="0"/>
              <w:spacing w:before="36" w:after="36"/>
              <w:ind w:left="-26" w:right="-108" w:firstLine="0"/>
              <w:textAlignment w:val="baseline"/>
              <w:rPr>
                <w:bCs/>
                <w:sz w:val="22"/>
                <w:szCs w:val="22"/>
              </w:rPr>
            </w:pPr>
            <w:r>
              <w:rPr>
                <w:bCs/>
                <w:sz w:val="22"/>
                <w:szCs w:val="22"/>
              </w:rPr>
              <w:tab/>
              <w:t>27</w:t>
            </w:r>
          </w:p>
        </w:tc>
      </w:tr>
    </w:tbl>
    <w:p w:rsidR="00BC496A" w:rsidRDefault="00BC496A" w:rsidP="00BC496A">
      <w:pPr>
        <w:widowControl w:val="0"/>
        <w:tabs>
          <w:tab w:val="left" w:pos="567"/>
        </w:tabs>
        <w:spacing w:before="120"/>
        <w:ind w:firstLine="0"/>
        <w:jc w:val="left"/>
        <w:rPr>
          <w:sz w:val="22"/>
          <w:szCs w:val="22"/>
        </w:rPr>
      </w:pPr>
      <w:r>
        <w:rPr>
          <w:lang w:val="en-US"/>
        </w:rPr>
        <w:tab/>
      </w:r>
      <w:r>
        <w:rPr>
          <w:i/>
          <w:lang w:val="en-US"/>
        </w:rPr>
        <w:t>Source:</w:t>
      </w:r>
      <w:r>
        <w:rPr>
          <w:lang w:val="en-US"/>
        </w:rPr>
        <w:t xml:space="preserve"> </w:t>
      </w:r>
      <w:r>
        <w:rPr>
          <w:sz w:val="22"/>
          <w:szCs w:val="22"/>
        </w:rPr>
        <w:t>Kowalewski (2015, table 8); Zhao and Choi (2015, table 2)</w:t>
      </w:r>
    </w:p>
    <w:p w:rsidR="00BC496A" w:rsidRPr="00D72CF1" w:rsidRDefault="00BC496A" w:rsidP="00BC496A">
      <w:pPr>
        <w:tabs>
          <w:tab w:val="left" w:pos="567"/>
        </w:tabs>
        <w:spacing w:before="120"/>
        <w:ind w:firstLine="0"/>
        <w:jc w:val="left"/>
        <w:rPr>
          <w:sz w:val="22"/>
          <w:szCs w:val="22"/>
        </w:rPr>
      </w:pPr>
      <w:r>
        <w:rPr>
          <w:sz w:val="22"/>
          <w:szCs w:val="22"/>
        </w:rPr>
        <w:tab/>
      </w:r>
      <w:r>
        <w:rPr>
          <w:i/>
          <w:sz w:val="22"/>
          <w:szCs w:val="22"/>
        </w:rPr>
        <w:t>t</w:t>
      </w:r>
      <w:r>
        <w:rPr>
          <w:sz w:val="22"/>
          <w:szCs w:val="22"/>
        </w:rPr>
        <w:t xml:space="preserve"> statistics are in brackets.  Sector 7 was omitted from the Daegu regression.</w:t>
      </w:r>
    </w:p>
    <w:p w:rsidR="00BC496A" w:rsidRDefault="00BC496A" w:rsidP="00BC496A">
      <w:pPr>
        <w:spacing w:after="0"/>
        <w:ind w:firstLine="0"/>
        <w:jc w:val="left"/>
        <w:rPr>
          <w:sz w:val="22"/>
          <w:szCs w:val="22"/>
        </w:rPr>
      </w:pPr>
      <w:r>
        <w:rPr>
          <w:sz w:val="22"/>
          <w:szCs w:val="22"/>
        </w:rPr>
        <w:br w:type="page"/>
      </w:r>
    </w:p>
    <w:p w:rsidR="00BC496A" w:rsidRDefault="00BC496A" w:rsidP="00BC496A">
      <w:pPr>
        <w:ind w:left="1134" w:right="1229" w:hanging="567"/>
        <w:jc w:val="left"/>
        <w:rPr>
          <w:color w:val="000000"/>
          <w:szCs w:val="26"/>
        </w:rPr>
      </w:pPr>
      <w:r>
        <w:rPr>
          <w:b/>
          <w:color w:val="000000"/>
          <w:szCs w:val="26"/>
        </w:rPr>
        <w:t>Table 7</w:t>
      </w:r>
      <w:r>
        <w:rPr>
          <w:color w:val="000000"/>
          <w:szCs w:val="26"/>
        </w:rPr>
        <w:t xml:space="preserve">  New results using Kowalewski’s sector-specific approach</w:t>
      </w:r>
    </w:p>
    <w:tbl>
      <w:tblPr>
        <w:tblW w:w="8032" w:type="dxa"/>
        <w:jc w:val="center"/>
        <w:tblInd w:w="-18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779"/>
        <w:gridCol w:w="3898"/>
        <w:gridCol w:w="851"/>
        <w:gridCol w:w="850"/>
        <w:gridCol w:w="851"/>
        <w:gridCol w:w="803"/>
      </w:tblGrid>
      <w:tr w:rsidR="00BC496A" w:rsidTr="007372A1">
        <w:trPr>
          <w:trHeight w:val="207"/>
          <w:jc w:val="center"/>
        </w:trPr>
        <w:tc>
          <w:tcPr>
            <w:tcW w:w="779" w:type="dxa"/>
            <w:tcBorders>
              <w:top w:val="double" w:sz="4" w:space="0" w:color="auto"/>
              <w:left w:val="double" w:sz="4" w:space="0" w:color="auto"/>
              <w:right w:val="single" w:sz="4" w:space="0" w:color="auto"/>
            </w:tcBorders>
          </w:tcPr>
          <w:p w:rsidR="00BC496A" w:rsidRDefault="00BC496A" w:rsidP="007372A1">
            <w:pPr>
              <w:pStyle w:val="Normaali1"/>
              <w:spacing w:before="60" w:after="60" w:line="240" w:lineRule="auto"/>
              <w:ind w:left="-4" w:right="125"/>
              <w:rPr>
                <w:rFonts w:ascii="Times New Roman" w:hAnsi="Times New Roman"/>
                <w:sz w:val="22"/>
                <w:szCs w:val="22"/>
              </w:rPr>
            </w:pPr>
          </w:p>
        </w:tc>
        <w:tc>
          <w:tcPr>
            <w:tcW w:w="3898"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after="60" w:line="240" w:lineRule="auto"/>
              <w:ind w:left="-4" w:right="125"/>
              <w:jc w:val="center"/>
              <w:rPr>
                <w:rFonts w:ascii="Times New Roman" w:hAnsi="Times New Roman"/>
                <w:sz w:val="22"/>
                <w:szCs w:val="22"/>
              </w:rPr>
            </w:pPr>
          </w:p>
        </w:tc>
        <w:tc>
          <w:tcPr>
            <w:tcW w:w="1701" w:type="dxa"/>
            <w:gridSpan w:val="2"/>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after="60" w:line="240" w:lineRule="auto"/>
              <w:ind w:left="-37" w:right="26"/>
              <w:jc w:val="center"/>
              <w:rPr>
                <w:rFonts w:ascii="Times New Roman" w:hAnsi="Times New Roman"/>
                <w:sz w:val="22"/>
                <w:szCs w:val="22"/>
              </w:rPr>
            </w:pPr>
            <w:r>
              <w:rPr>
                <w:rFonts w:ascii="Times New Roman" w:hAnsi="Times New Roman"/>
                <w:sz w:val="22"/>
                <w:szCs w:val="22"/>
              </w:rPr>
              <w:t>Daegu</w:t>
            </w:r>
          </w:p>
        </w:tc>
        <w:tc>
          <w:tcPr>
            <w:tcW w:w="1654" w:type="dxa"/>
            <w:gridSpan w:val="2"/>
            <w:tcBorders>
              <w:top w:val="double" w:sz="4" w:space="0" w:color="auto"/>
              <w:left w:val="single" w:sz="4" w:space="0" w:color="auto"/>
              <w:bottom w:val="single" w:sz="4" w:space="0" w:color="auto"/>
              <w:right w:val="double" w:sz="4" w:space="0" w:color="auto"/>
            </w:tcBorders>
            <w:hideMark/>
          </w:tcPr>
          <w:p w:rsidR="00BC496A" w:rsidRDefault="00BC496A" w:rsidP="007372A1">
            <w:pPr>
              <w:pStyle w:val="Normaali1"/>
              <w:spacing w:before="60" w:after="60" w:line="240" w:lineRule="auto"/>
              <w:ind w:left="-37"/>
              <w:jc w:val="center"/>
              <w:rPr>
                <w:rFonts w:ascii="Times New Roman" w:hAnsi="Times New Roman"/>
                <w:sz w:val="22"/>
                <w:szCs w:val="22"/>
              </w:rPr>
            </w:pPr>
            <w:r>
              <w:rPr>
                <w:rFonts w:ascii="Times New Roman" w:hAnsi="Times New Roman"/>
                <w:sz w:val="22"/>
                <w:szCs w:val="22"/>
              </w:rPr>
              <w:t>Gyeongbuk</w:t>
            </w:r>
          </w:p>
        </w:tc>
      </w:tr>
      <w:tr w:rsidR="00BC496A" w:rsidTr="007372A1">
        <w:trPr>
          <w:trHeight w:val="207"/>
          <w:jc w:val="center"/>
        </w:trPr>
        <w:tc>
          <w:tcPr>
            <w:tcW w:w="779" w:type="dxa"/>
            <w:tcBorders>
              <w:left w:val="double" w:sz="4" w:space="0" w:color="auto"/>
              <w:right w:val="single" w:sz="4" w:space="0" w:color="auto"/>
            </w:tcBorders>
          </w:tcPr>
          <w:p w:rsidR="00BC496A" w:rsidRDefault="00BC496A" w:rsidP="007372A1">
            <w:pPr>
              <w:pStyle w:val="Normaali1"/>
              <w:spacing w:before="120" w:after="60" w:line="240" w:lineRule="auto"/>
              <w:ind w:left="6" w:right="-45"/>
              <w:rPr>
                <w:rFonts w:ascii="Times New Roman" w:hAnsi="Times New Roman"/>
                <w:sz w:val="22"/>
                <w:szCs w:val="22"/>
              </w:rPr>
            </w:pPr>
            <w:r>
              <w:rPr>
                <w:rFonts w:ascii="Times New Roman" w:hAnsi="Times New Roman"/>
                <w:sz w:val="22"/>
                <w:szCs w:val="22"/>
              </w:rPr>
              <w:t>Sector</w:t>
            </w:r>
          </w:p>
        </w:tc>
        <w:tc>
          <w:tcPr>
            <w:tcW w:w="3898"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spacing w:before="120" w:after="60" w:line="240" w:lineRule="auto"/>
              <w:ind w:left="6"/>
              <w:jc w:val="center"/>
              <w:rPr>
                <w:rFonts w:ascii="Times New Roman" w:hAnsi="Times New Roman"/>
                <w:sz w:val="22"/>
                <w:szCs w:val="22"/>
              </w:rPr>
            </w:pPr>
            <w:r>
              <w:rPr>
                <w:rFonts w:ascii="Times New Roman" w:hAnsi="Times New Roman"/>
                <w:sz w:val="22"/>
                <w:szCs w:val="22"/>
              </w:rPr>
              <w:t>Description</w:t>
            </w:r>
          </w:p>
        </w:tc>
        <w:tc>
          <w:tcPr>
            <w:tcW w:w="851"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center" w:pos="672"/>
              </w:tabs>
              <w:spacing w:before="60" w:after="60" w:line="240" w:lineRule="auto"/>
              <w:ind w:left="-37" w:right="-115"/>
              <w:jc w:val="center"/>
              <w:rPr>
                <w:rFonts w:ascii="Times New Roman" w:hAnsi="Times New Roman"/>
                <w:sz w:val="22"/>
                <w:szCs w:val="22"/>
              </w:rPr>
            </w:pPr>
            <w:r w:rsidRPr="009A6E5B">
              <w:rPr>
                <w:position w:val="-14"/>
              </w:rPr>
              <w:object w:dxaOrig="279" w:dyaOrig="380">
                <v:shape id="_x0000_i1051" type="#_x0000_t75" style="width:15.65pt;height:20.05pt" o:ole="">
                  <v:imagedata r:id="rId35" o:title=""/>
                </v:shape>
                <o:OLEObject Type="Embed" ProgID="Equation.3" ShapeID="_x0000_i1051" DrawAspect="Content" ObjectID="_1524667238" r:id="rId60"/>
              </w:object>
            </w:r>
          </w:p>
        </w:tc>
        <w:tc>
          <w:tcPr>
            <w:tcW w:w="850"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center" w:pos="735"/>
              </w:tabs>
              <w:spacing w:before="60" w:after="60" w:line="240" w:lineRule="auto"/>
              <w:ind w:left="-37" w:right="27"/>
              <w:jc w:val="center"/>
              <w:rPr>
                <w:rFonts w:ascii="Times New Roman" w:hAnsi="Times New Roman"/>
                <w:sz w:val="22"/>
                <w:szCs w:val="22"/>
              </w:rPr>
            </w:pPr>
            <w:r w:rsidRPr="009A6E5B">
              <w:rPr>
                <w:position w:val="-14"/>
              </w:rPr>
              <w:object w:dxaOrig="279" w:dyaOrig="420">
                <v:shape id="_x0000_i1052" type="#_x0000_t75" style="width:15.65pt;height:20.65pt" o:ole="">
                  <v:imagedata r:id="rId33" o:title=""/>
                </v:shape>
                <o:OLEObject Type="Embed" ProgID="Equation.3" ShapeID="_x0000_i1052" DrawAspect="Content" ObjectID="_1524667239" r:id="rId61"/>
              </w:object>
            </w:r>
          </w:p>
        </w:tc>
        <w:tc>
          <w:tcPr>
            <w:tcW w:w="851" w:type="dxa"/>
            <w:tcBorders>
              <w:top w:val="single" w:sz="4" w:space="0" w:color="auto"/>
              <w:left w:val="single" w:sz="4" w:space="0" w:color="auto"/>
              <w:bottom w:val="single" w:sz="4" w:space="0" w:color="auto"/>
              <w:right w:val="single" w:sz="4" w:space="0" w:color="auto"/>
            </w:tcBorders>
            <w:hideMark/>
          </w:tcPr>
          <w:p w:rsidR="00BC496A" w:rsidRDefault="00BC496A" w:rsidP="007372A1">
            <w:pPr>
              <w:pStyle w:val="Normaali1"/>
              <w:spacing w:before="60" w:after="60" w:line="240" w:lineRule="auto"/>
              <w:ind w:left="-37" w:right="27"/>
              <w:jc w:val="center"/>
              <w:rPr>
                <w:rFonts w:ascii="Times New Roman" w:hAnsi="Times New Roman"/>
                <w:sz w:val="22"/>
                <w:szCs w:val="22"/>
              </w:rPr>
            </w:pPr>
            <w:r w:rsidRPr="009A6E5B">
              <w:rPr>
                <w:position w:val="-14"/>
              </w:rPr>
              <w:object w:dxaOrig="279" w:dyaOrig="380">
                <v:shape id="_x0000_i1053" type="#_x0000_t75" style="width:15.65pt;height:20.05pt" o:ole="">
                  <v:imagedata r:id="rId62" o:title=""/>
                </v:shape>
                <o:OLEObject Type="Embed" ProgID="Equation.3" ShapeID="_x0000_i1053" DrawAspect="Content" ObjectID="_1524667240" r:id="rId63"/>
              </w:object>
            </w:r>
          </w:p>
        </w:tc>
        <w:tc>
          <w:tcPr>
            <w:tcW w:w="803" w:type="dxa"/>
            <w:tcBorders>
              <w:top w:val="single" w:sz="4" w:space="0" w:color="auto"/>
              <w:left w:val="single" w:sz="4" w:space="0" w:color="auto"/>
              <w:bottom w:val="single" w:sz="4" w:space="0" w:color="auto"/>
              <w:right w:val="double" w:sz="4" w:space="0" w:color="auto"/>
            </w:tcBorders>
            <w:hideMark/>
          </w:tcPr>
          <w:p w:rsidR="00BC496A" w:rsidRDefault="00BC496A" w:rsidP="007372A1">
            <w:pPr>
              <w:pStyle w:val="Normaali1"/>
              <w:spacing w:before="60" w:after="60" w:line="240" w:lineRule="auto"/>
              <w:ind w:left="-37" w:right="-20"/>
              <w:jc w:val="center"/>
              <w:rPr>
                <w:rFonts w:ascii="Times New Roman" w:hAnsi="Times New Roman"/>
                <w:sz w:val="22"/>
                <w:szCs w:val="22"/>
              </w:rPr>
            </w:pPr>
            <w:r w:rsidRPr="009A6E5B">
              <w:rPr>
                <w:position w:val="-14"/>
              </w:rPr>
              <w:object w:dxaOrig="279" w:dyaOrig="420">
                <v:shape id="_x0000_i1054" type="#_x0000_t75" style="width:15.65pt;height:20.65pt" o:ole="">
                  <v:imagedata r:id="rId64" o:title=""/>
                </v:shape>
                <o:OLEObject Type="Embed" ProgID="Equation.3" ShapeID="_x0000_i1054" DrawAspect="Content" ObjectID="_1524667241" r:id="rId65"/>
              </w:object>
            </w:r>
          </w:p>
        </w:tc>
      </w:tr>
      <w:tr w:rsidR="00BC496A" w:rsidTr="007372A1">
        <w:trPr>
          <w:trHeight w:val="375"/>
          <w:jc w:val="center"/>
        </w:trPr>
        <w:tc>
          <w:tcPr>
            <w:tcW w:w="779" w:type="dxa"/>
            <w:tcBorders>
              <w:left w:val="double" w:sz="4" w:space="0" w:color="auto"/>
              <w:right w:val="single" w:sz="4" w:space="0" w:color="auto"/>
            </w:tcBorders>
          </w:tcPr>
          <w:p w:rsidR="00BC496A" w:rsidRDefault="00BC496A" w:rsidP="007372A1">
            <w:pPr>
              <w:pStyle w:val="Normaali1"/>
              <w:tabs>
                <w:tab w:val="left" w:pos="972"/>
              </w:tabs>
              <w:spacing w:before="60" w:after="60" w:line="240" w:lineRule="auto"/>
              <w:ind w:right="-115" w:firstLine="26"/>
              <w:jc w:val="left"/>
              <w:rPr>
                <w:rFonts w:ascii="Times New Roman" w:hAnsi="Times New Roman"/>
                <w:sz w:val="22"/>
                <w:szCs w:val="22"/>
              </w:rPr>
            </w:pPr>
            <w:r>
              <w:rPr>
                <w:rFonts w:ascii="Times New Roman" w:hAnsi="Times New Roman"/>
                <w:sz w:val="22"/>
                <w:szCs w:val="22"/>
              </w:rPr>
              <w:t xml:space="preserve"> 1</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Agriculture, forestry and fishing</w:t>
            </w:r>
          </w:p>
        </w:tc>
        <w:tc>
          <w:tcPr>
            <w:tcW w:w="851"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169"/>
              </w:tabs>
              <w:spacing w:before="60" w:after="60" w:line="240" w:lineRule="auto"/>
              <w:ind w:right="28" w:hanging="6"/>
              <w:jc w:val="left"/>
              <w:rPr>
                <w:rFonts w:ascii="Times New Roman" w:hAnsi="Times New Roman"/>
                <w:sz w:val="22"/>
                <w:szCs w:val="22"/>
              </w:rPr>
            </w:pPr>
            <w:r>
              <w:rPr>
                <w:rFonts w:ascii="Times New Roman" w:hAnsi="Times New Roman"/>
                <w:sz w:val="22"/>
                <w:szCs w:val="22"/>
              </w:rPr>
              <w:t>0.588</w:t>
            </w:r>
          </w:p>
        </w:tc>
        <w:tc>
          <w:tcPr>
            <w:tcW w:w="850"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169"/>
              </w:tabs>
              <w:spacing w:before="60" w:after="60" w:line="240" w:lineRule="auto"/>
              <w:ind w:right="28" w:hanging="6"/>
              <w:jc w:val="left"/>
              <w:rPr>
                <w:rFonts w:ascii="Times New Roman" w:hAnsi="Times New Roman"/>
                <w:sz w:val="22"/>
                <w:szCs w:val="22"/>
              </w:rPr>
            </w:pPr>
            <w:r>
              <w:rPr>
                <w:rFonts w:ascii="Times New Roman" w:hAnsi="Times New Roman"/>
                <w:sz w:val="22"/>
                <w:szCs w:val="22"/>
              </w:rPr>
              <w:t>0.447</w:t>
            </w:r>
          </w:p>
        </w:tc>
        <w:tc>
          <w:tcPr>
            <w:tcW w:w="851"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169"/>
              </w:tabs>
              <w:spacing w:before="60" w:after="60" w:line="240" w:lineRule="auto"/>
              <w:ind w:right="28" w:hanging="6"/>
              <w:jc w:val="left"/>
              <w:rPr>
                <w:rFonts w:ascii="Times New Roman" w:hAnsi="Times New Roman"/>
                <w:sz w:val="22"/>
                <w:szCs w:val="22"/>
              </w:rPr>
            </w:pPr>
            <w:r>
              <w:rPr>
                <w:rFonts w:ascii="Times New Roman" w:hAnsi="Times New Roman"/>
                <w:sz w:val="22"/>
                <w:szCs w:val="22"/>
              </w:rPr>
              <w:t>0.157</w:t>
            </w:r>
          </w:p>
        </w:tc>
        <w:tc>
          <w:tcPr>
            <w:tcW w:w="803" w:type="dxa"/>
            <w:tcBorders>
              <w:top w:val="single" w:sz="4" w:space="0" w:color="auto"/>
              <w:left w:val="single" w:sz="4" w:space="0" w:color="auto"/>
              <w:bottom w:val="single" w:sz="4" w:space="0" w:color="auto"/>
              <w:right w:val="double" w:sz="4" w:space="0" w:color="auto"/>
            </w:tcBorders>
          </w:tcPr>
          <w:p w:rsidR="00BC496A" w:rsidRDefault="00BC496A" w:rsidP="007372A1">
            <w:pPr>
              <w:pStyle w:val="Normaali1"/>
              <w:tabs>
                <w:tab w:val="decimal" w:pos="169"/>
              </w:tabs>
              <w:spacing w:before="60" w:after="60" w:line="240" w:lineRule="auto"/>
              <w:ind w:right="28" w:hanging="6"/>
              <w:jc w:val="left"/>
              <w:rPr>
                <w:rFonts w:ascii="Times New Roman" w:hAnsi="Times New Roman"/>
                <w:sz w:val="22"/>
                <w:szCs w:val="22"/>
              </w:rPr>
            </w:pPr>
            <w:r>
              <w:rPr>
                <w:rFonts w:ascii="Times New Roman" w:hAnsi="Times New Roman"/>
                <w:sz w:val="22"/>
                <w:szCs w:val="22"/>
              </w:rPr>
              <w:t>0.206</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tabs>
                <w:tab w:val="left" w:pos="972"/>
              </w:tabs>
              <w:spacing w:before="60" w:after="60" w:line="240" w:lineRule="auto"/>
              <w:ind w:right="-115" w:firstLine="26"/>
              <w:jc w:val="left"/>
              <w:rPr>
                <w:rFonts w:ascii="Times New Roman" w:hAnsi="Times New Roman"/>
                <w:sz w:val="22"/>
                <w:szCs w:val="22"/>
              </w:rPr>
            </w:pPr>
            <w:r>
              <w:rPr>
                <w:rFonts w:ascii="Times New Roman" w:hAnsi="Times New Roman"/>
                <w:sz w:val="22"/>
                <w:szCs w:val="22"/>
              </w:rPr>
              <w:t xml:space="preserve"> 2</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Mining and quarrying</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0.516</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0.484</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0.098</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0.202</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left="26" w:right="-115"/>
              <w:jc w:val="left"/>
              <w:rPr>
                <w:rFonts w:ascii="Times New Roman" w:hAnsi="Times New Roman"/>
                <w:sz w:val="22"/>
                <w:szCs w:val="22"/>
              </w:rPr>
            </w:pPr>
            <w:r>
              <w:rPr>
                <w:rFonts w:ascii="Times New Roman" w:hAnsi="Times New Roman"/>
                <w:sz w:val="22"/>
                <w:szCs w:val="22"/>
              </w:rPr>
              <w:t xml:space="preserve"> 3</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Food, beverages and tobacco products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0.329</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0.351</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0.288</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0.511</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left="26" w:right="-91"/>
              <w:jc w:val="left"/>
              <w:rPr>
                <w:rFonts w:ascii="Times New Roman" w:hAnsi="Times New Roman"/>
                <w:sz w:val="22"/>
                <w:szCs w:val="22"/>
              </w:rPr>
            </w:pPr>
            <w:r>
              <w:rPr>
                <w:rFonts w:ascii="Times New Roman" w:hAnsi="Times New Roman"/>
                <w:sz w:val="22"/>
                <w:szCs w:val="22"/>
              </w:rPr>
              <w:t xml:space="preserve"> 4</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Textile</w:t>
            </w:r>
            <w:r>
              <w:rPr>
                <w:rFonts w:eastAsia="Dotum"/>
                <w:color w:val="000000"/>
                <w:sz w:val="20"/>
                <w:szCs w:val="20"/>
              </w:rPr>
              <w:t>s</w:t>
            </w:r>
            <w:r w:rsidRPr="000A7E2D">
              <w:rPr>
                <w:rFonts w:eastAsia="Dotum"/>
                <w:color w:val="000000"/>
                <w:sz w:val="20"/>
                <w:szCs w:val="20"/>
              </w:rPr>
              <w:t xml:space="preserve"> and apparel</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0.353</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0.209</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0.297</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0.498</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5</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Wood and paper products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0.231</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0.381</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0.386</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after="60"/>
              <w:ind w:left="-28" w:right="-108" w:firstLine="0"/>
              <w:jc w:val="left"/>
              <w:textAlignment w:val="baseline"/>
              <w:rPr>
                <w:bCs/>
                <w:sz w:val="22"/>
                <w:szCs w:val="22"/>
              </w:rPr>
            </w:pPr>
            <w:r>
              <w:rPr>
                <w:bCs/>
                <w:sz w:val="22"/>
                <w:szCs w:val="22"/>
              </w:rPr>
              <w:t>0.485</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w:t>
            </w:r>
            <w:r w:rsidRPr="0056310B">
              <w:rPr>
                <w:rFonts w:ascii="Times New Roman" w:hAnsi="Times New Roman"/>
                <w:sz w:val="22"/>
                <w:szCs w:val="22"/>
              </w:rPr>
              <w:t>6</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Printing and reproduction of recorded media</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0.297</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0.301</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0.348</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0.436</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7</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Petroleum and coal products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Pr="00CE2864" w:rsidRDefault="00BC496A" w:rsidP="007372A1">
            <w:pPr>
              <w:widowControl w:val="0"/>
              <w:tabs>
                <w:tab w:val="decimal" w:pos="165"/>
              </w:tabs>
              <w:adjustRightInd w:val="0"/>
              <w:spacing w:before="36" w:after="36"/>
              <w:ind w:left="-44" w:right="-108" w:firstLine="0"/>
              <w:jc w:val="left"/>
              <w:textAlignment w:val="baseline"/>
              <w:rPr>
                <w:bCs/>
                <w:sz w:val="22"/>
                <w:szCs w:val="22"/>
              </w:rPr>
            </w:pPr>
            <w:r>
              <w:rPr>
                <w:bCs/>
                <w:sz w:val="22"/>
                <w:szCs w:val="22"/>
              </w:rPr>
              <w:t>0.000</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8"/>
              </w:tabs>
              <w:adjustRightInd w:val="0"/>
              <w:spacing w:before="36" w:after="36"/>
              <w:ind w:left="-26" w:right="-108" w:firstLine="0"/>
              <w:textAlignment w:val="baseline"/>
              <w:rPr>
                <w:bCs/>
                <w:sz w:val="22"/>
                <w:szCs w:val="22"/>
              </w:rPr>
            </w:pPr>
            <w:r>
              <w:rPr>
                <w:bCs/>
                <w:sz w:val="22"/>
                <w:szCs w:val="22"/>
              </w:rPr>
              <w:t>0.475</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textAlignment w:val="baseline"/>
              <w:rPr>
                <w:bCs/>
                <w:sz w:val="22"/>
                <w:szCs w:val="22"/>
              </w:rPr>
            </w:pPr>
            <w:r>
              <w:rPr>
                <w:bCs/>
                <w:sz w:val="22"/>
                <w:szCs w:val="22"/>
              </w:rPr>
              <w:t>0.369</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textAlignment w:val="baseline"/>
              <w:rPr>
                <w:bCs/>
                <w:sz w:val="22"/>
                <w:szCs w:val="22"/>
              </w:rPr>
            </w:pPr>
            <w:r>
              <w:rPr>
                <w:bCs/>
                <w:sz w:val="22"/>
                <w:szCs w:val="22"/>
              </w:rPr>
              <w:t>0.314</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8</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Chemicals, drugs and medicines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textAlignment w:val="baseline"/>
              <w:rPr>
                <w:bCs/>
                <w:sz w:val="22"/>
                <w:szCs w:val="22"/>
              </w:rPr>
            </w:pPr>
            <w:r>
              <w:rPr>
                <w:bCs/>
                <w:sz w:val="22"/>
                <w:szCs w:val="22"/>
              </w:rPr>
              <w:t>0.430</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textAlignment w:val="baseline"/>
              <w:rPr>
                <w:bCs/>
                <w:sz w:val="22"/>
                <w:szCs w:val="22"/>
              </w:rPr>
            </w:pPr>
            <w:r>
              <w:rPr>
                <w:bCs/>
                <w:sz w:val="22"/>
                <w:szCs w:val="22"/>
              </w:rPr>
              <w:t>0.384</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right="-108" w:firstLine="0"/>
              <w:textAlignment w:val="baseline"/>
              <w:rPr>
                <w:bCs/>
                <w:sz w:val="22"/>
                <w:szCs w:val="22"/>
              </w:rPr>
            </w:pPr>
            <w:r>
              <w:rPr>
                <w:bCs/>
                <w:sz w:val="22"/>
                <w:szCs w:val="22"/>
              </w:rPr>
              <w:t>0.454</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right="-108" w:firstLine="0"/>
              <w:textAlignment w:val="baseline"/>
              <w:rPr>
                <w:bCs/>
                <w:sz w:val="22"/>
                <w:szCs w:val="22"/>
              </w:rPr>
            </w:pPr>
            <w:r>
              <w:rPr>
                <w:bCs/>
                <w:sz w:val="22"/>
                <w:szCs w:val="22"/>
              </w:rPr>
              <w:t>0.529</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9</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Non-metallic mineral products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right="-108" w:firstLine="0"/>
              <w:textAlignment w:val="baseline"/>
              <w:rPr>
                <w:bCs/>
                <w:sz w:val="22"/>
                <w:szCs w:val="22"/>
              </w:rPr>
            </w:pPr>
            <w:r>
              <w:rPr>
                <w:bCs/>
                <w:sz w:val="22"/>
                <w:szCs w:val="22"/>
              </w:rPr>
              <w:t>0.379</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right="-108" w:firstLine="0"/>
              <w:textAlignment w:val="baseline"/>
              <w:rPr>
                <w:bCs/>
                <w:sz w:val="22"/>
                <w:szCs w:val="22"/>
              </w:rPr>
            </w:pPr>
            <w:r>
              <w:rPr>
                <w:bCs/>
                <w:sz w:val="22"/>
                <w:szCs w:val="22"/>
              </w:rPr>
              <w:t>0.424</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textAlignment w:val="baseline"/>
              <w:rPr>
                <w:bCs/>
                <w:sz w:val="22"/>
                <w:szCs w:val="22"/>
              </w:rPr>
            </w:pPr>
            <w:r>
              <w:rPr>
                <w:bCs/>
                <w:sz w:val="22"/>
                <w:szCs w:val="22"/>
              </w:rPr>
              <w:t>0.623</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textAlignment w:val="baseline"/>
              <w:rPr>
                <w:bCs/>
                <w:sz w:val="22"/>
                <w:szCs w:val="22"/>
              </w:rPr>
            </w:pPr>
            <w:r>
              <w:rPr>
                <w:bCs/>
                <w:sz w:val="22"/>
                <w:szCs w:val="22"/>
              </w:rPr>
              <w:t>0.433</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10</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Basic metal products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textAlignment w:val="baseline"/>
              <w:rPr>
                <w:bCs/>
                <w:sz w:val="22"/>
                <w:szCs w:val="22"/>
              </w:rPr>
            </w:pPr>
            <w:r>
              <w:rPr>
                <w:bCs/>
                <w:sz w:val="22"/>
                <w:szCs w:val="22"/>
              </w:rPr>
              <w:t>0.404</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textAlignment w:val="baseline"/>
              <w:rPr>
                <w:bCs/>
                <w:sz w:val="22"/>
                <w:szCs w:val="22"/>
              </w:rPr>
            </w:pPr>
            <w:r>
              <w:rPr>
                <w:bCs/>
                <w:sz w:val="22"/>
                <w:szCs w:val="22"/>
              </w:rPr>
              <w:t>0.440</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0.611</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0.482</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11</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Fabricated metal products except machinery and fu</w:t>
            </w:r>
            <w:r>
              <w:rPr>
                <w:rFonts w:eastAsia="Dotum"/>
                <w:color w:val="000000"/>
                <w:sz w:val="20"/>
                <w:szCs w:val="20"/>
              </w:rPr>
              <w:t>r</w:t>
            </w:r>
            <w:r w:rsidRPr="000A7E2D">
              <w:rPr>
                <w:rFonts w:eastAsia="Dotum"/>
                <w:color w:val="000000"/>
                <w:sz w:val="20"/>
                <w:szCs w:val="20"/>
              </w:rPr>
              <w:t>niture</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0.252</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0.282</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0.674</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0.493</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12</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General machinery and equipment</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0.294</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0.364</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0.577</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0.511</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13</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Electronic and electrical equipment</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0.358</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0.442</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0.660</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0.439</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14</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Precision instruments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0.297</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0.296</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0.578</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0.512</w:t>
            </w:r>
          </w:p>
        </w:tc>
      </w:tr>
      <w:tr w:rsidR="00BC496A" w:rsidTr="007372A1">
        <w:trPr>
          <w:jc w:val="center"/>
        </w:trPr>
        <w:tc>
          <w:tcPr>
            <w:tcW w:w="779" w:type="dxa"/>
            <w:tcBorders>
              <w:left w:val="double" w:sz="4" w:space="0" w:color="auto"/>
              <w:right w:val="single" w:sz="4" w:space="0" w:color="auto"/>
            </w:tcBorders>
          </w:tcPr>
          <w:p w:rsidR="00BC496A" w:rsidRPr="0056310B"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15</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Transportation equipment</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0.359</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0.419</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0.518</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0.535</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16</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Furniture and other manufactured products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0.545</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0.332</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0.243</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0.528</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17</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Electricity, gas, steam and water supply</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0.317</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0.259</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0.297</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0.357</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18</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Construction</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0.297</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57"/>
              </w:tabs>
              <w:adjustRightInd w:val="0"/>
              <w:spacing w:before="36" w:after="36"/>
              <w:ind w:left="-26" w:right="-108" w:firstLine="0"/>
              <w:jc w:val="left"/>
              <w:textAlignment w:val="baseline"/>
              <w:rPr>
                <w:bCs/>
                <w:sz w:val="22"/>
                <w:szCs w:val="22"/>
              </w:rPr>
            </w:pPr>
            <w:r>
              <w:rPr>
                <w:bCs/>
                <w:sz w:val="22"/>
                <w:szCs w:val="22"/>
              </w:rPr>
              <w:t>0.218</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0.607</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0.449</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19</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Wholesale and retail trade</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0.091</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Pr="00CE2864" w:rsidRDefault="00BC496A" w:rsidP="007372A1">
            <w:pPr>
              <w:widowControl w:val="0"/>
              <w:tabs>
                <w:tab w:val="decimal" w:pos="169"/>
              </w:tabs>
              <w:adjustRightInd w:val="0"/>
              <w:spacing w:before="36" w:after="36"/>
              <w:ind w:left="-26" w:right="-108" w:firstLine="0"/>
              <w:jc w:val="left"/>
              <w:textAlignment w:val="baseline"/>
              <w:rPr>
                <w:bCs/>
                <w:sz w:val="22"/>
                <w:szCs w:val="22"/>
              </w:rPr>
            </w:pPr>
            <w:r w:rsidRPr="00CE2864">
              <w:rPr>
                <w:bCs/>
                <w:sz w:val="22"/>
                <w:szCs w:val="22"/>
              </w:rPr>
              <w:t>0.156</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77"/>
              </w:tabs>
              <w:adjustRightInd w:val="0"/>
              <w:spacing w:before="36" w:after="36"/>
              <w:ind w:left="-26" w:right="-108" w:firstLine="0"/>
              <w:jc w:val="left"/>
              <w:textAlignment w:val="baseline"/>
              <w:rPr>
                <w:bCs/>
                <w:sz w:val="22"/>
                <w:szCs w:val="22"/>
              </w:rPr>
            </w:pPr>
            <w:r>
              <w:rPr>
                <w:bCs/>
                <w:sz w:val="22"/>
                <w:szCs w:val="22"/>
              </w:rPr>
              <w:t>0.411</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77"/>
              </w:tabs>
              <w:adjustRightInd w:val="0"/>
              <w:spacing w:before="36" w:after="36"/>
              <w:ind w:left="-26" w:right="-108" w:firstLine="0"/>
              <w:jc w:val="left"/>
              <w:textAlignment w:val="baseline"/>
              <w:rPr>
                <w:bCs/>
                <w:sz w:val="22"/>
                <w:szCs w:val="22"/>
              </w:rPr>
            </w:pPr>
            <w:r>
              <w:rPr>
                <w:bCs/>
                <w:sz w:val="22"/>
                <w:szCs w:val="22"/>
              </w:rPr>
              <w:t>0.331</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20</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Accommodation and food services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77"/>
              </w:tabs>
              <w:adjustRightInd w:val="0"/>
              <w:spacing w:before="36" w:after="36"/>
              <w:ind w:left="-26" w:right="-108" w:firstLine="0"/>
              <w:jc w:val="left"/>
              <w:textAlignment w:val="baseline"/>
              <w:rPr>
                <w:bCs/>
                <w:sz w:val="22"/>
                <w:szCs w:val="22"/>
              </w:rPr>
            </w:pPr>
            <w:r>
              <w:rPr>
                <w:bCs/>
                <w:sz w:val="22"/>
                <w:szCs w:val="22"/>
              </w:rPr>
              <w:t>0.221</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77"/>
              </w:tabs>
              <w:adjustRightInd w:val="0"/>
              <w:spacing w:before="36" w:after="36"/>
              <w:ind w:left="-26" w:right="-108" w:firstLine="0"/>
              <w:jc w:val="left"/>
              <w:textAlignment w:val="baseline"/>
              <w:rPr>
                <w:bCs/>
                <w:sz w:val="22"/>
                <w:szCs w:val="22"/>
              </w:rPr>
            </w:pPr>
            <w:r>
              <w:rPr>
                <w:bCs/>
                <w:sz w:val="22"/>
                <w:szCs w:val="22"/>
              </w:rPr>
              <w:t>0.196</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77"/>
              </w:tabs>
              <w:adjustRightInd w:val="0"/>
              <w:spacing w:before="36" w:after="36"/>
              <w:ind w:left="-26" w:right="-108" w:firstLine="0"/>
              <w:jc w:val="left"/>
              <w:textAlignment w:val="baseline"/>
              <w:rPr>
                <w:bCs/>
                <w:sz w:val="22"/>
                <w:szCs w:val="22"/>
              </w:rPr>
            </w:pPr>
            <w:r>
              <w:rPr>
                <w:bCs/>
                <w:sz w:val="22"/>
                <w:szCs w:val="22"/>
              </w:rPr>
              <w:t>0.564</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77"/>
              </w:tabs>
              <w:adjustRightInd w:val="0"/>
              <w:spacing w:before="36" w:after="36"/>
              <w:ind w:left="-26" w:right="-108" w:firstLine="0"/>
              <w:jc w:val="left"/>
              <w:textAlignment w:val="baseline"/>
              <w:rPr>
                <w:bCs/>
                <w:sz w:val="22"/>
                <w:szCs w:val="22"/>
              </w:rPr>
            </w:pPr>
            <w:r>
              <w:rPr>
                <w:bCs/>
                <w:sz w:val="22"/>
                <w:szCs w:val="22"/>
              </w:rPr>
              <w:t>0.498</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21</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Transportation</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0.249</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0.203</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0.353</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0.412</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22</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Communications and broadcasting</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0.184</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0.220</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0.325</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0.407</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23</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Finance and insurance</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0.049</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0.180</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0.035</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0.294</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24</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Real estate and business services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0.275</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0.237</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0.488</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0.222</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25</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Public administration and defen</w:t>
            </w:r>
            <w:r>
              <w:rPr>
                <w:rFonts w:eastAsia="Dotum"/>
                <w:color w:val="000000"/>
                <w:sz w:val="20"/>
                <w:szCs w:val="20"/>
              </w:rPr>
              <w:t>c</w:t>
            </w:r>
            <w:r w:rsidRPr="000A7E2D">
              <w:rPr>
                <w:rFonts w:eastAsia="Dotum"/>
                <w:color w:val="000000"/>
                <w:sz w:val="20"/>
                <w:szCs w:val="20"/>
              </w:rPr>
              <w:t>e</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0.100</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0.166</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0.202</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0.222</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26</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Education, health and social work</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0.098</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0.120</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0.399</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0.263</w:t>
            </w:r>
          </w:p>
        </w:tc>
      </w:tr>
      <w:tr w:rsidR="00BC496A" w:rsidTr="007372A1">
        <w:trPr>
          <w:jc w:val="center"/>
        </w:trPr>
        <w:tc>
          <w:tcPr>
            <w:tcW w:w="779" w:type="dxa"/>
            <w:tcBorders>
              <w:left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27</w:t>
            </w:r>
          </w:p>
        </w:tc>
        <w:tc>
          <w:tcPr>
            <w:tcW w:w="3898" w:type="dxa"/>
            <w:tcBorders>
              <w:top w:val="single" w:sz="4" w:space="0" w:color="auto"/>
              <w:left w:val="single" w:sz="4" w:space="0" w:color="auto"/>
              <w:bottom w:val="single" w:sz="4" w:space="0" w:color="auto"/>
              <w:right w:val="single" w:sz="4" w:space="0" w:color="auto"/>
            </w:tcBorders>
          </w:tcPr>
          <w:p w:rsidR="00BC496A" w:rsidRPr="000A7E2D" w:rsidRDefault="00BC496A" w:rsidP="007372A1">
            <w:pPr>
              <w:spacing w:before="60" w:after="60"/>
              <w:ind w:firstLine="0"/>
              <w:jc w:val="left"/>
              <w:rPr>
                <w:rFonts w:eastAsia="Dotum"/>
                <w:color w:val="000000"/>
                <w:sz w:val="20"/>
                <w:szCs w:val="20"/>
              </w:rPr>
            </w:pPr>
            <w:r w:rsidRPr="000A7E2D">
              <w:rPr>
                <w:rFonts w:eastAsia="Dotum"/>
                <w:color w:val="000000"/>
                <w:sz w:val="20"/>
                <w:szCs w:val="20"/>
              </w:rPr>
              <w:t>Other services</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0.160</w:t>
            </w:r>
          </w:p>
        </w:tc>
        <w:tc>
          <w:tcPr>
            <w:tcW w:w="85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0.164</w:t>
            </w:r>
          </w:p>
        </w:tc>
        <w:tc>
          <w:tcPr>
            <w:tcW w:w="851"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0.401</w:t>
            </w:r>
          </w:p>
        </w:tc>
        <w:tc>
          <w:tcPr>
            <w:tcW w:w="80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0.428</w:t>
            </w:r>
          </w:p>
        </w:tc>
      </w:tr>
      <w:tr w:rsidR="00BC496A" w:rsidTr="007372A1">
        <w:trPr>
          <w:jc w:val="center"/>
        </w:trPr>
        <w:tc>
          <w:tcPr>
            <w:tcW w:w="779" w:type="dxa"/>
            <w:tcBorders>
              <w:left w:val="double" w:sz="4" w:space="0" w:color="auto"/>
              <w:bottom w:val="doub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Mean</w:t>
            </w:r>
          </w:p>
        </w:tc>
        <w:tc>
          <w:tcPr>
            <w:tcW w:w="3898" w:type="dxa"/>
            <w:tcBorders>
              <w:top w:val="single" w:sz="4" w:space="0" w:color="auto"/>
              <w:left w:val="single" w:sz="4" w:space="0" w:color="auto"/>
              <w:bottom w:val="double" w:sz="4" w:space="0" w:color="auto"/>
              <w:right w:val="single" w:sz="4" w:space="0" w:color="auto"/>
            </w:tcBorders>
          </w:tcPr>
          <w:p w:rsidR="00BC496A" w:rsidRPr="00DB14E1" w:rsidRDefault="00BC496A" w:rsidP="007372A1">
            <w:pPr>
              <w:pStyle w:val="Normaali1"/>
              <w:spacing w:before="60" w:after="60" w:line="240" w:lineRule="auto"/>
              <w:ind w:right="-84" w:firstLine="6"/>
              <w:jc w:val="left"/>
              <w:rPr>
                <w:rFonts w:ascii="Times New Roman" w:hAnsi="Times New Roman"/>
                <w:sz w:val="22"/>
                <w:szCs w:val="22"/>
              </w:rPr>
            </w:pPr>
          </w:p>
        </w:tc>
        <w:tc>
          <w:tcPr>
            <w:tcW w:w="851"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0.284</w:t>
            </w:r>
          </w:p>
        </w:tc>
        <w:tc>
          <w:tcPr>
            <w:tcW w:w="850"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0.284</w:t>
            </w:r>
          </w:p>
        </w:tc>
        <w:tc>
          <w:tcPr>
            <w:tcW w:w="851"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0.407</w:t>
            </w:r>
          </w:p>
        </w:tc>
        <w:tc>
          <w:tcPr>
            <w:tcW w:w="803" w:type="dxa"/>
            <w:tcBorders>
              <w:top w:val="single" w:sz="4" w:space="0" w:color="auto"/>
              <w:left w:val="single" w:sz="4" w:space="0" w:color="auto"/>
              <w:bottom w:val="double" w:sz="4" w:space="0" w:color="auto"/>
              <w:right w:val="double" w:sz="4" w:space="0" w:color="auto"/>
            </w:tcBorders>
            <w:vAlign w:val="bottom"/>
          </w:tcPr>
          <w:p w:rsidR="00BC496A" w:rsidRDefault="00BC496A" w:rsidP="007372A1">
            <w:pPr>
              <w:widowControl w:val="0"/>
              <w:tabs>
                <w:tab w:val="decimal" w:pos="169"/>
              </w:tabs>
              <w:adjustRightInd w:val="0"/>
              <w:spacing w:before="36" w:after="36"/>
              <w:ind w:left="-26" w:right="-108" w:firstLine="0"/>
              <w:jc w:val="left"/>
              <w:textAlignment w:val="baseline"/>
              <w:rPr>
                <w:bCs/>
                <w:sz w:val="22"/>
                <w:szCs w:val="22"/>
              </w:rPr>
            </w:pPr>
            <w:r>
              <w:rPr>
                <w:bCs/>
                <w:sz w:val="22"/>
                <w:szCs w:val="22"/>
              </w:rPr>
              <w:t>0.407</w:t>
            </w:r>
          </w:p>
        </w:tc>
      </w:tr>
    </w:tbl>
    <w:p w:rsidR="00BC496A" w:rsidRPr="00600ED0" w:rsidRDefault="00BC496A" w:rsidP="00BC496A">
      <w:pPr>
        <w:tabs>
          <w:tab w:val="left" w:pos="567"/>
        </w:tabs>
        <w:spacing w:before="120" w:after="0"/>
        <w:ind w:left="567" w:right="522" w:firstLine="0"/>
        <w:rPr>
          <w:i/>
          <w:sz w:val="22"/>
          <w:szCs w:val="22"/>
          <w:lang w:val="en-US"/>
        </w:rPr>
      </w:pPr>
      <w:r w:rsidRPr="00600ED0">
        <w:rPr>
          <w:i/>
          <w:sz w:val="22"/>
          <w:szCs w:val="22"/>
          <w:lang w:val="en-US"/>
        </w:rPr>
        <w:t xml:space="preserve">Source: </w:t>
      </w:r>
      <w:r w:rsidRPr="00600ED0">
        <w:rPr>
          <w:sz w:val="22"/>
          <w:szCs w:val="22"/>
          <w:lang w:val="en-US"/>
        </w:rPr>
        <w:t>Authors’ own calculations</w:t>
      </w:r>
    </w:p>
    <w:p w:rsidR="00BC496A" w:rsidRPr="00AC505A" w:rsidRDefault="00BC496A" w:rsidP="00BC496A">
      <w:pPr>
        <w:tabs>
          <w:tab w:val="left" w:pos="567"/>
        </w:tabs>
        <w:ind w:left="567" w:right="522" w:firstLine="0"/>
        <w:jc w:val="left"/>
        <w:rPr>
          <w:sz w:val="22"/>
          <w:szCs w:val="22"/>
          <w:lang w:val="en-US"/>
        </w:rPr>
      </w:pPr>
      <w:r w:rsidRPr="00600ED0">
        <w:rPr>
          <w:position w:val="-14"/>
          <w:sz w:val="22"/>
          <w:szCs w:val="22"/>
        </w:rPr>
        <w:object w:dxaOrig="279" w:dyaOrig="380">
          <v:shape id="_x0000_i1055" type="#_x0000_t75" style="width:15.65pt;height:20.05pt" o:ole="">
            <v:imagedata r:id="rId35" o:title=""/>
          </v:shape>
          <o:OLEObject Type="Embed" ProgID="Equation.3" ShapeID="_x0000_i1055" DrawAspect="Content" ObjectID="_1524667242" r:id="rId66"/>
        </w:object>
      </w:r>
      <w:r w:rsidRPr="00600ED0">
        <w:rPr>
          <w:sz w:val="22"/>
          <w:szCs w:val="22"/>
        </w:rPr>
        <w:t xml:space="preserve">is the value </w:t>
      </w:r>
      <w:r>
        <w:rPr>
          <w:sz w:val="22"/>
          <w:szCs w:val="22"/>
        </w:rPr>
        <w:t xml:space="preserve">that </w:t>
      </w:r>
      <w:r w:rsidRPr="00600ED0">
        <w:rPr>
          <w:sz w:val="22"/>
          <w:szCs w:val="22"/>
        </w:rPr>
        <w:t>minimiz</w:t>
      </w:r>
      <w:r>
        <w:rPr>
          <w:sz w:val="22"/>
          <w:szCs w:val="22"/>
        </w:rPr>
        <w:t>es</w:t>
      </w:r>
      <w:r w:rsidRPr="00600ED0">
        <w:rPr>
          <w:sz w:val="22"/>
          <w:szCs w:val="22"/>
        </w:rPr>
        <w:t xml:space="preserve"> MAPE</w:t>
      </w:r>
      <w:r>
        <w:rPr>
          <w:sz w:val="22"/>
          <w:szCs w:val="22"/>
        </w:rPr>
        <w:t xml:space="preserve"> for the sectoral multipliers</w:t>
      </w:r>
      <w:r w:rsidRPr="00600ED0">
        <w:rPr>
          <w:sz w:val="22"/>
          <w:szCs w:val="22"/>
        </w:rPr>
        <w:t>, whereas</w:t>
      </w:r>
      <w:r w:rsidRPr="00600ED0">
        <w:rPr>
          <w:sz w:val="22"/>
          <w:szCs w:val="22"/>
          <w:lang w:val="en-US"/>
        </w:rPr>
        <w:t xml:space="preserve"> </w:t>
      </w:r>
      <w:r w:rsidRPr="00600ED0">
        <w:rPr>
          <w:position w:val="-14"/>
          <w:sz w:val="22"/>
          <w:szCs w:val="22"/>
        </w:rPr>
        <w:object w:dxaOrig="279" w:dyaOrig="420">
          <v:shape id="_x0000_i1056" type="#_x0000_t75" style="width:15.65pt;height:20.65pt" o:ole="">
            <v:imagedata r:id="rId33" o:title=""/>
          </v:shape>
          <o:OLEObject Type="Embed" ProgID="Equation.3" ShapeID="_x0000_i1056" DrawAspect="Content" ObjectID="_1524667243" r:id="rId67"/>
        </w:object>
      </w:r>
      <w:r w:rsidRPr="00600ED0">
        <w:rPr>
          <w:sz w:val="22"/>
          <w:szCs w:val="22"/>
        </w:rPr>
        <w:t>is the estimated value from</w:t>
      </w:r>
      <w:r w:rsidRPr="00600ED0">
        <w:rPr>
          <w:sz w:val="22"/>
          <w:szCs w:val="22"/>
          <w:lang w:val="en-US"/>
        </w:rPr>
        <w:t xml:space="preserve"> the last two regressions in Table 6.  Sector 28 had to be omitted owing to missing data.</w:t>
      </w:r>
    </w:p>
    <w:p w:rsidR="00BC496A" w:rsidRDefault="00BC496A" w:rsidP="00BC496A">
      <w:pPr>
        <w:spacing w:after="0"/>
        <w:ind w:firstLine="0"/>
        <w:jc w:val="left"/>
        <w:rPr>
          <w:b/>
          <w:color w:val="000000"/>
          <w:szCs w:val="26"/>
        </w:rPr>
      </w:pPr>
    </w:p>
    <w:p w:rsidR="00BC496A" w:rsidRDefault="00BC496A" w:rsidP="00BC496A">
      <w:pPr>
        <w:ind w:left="1134" w:right="946" w:firstLine="0"/>
        <w:jc w:val="left"/>
        <w:rPr>
          <w:color w:val="000000"/>
          <w:szCs w:val="26"/>
        </w:rPr>
      </w:pPr>
      <w:r w:rsidRPr="002C6D87">
        <w:rPr>
          <w:b/>
          <w:color w:val="000000"/>
          <w:szCs w:val="26"/>
        </w:rPr>
        <w:t xml:space="preserve">Table </w:t>
      </w:r>
      <w:r>
        <w:rPr>
          <w:b/>
          <w:color w:val="000000"/>
          <w:szCs w:val="26"/>
        </w:rPr>
        <w:t>8</w:t>
      </w:r>
      <w:r>
        <w:rPr>
          <w:color w:val="000000"/>
          <w:szCs w:val="26"/>
        </w:rPr>
        <w:t xml:space="preserve">  </w:t>
      </w:r>
      <w:r w:rsidRPr="005C4B7A">
        <w:rPr>
          <w:color w:val="000000"/>
          <w:szCs w:val="26"/>
        </w:rPr>
        <w:t>Accuracy</w:t>
      </w:r>
      <w:r>
        <w:rPr>
          <w:color w:val="000000"/>
          <w:szCs w:val="26"/>
        </w:rPr>
        <w:t xml:space="preserve"> of estimated type I output</w:t>
      </w:r>
      <w:r w:rsidRPr="005C4B7A">
        <w:rPr>
          <w:color w:val="000000"/>
          <w:szCs w:val="26"/>
        </w:rPr>
        <w:t xml:space="preserve"> </w:t>
      </w:r>
      <w:r>
        <w:rPr>
          <w:color w:val="000000"/>
          <w:szCs w:val="26"/>
        </w:rPr>
        <w:t>multipliers for two South Korean regions</w:t>
      </w:r>
      <w:r>
        <w:rPr>
          <w:b/>
          <w:lang w:val="en-US"/>
        </w:rPr>
        <w:t xml:space="preserve"> </w:t>
      </w:r>
      <w:r w:rsidRPr="005C4B7A">
        <w:rPr>
          <w:color w:val="000000"/>
          <w:szCs w:val="26"/>
        </w:rPr>
        <w:t>in 200</w:t>
      </w:r>
      <w:r>
        <w:rPr>
          <w:color w:val="000000"/>
          <w:szCs w:val="26"/>
        </w:rPr>
        <w:t>5 using different methods of estimation (MAPE based on all available sectors)</w:t>
      </w:r>
    </w:p>
    <w:tbl>
      <w:tblPr>
        <w:tblW w:w="6844" w:type="dxa"/>
        <w:jc w:val="center"/>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5"/>
        <w:gridCol w:w="1701"/>
        <w:gridCol w:w="1698"/>
      </w:tblGrid>
      <w:tr w:rsidR="00BC496A" w:rsidTr="007372A1">
        <w:trPr>
          <w:trHeight w:val="311"/>
          <w:jc w:val="center"/>
        </w:trPr>
        <w:tc>
          <w:tcPr>
            <w:tcW w:w="3445" w:type="dxa"/>
            <w:vMerge w:val="restart"/>
          </w:tcPr>
          <w:p w:rsidR="00BC496A" w:rsidRDefault="00BC496A" w:rsidP="007372A1">
            <w:pPr>
              <w:pStyle w:val="Normaali1"/>
              <w:spacing w:before="60" w:after="60" w:line="240" w:lineRule="auto"/>
              <w:ind w:left="-4" w:right="125"/>
              <w:rPr>
                <w:rFonts w:ascii="Times New Roman" w:hAnsi="Times New Roman"/>
                <w:sz w:val="22"/>
                <w:szCs w:val="22"/>
              </w:rPr>
            </w:pPr>
          </w:p>
          <w:p w:rsidR="00BC496A" w:rsidRPr="00F3332B" w:rsidRDefault="00BC496A" w:rsidP="007372A1">
            <w:pPr>
              <w:pStyle w:val="Normaali1"/>
              <w:spacing w:before="60" w:after="60" w:line="240" w:lineRule="auto"/>
              <w:ind w:left="-4" w:right="125"/>
              <w:rPr>
                <w:rFonts w:ascii="Times New Roman" w:hAnsi="Times New Roman"/>
                <w:sz w:val="22"/>
                <w:szCs w:val="22"/>
              </w:rPr>
            </w:pPr>
            <w:r>
              <w:rPr>
                <w:rFonts w:ascii="Times New Roman" w:hAnsi="Times New Roman"/>
                <w:sz w:val="22"/>
                <w:szCs w:val="22"/>
              </w:rPr>
              <w:t>Method</w:t>
            </w:r>
          </w:p>
        </w:tc>
        <w:tc>
          <w:tcPr>
            <w:tcW w:w="3399" w:type="dxa"/>
            <w:gridSpan w:val="2"/>
          </w:tcPr>
          <w:p w:rsidR="00BC496A" w:rsidRPr="00F3332B" w:rsidRDefault="00BC496A" w:rsidP="007372A1">
            <w:pPr>
              <w:pStyle w:val="Normaali1"/>
              <w:spacing w:before="60" w:after="60" w:line="240" w:lineRule="auto"/>
              <w:ind w:left="-37" w:right="23"/>
              <w:jc w:val="center"/>
              <w:rPr>
                <w:rFonts w:ascii="Times New Roman" w:hAnsi="Times New Roman"/>
                <w:sz w:val="22"/>
                <w:szCs w:val="22"/>
              </w:rPr>
            </w:pPr>
            <w:r>
              <w:rPr>
                <w:rFonts w:ascii="Times New Roman" w:hAnsi="Times New Roman"/>
                <w:sz w:val="22"/>
                <w:szCs w:val="22"/>
              </w:rPr>
              <w:t>Region</w:t>
            </w:r>
          </w:p>
        </w:tc>
      </w:tr>
      <w:tr w:rsidR="00BC496A" w:rsidTr="007372A1">
        <w:trPr>
          <w:trHeight w:val="310"/>
          <w:jc w:val="center"/>
        </w:trPr>
        <w:tc>
          <w:tcPr>
            <w:tcW w:w="3445" w:type="dxa"/>
            <w:vMerge/>
          </w:tcPr>
          <w:p w:rsidR="00BC496A" w:rsidRPr="00F3332B" w:rsidRDefault="00BC496A" w:rsidP="007372A1">
            <w:pPr>
              <w:pStyle w:val="Normaali1"/>
              <w:spacing w:before="60" w:after="60" w:line="240" w:lineRule="auto"/>
              <w:ind w:left="5" w:right="125"/>
              <w:rPr>
                <w:rFonts w:ascii="Times New Roman" w:hAnsi="Times New Roman"/>
                <w:sz w:val="22"/>
                <w:szCs w:val="22"/>
              </w:rPr>
            </w:pPr>
          </w:p>
        </w:tc>
        <w:tc>
          <w:tcPr>
            <w:tcW w:w="1701" w:type="dxa"/>
          </w:tcPr>
          <w:p w:rsidR="00BC496A" w:rsidRDefault="00BC496A" w:rsidP="007372A1">
            <w:pPr>
              <w:pStyle w:val="Normaali1"/>
              <w:spacing w:before="60" w:after="60" w:line="240" w:lineRule="auto"/>
              <w:ind w:left="-37" w:right="26"/>
              <w:jc w:val="center"/>
              <w:rPr>
                <w:rFonts w:ascii="Times New Roman" w:hAnsi="Times New Roman"/>
                <w:sz w:val="22"/>
                <w:szCs w:val="22"/>
              </w:rPr>
            </w:pPr>
            <w:r>
              <w:rPr>
                <w:rFonts w:ascii="Times New Roman" w:hAnsi="Times New Roman"/>
                <w:sz w:val="22"/>
                <w:szCs w:val="22"/>
              </w:rPr>
              <w:t>Daegu</w:t>
            </w:r>
          </w:p>
        </w:tc>
        <w:tc>
          <w:tcPr>
            <w:tcW w:w="1698" w:type="dxa"/>
          </w:tcPr>
          <w:p w:rsidR="00BC496A" w:rsidRDefault="00BC496A" w:rsidP="007372A1">
            <w:pPr>
              <w:pStyle w:val="Normaali1"/>
              <w:spacing w:before="60" w:after="60" w:line="240" w:lineRule="auto"/>
              <w:ind w:left="-37" w:right="23"/>
              <w:jc w:val="center"/>
              <w:rPr>
                <w:rFonts w:ascii="Times New Roman" w:hAnsi="Times New Roman"/>
                <w:sz w:val="22"/>
                <w:szCs w:val="22"/>
              </w:rPr>
            </w:pPr>
            <w:r>
              <w:rPr>
                <w:rFonts w:ascii="Times New Roman" w:hAnsi="Times New Roman"/>
                <w:sz w:val="22"/>
                <w:szCs w:val="22"/>
              </w:rPr>
              <w:t>Gyeongbuk</w:t>
            </w:r>
          </w:p>
        </w:tc>
      </w:tr>
      <w:tr w:rsidR="00BC496A" w:rsidTr="007372A1">
        <w:trPr>
          <w:jc w:val="center"/>
        </w:trPr>
        <w:tc>
          <w:tcPr>
            <w:tcW w:w="3445"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SLQ</w:t>
            </w:r>
            <w:r>
              <w:rPr>
                <w:rFonts w:ascii="Times New Roman" w:hAnsi="Times New Roman"/>
                <w:sz w:val="22"/>
                <w:szCs w:val="22"/>
              </w:rPr>
              <w:t>, Table 5</w:t>
            </w:r>
          </w:p>
        </w:tc>
        <w:tc>
          <w:tcPr>
            <w:tcW w:w="1701"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23.33</w:t>
            </w:r>
          </w:p>
        </w:tc>
        <w:tc>
          <w:tcPr>
            <w:tcW w:w="1698" w:type="dxa"/>
            <w:vAlign w:val="bottom"/>
          </w:tcPr>
          <w:p w:rsidR="00BC496A" w:rsidRPr="008A4578" w:rsidRDefault="00BC496A" w:rsidP="007372A1">
            <w:pPr>
              <w:widowControl w:val="0"/>
              <w:tabs>
                <w:tab w:val="decimal" w:pos="594"/>
              </w:tabs>
              <w:adjustRightInd w:val="0"/>
              <w:spacing w:before="36" w:after="36"/>
              <w:ind w:left="-26" w:right="-108" w:firstLine="0"/>
              <w:jc w:val="left"/>
              <w:textAlignment w:val="baseline"/>
              <w:rPr>
                <w:bCs/>
                <w:sz w:val="22"/>
                <w:szCs w:val="22"/>
              </w:rPr>
            </w:pPr>
            <w:r>
              <w:rPr>
                <w:bCs/>
                <w:sz w:val="22"/>
                <w:szCs w:val="22"/>
              </w:rPr>
              <w:t>13.67</w:t>
            </w:r>
          </w:p>
        </w:tc>
      </w:tr>
      <w:tr w:rsidR="00BC496A" w:rsidTr="007372A1">
        <w:trPr>
          <w:jc w:val="center"/>
        </w:trPr>
        <w:tc>
          <w:tcPr>
            <w:tcW w:w="3445"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sidRPr="00F3332B">
              <w:rPr>
                <w:rFonts w:ascii="Times New Roman" w:hAnsi="Times New Roman"/>
                <w:sz w:val="22"/>
                <w:szCs w:val="22"/>
              </w:rPr>
              <w:t>CILQ</w:t>
            </w:r>
            <w:r>
              <w:rPr>
                <w:rFonts w:ascii="Times New Roman" w:hAnsi="Times New Roman"/>
                <w:sz w:val="22"/>
                <w:szCs w:val="22"/>
              </w:rPr>
              <w:t>, Table 5</w:t>
            </w:r>
          </w:p>
        </w:tc>
        <w:tc>
          <w:tcPr>
            <w:tcW w:w="1701"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20.90</w:t>
            </w:r>
          </w:p>
        </w:tc>
        <w:tc>
          <w:tcPr>
            <w:tcW w:w="1698" w:type="dxa"/>
            <w:vAlign w:val="bottom"/>
          </w:tcPr>
          <w:p w:rsidR="00BC496A" w:rsidRPr="008A4578" w:rsidRDefault="00BC496A" w:rsidP="007372A1">
            <w:pPr>
              <w:widowControl w:val="0"/>
              <w:tabs>
                <w:tab w:val="decimal" w:pos="594"/>
              </w:tabs>
              <w:adjustRightInd w:val="0"/>
              <w:spacing w:before="36" w:after="36"/>
              <w:ind w:left="-26" w:right="-108" w:firstLine="0"/>
              <w:jc w:val="left"/>
              <w:textAlignment w:val="baseline"/>
              <w:rPr>
                <w:bCs/>
                <w:sz w:val="22"/>
                <w:szCs w:val="22"/>
              </w:rPr>
            </w:pPr>
            <w:r>
              <w:rPr>
                <w:bCs/>
                <w:sz w:val="22"/>
                <w:szCs w:val="22"/>
              </w:rPr>
              <w:t>18.50</w:t>
            </w:r>
          </w:p>
        </w:tc>
      </w:tr>
      <w:tr w:rsidR="00BC496A" w:rsidTr="007372A1">
        <w:trPr>
          <w:jc w:val="center"/>
        </w:trPr>
        <w:tc>
          <w:tcPr>
            <w:tcW w:w="3445"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w:t>
            </w:r>
            <w:r w:rsidRPr="00F3332B">
              <w:rPr>
                <w:rFonts w:ascii="Times New Roman" w:hAnsi="Times New Roman"/>
                <w:sz w:val="22"/>
                <w:szCs w:val="22"/>
              </w:rPr>
              <w:t>)</w:t>
            </w:r>
            <w:r>
              <w:rPr>
                <w:rFonts w:ascii="Times New Roman" w:hAnsi="Times New Roman"/>
                <w:sz w:val="22"/>
                <w:szCs w:val="22"/>
              </w:rPr>
              <w:t>, Table 5</w:t>
            </w:r>
          </w:p>
        </w:tc>
        <w:tc>
          <w:tcPr>
            <w:tcW w:w="1701" w:type="dxa"/>
            <w:vAlign w:val="bottom"/>
          </w:tcPr>
          <w:p w:rsidR="00BC496A" w:rsidRPr="00D37786" w:rsidRDefault="00BC496A" w:rsidP="007372A1">
            <w:pPr>
              <w:widowControl w:val="0"/>
              <w:tabs>
                <w:tab w:val="decimal" w:pos="736"/>
              </w:tabs>
              <w:adjustRightInd w:val="0"/>
              <w:spacing w:before="36" w:after="36"/>
              <w:ind w:left="-26" w:right="-108" w:firstLine="0"/>
              <w:jc w:val="left"/>
              <w:textAlignment w:val="baseline"/>
              <w:rPr>
                <w:b/>
                <w:bCs/>
                <w:sz w:val="22"/>
                <w:szCs w:val="22"/>
              </w:rPr>
            </w:pPr>
            <w:r w:rsidRPr="00D37786">
              <w:rPr>
                <w:b/>
                <w:bCs/>
                <w:sz w:val="22"/>
                <w:szCs w:val="22"/>
              </w:rPr>
              <w:t>6.</w:t>
            </w:r>
            <w:r>
              <w:rPr>
                <w:b/>
                <w:bCs/>
                <w:sz w:val="22"/>
                <w:szCs w:val="22"/>
              </w:rPr>
              <w:t>16</w:t>
            </w:r>
          </w:p>
        </w:tc>
        <w:tc>
          <w:tcPr>
            <w:tcW w:w="1698" w:type="dxa"/>
            <w:vAlign w:val="bottom"/>
          </w:tcPr>
          <w:p w:rsidR="00BC496A" w:rsidRPr="008A4578" w:rsidRDefault="00BC496A" w:rsidP="007372A1">
            <w:pPr>
              <w:widowControl w:val="0"/>
              <w:tabs>
                <w:tab w:val="decimal" w:pos="594"/>
              </w:tabs>
              <w:adjustRightInd w:val="0"/>
              <w:spacing w:before="36" w:after="36"/>
              <w:ind w:left="-26" w:right="-108" w:firstLine="0"/>
              <w:jc w:val="left"/>
              <w:textAlignment w:val="baseline"/>
              <w:rPr>
                <w:bCs/>
                <w:sz w:val="22"/>
                <w:szCs w:val="22"/>
              </w:rPr>
            </w:pPr>
            <w:r>
              <w:rPr>
                <w:bCs/>
                <w:sz w:val="22"/>
                <w:szCs w:val="22"/>
              </w:rPr>
              <w:t>5.51</w:t>
            </w:r>
          </w:p>
        </w:tc>
      </w:tr>
      <w:tr w:rsidR="00BC496A" w:rsidTr="007372A1">
        <w:trPr>
          <w:jc w:val="center"/>
        </w:trPr>
        <w:tc>
          <w:tcPr>
            <w:tcW w:w="3445" w:type="dxa"/>
          </w:tcPr>
          <w:p w:rsidR="00BC496A" w:rsidRPr="00F3332B" w:rsidRDefault="00BC496A" w:rsidP="007372A1">
            <w:pPr>
              <w:pStyle w:val="Normaali1"/>
              <w:spacing w:before="60" w:after="60" w:line="240" w:lineRule="auto"/>
              <w:ind w:right="-85" w:firstLine="6"/>
              <w:rPr>
                <w:rFonts w:ascii="Times New Roman" w:hAnsi="Times New Roman"/>
                <w:sz w:val="22"/>
                <w:szCs w:val="22"/>
              </w:rPr>
            </w:pPr>
            <w:r w:rsidRPr="00F3332B">
              <w:rPr>
                <w:rFonts w:ascii="Times New Roman" w:hAnsi="Times New Roman"/>
                <w:sz w:val="22"/>
                <w:szCs w:val="22"/>
              </w:rPr>
              <w:t>FLQ (</w:t>
            </w:r>
            <w:r w:rsidRPr="00F3332B">
              <w:rPr>
                <w:rFonts w:ascii="Times New Roman" w:hAnsi="Times New Roman"/>
                <w:color w:val="000000"/>
                <w:sz w:val="22"/>
                <w:szCs w:val="22"/>
                <w:lang w:val="en-GB"/>
              </w:rPr>
              <w:t>δ = 0.</w:t>
            </w:r>
            <w:r>
              <w:rPr>
                <w:rFonts w:ascii="Times New Roman" w:hAnsi="Times New Roman"/>
                <w:color w:val="000000"/>
                <w:sz w:val="22"/>
                <w:szCs w:val="22"/>
                <w:lang w:val="en-GB"/>
              </w:rPr>
              <w:t>35</w:t>
            </w:r>
            <w:r w:rsidRPr="00F3332B">
              <w:rPr>
                <w:rFonts w:ascii="Times New Roman" w:hAnsi="Times New Roman"/>
                <w:sz w:val="22"/>
                <w:szCs w:val="22"/>
              </w:rPr>
              <w:t>)</w:t>
            </w:r>
            <w:r>
              <w:rPr>
                <w:rFonts w:ascii="Times New Roman" w:hAnsi="Times New Roman"/>
                <w:sz w:val="22"/>
                <w:szCs w:val="22"/>
              </w:rPr>
              <w:t>, Table 5</w:t>
            </w:r>
          </w:p>
        </w:tc>
        <w:tc>
          <w:tcPr>
            <w:tcW w:w="1701" w:type="dxa"/>
            <w:vAlign w:val="bottom"/>
          </w:tcPr>
          <w:p w:rsidR="00BC496A" w:rsidRPr="008A4578" w:rsidRDefault="00BC496A" w:rsidP="007372A1">
            <w:pPr>
              <w:widowControl w:val="0"/>
              <w:tabs>
                <w:tab w:val="decimal" w:pos="736"/>
              </w:tabs>
              <w:adjustRightInd w:val="0"/>
              <w:spacing w:before="36" w:after="36"/>
              <w:ind w:left="-26" w:right="-108" w:firstLine="0"/>
              <w:jc w:val="left"/>
              <w:textAlignment w:val="baseline"/>
              <w:rPr>
                <w:bCs/>
                <w:sz w:val="22"/>
                <w:szCs w:val="22"/>
              </w:rPr>
            </w:pPr>
            <w:r>
              <w:rPr>
                <w:bCs/>
                <w:sz w:val="22"/>
                <w:szCs w:val="22"/>
              </w:rPr>
              <w:t>6.89</w:t>
            </w:r>
          </w:p>
        </w:tc>
        <w:tc>
          <w:tcPr>
            <w:tcW w:w="1698" w:type="dxa"/>
            <w:vAlign w:val="bottom"/>
          </w:tcPr>
          <w:p w:rsidR="00BC496A" w:rsidRPr="00D37786" w:rsidRDefault="00BC496A" w:rsidP="007372A1">
            <w:pPr>
              <w:widowControl w:val="0"/>
              <w:tabs>
                <w:tab w:val="decimal" w:pos="594"/>
              </w:tabs>
              <w:adjustRightInd w:val="0"/>
              <w:spacing w:before="36" w:after="36"/>
              <w:ind w:left="-26" w:right="-108" w:firstLine="0"/>
              <w:jc w:val="left"/>
              <w:textAlignment w:val="baseline"/>
              <w:rPr>
                <w:b/>
                <w:bCs/>
                <w:sz w:val="22"/>
                <w:szCs w:val="22"/>
              </w:rPr>
            </w:pPr>
            <w:r>
              <w:rPr>
                <w:b/>
                <w:bCs/>
                <w:sz w:val="22"/>
                <w:szCs w:val="22"/>
              </w:rPr>
              <w:t>5</w:t>
            </w:r>
            <w:r w:rsidRPr="00D37786">
              <w:rPr>
                <w:b/>
                <w:bCs/>
                <w:sz w:val="22"/>
                <w:szCs w:val="22"/>
              </w:rPr>
              <w:t>.13</w:t>
            </w:r>
          </w:p>
        </w:tc>
      </w:tr>
      <w:tr w:rsidR="00BC496A" w:rsidTr="007372A1">
        <w:trPr>
          <w:jc w:val="center"/>
        </w:trPr>
        <w:tc>
          <w:tcPr>
            <w:tcW w:w="3445"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S</w:t>
            </w:r>
            <w:r w:rsidRPr="00F3332B">
              <w:rPr>
                <w:rFonts w:ascii="Times New Roman" w:hAnsi="Times New Roman"/>
                <w:sz w:val="22"/>
                <w:szCs w:val="22"/>
              </w:rPr>
              <w:t>FLQ (</w:t>
            </w:r>
            <w:r>
              <w:t xml:space="preserve">optimal </w:t>
            </w:r>
            <w:r w:rsidRPr="00CE2009">
              <w:rPr>
                <w:i/>
                <w:color w:val="000000"/>
              </w:rPr>
              <w:t>δ</w:t>
            </w:r>
            <w:r>
              <w:rPr>
                <w:i/>
                <w:color w:val="000000"/>
                <w:vertAlign w:val="subscript"/>
              </w:rPr>
              <w:t>j</w:t>
            </w:r>
            <w:r w:rsidRPr="00F3332B">
              <w:rPr>
                <w:rFonts w:ascii="Times New Roman" w:hAnsi="Times New Roman"/>
                <w:sz w:val="22"/>
                <w:szCs w:val="22"/>
              </w:rPr>
              <w:t>)</w:t>
            </w:r>
            <w:r>
              <w:rPr>
                <w:rFonts w:ascii="Times New Roman" w:hAnsi="Times New Roman"/>
                <w:sz w:val="22"/>
                <w:szCs w:val="22"/>
              </w:rPr>
              <w:t>, Table 7</w:t>
            </w:r>
          </w:p>
        </w:tc>
        <w:tc>
          <w:tcPr>
            <w:tcW w:w="1701" w:type="dxa"/>
            <w:vAlign w:val="bottom"/>
          </w:tcPr>
          <w:p w:rsidR="00BC496A" w:rsidRPr="008A4578" w:rsidRDefault="00BC496A" w:rsidP="007372A1">
            <w:pPr>
              <w:widowControl w:val="0"/>
              <w:tabs>
                <w:tab w:val="decimal" w:pos="736"/>
              </w:tabs>
              <w:adjustRightInd w:val="0"/>
              <w:spacing w:before="60" w:after="60"/>
              <w:ind w:right="-108" w:firstLine="0"/>
              <w:jc w:val="left"/>
              <w:textAlignment w:val="baseline"/>
              <w:rPr>
                <w:bCs/>
                <w:sz w:val="22"/>
                <w:szCs w:val="22"/>
              </w:rPr>
            </w:pPr>
            <w:r>
              <w:rPr>
                <w:bCs/>
                <w:sz w:val="22"/>
                <w:szCs w:val="22"/>
              </w:rPr>
              <w:t>1.85</w:t>
            </w:r>
          </w:p>
        </w:tc>
        <w:tc>
          <w:tcPr>
            <w:tcW w:w="1698" w:type="dxa"/>
            <w:vAlign w:val="bottom"/>
          </w:tcPr>
          <w:p w:rsidR="00BC496A" w:rsidRPr="008A4578" w:rsidRDefault="00BC496A" w:rsidP="007372A1">
            <w:pPr>
              <w:widowControl w:val="0"/>
              <w:tabs>
                <w:tab w:val="decimal" w:pos="594"/>
              </w:tabs>
              <w:adjustRightInd w:val="0"/>
              <w:spacing w:before="60" w:after="60"/>
              <w:ind w:left="-26" w:right="-108" w:firstLine="0"/>
              <w:jc w:val="left"/>
              <w:textAlignment w:val="baseline"/>
              <w:rPr>
                <w:bCs/>
                <w:sz w:val="22"/>
                <w:szCs w:val="22"/>
              </w:rPr>
            </w:pPr>
            <w:r>
              <w:rPr>
                <w:bCs/>
                <w:sz w:val="22"/>
                <w:szCs w:val="22"/>
              </w:rPr>
              <w:t>2.04</w:t>
            </w:r>
          </w:p>
        </w:tc>
      </w:tr>
      <w:tr w:rsidR="00BC496A" w:rsidTr="007372A1">
        <w:trPr>
          <w:jc w:val="center"/>
        </w:trPr>
        <w:tc>
          <w:tcPr>
            <w:tcW w:w="3445"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Pr>
                <w:rFonts w:ascii="Times New Roman" w:hAnsi="Times New Roman"/>
                <w:sz w:val="22"/>
                <w:szCs w:val="22"/>
              </w:rPr>
              <w:t>S</w:t>
            </w:r>
            <w:r w:rsidRPr="00F3332B">
              <w:rPr>
                <w:rFonts w:ascii="Times New Roman" w:hAnsi="Times New Roman"/>
                <w:sz w:val="22"/>
                <w:szCs w:val="22"/>
              </w:rPr>
              <w:t>FLQ (</w:t>
            </w:r>
            <w:r>
              <w:rPr>
                <w:rFonts w:ascii="Times New Roman" w:hAnsi="Times New Roman"/>
                <w:sz w:val="22"/>
                <w:szCs w:val="22"/>
              </w:rPr>
              <w:t xml:space="preserve">estimated </w:t>
            </w:r>
            <w:r w:rsidRPr="00CE2009">
              <w:rPr>
                <w:i/>
                <w:color w:val="000000"/>
              </w:rPr>
              <w:t>δ</w:t>
            </w:r>
            <w:r>
              <w:rPr>
                <w:i/>
                <w:color w:val="000000"/>
                <w:vertAlign w:val="subscript"/>
              </w:rPr>
              <w:t>j</w:t>
            </w:r>
            <w:r w:rsidRPr="00F3332B">
              <w:rPr>
                <w:rFonts w:ascii="Times New Roman" w:hAnsi="Times New Roman"/>
                <w:sz w:val="22"/>
                <w:szCs w:val="22"/>
              </w:rPr>
              <w:t>)</w:t>
            </w:r>
            <w:r>
              <w:rPr>
                <w:rFonts w:ascii="Times New Roman" w:hAnsi="Times New Roman"/>
                <w:sz w:val="22"/>
                <w:szCs w:val="22"/>
              </w:rPr>
              <w:t>, Table 7</w:t>
            </w:r>
          </w:p>
        </w:tc>
        <w:tc>
          <w:tcPr>
            <w:tcW w:w="1701" w:type="dxa"/>
            <w:vAlign w:val="bottom"/>
          </w:tcPr>
          <w:p w:rsidR="00BC496A" w:rsidRPr="008A4578" w:rsidRDefault="00BC496A" w:rsidP="007372A1">
            <w:pPr>
              <w:widowControl w:val="0"/>
              <w:tabs>
                <w:tab w:val="decimal" w:pos="736"/>
              </w:tabs>
              <w:adjustRightInd w:val="0"/>
              <w:spacing w:before="60" w:after="60"/>
              <w:ind w:left="-26" w:right="-108" w:firstLine="0"/>
              <w:jc w:val="left"/>
              <w:textAlignment w:val="baseline"/>
              <w:rPr>
                <w:bCs/>
                <w:sz w:val="22"/>
                <w:szCs w:val="22"/>
              </w:rPr>
            </w:pPr>
            <w:r>
              <w:rPr>
                <w:bCs/>
                <w:sz w:val="22"/>
                <w:szCs w:val="22"/>
              </w:rPr>
              <w:t>4.66</w:t>
            </w:r>
          </w:p>
        </w:tc>
        <w:tc>
          <w:tcPr>
            <w:tcW w:w="1698" w:type="dxa"/>
            <w:vAlign w:val="bottom"/>
          </w:tcPr>
          <w:p w:rsidR="00BC496A" w:rsidRPr="008A4578" w:rsidRDefault="00BC496A" w:rsidP="007372A1">
            <w:pPr>
              <w:widowControl w:val="0"/>
              <w:tabs>
                <w:tab w:val="decimal" w:pos="594"/>
              </w:tabs>
              <w:adjustRightInd w:val="0"/>
              <w:spacing w:before="60" w:after="60"/>
              <w:ind w:left="-26" w:right="-108" w:firstLine="0"/>
              <w:jc w:val="left"/>
              <w:textAlignment w:val="baseline"/>
              <w:rPr>
                <w:bCs/>
                <w:sz w:val="22"/>
                <w:szCs w:val="22"/>
              </w:rPr>
            </w:pPr>
            <w:r>
              <w:rPr>
                <w:bCs/>
                <w:sz w:val="22"/>
                <w:szCs w:val="22"/>
              </w:rPr>
              <w:t>5.20</w:t>
            </w:r>
          </w:p>
        </w:tc>
      </w:tr>
      <w:tr w:rsidR="00BC496A" w:rsidTr="007372A1">
        <w:trPr>
          <w:jc w:val="center"/>
        </w:trPr>
        <w:tc>
          <w:tcPr>
            <w:tcW w:w="3445"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S</w:t>
            </w:r>
            <w:r w:rsidRPr="00F3332B">
              <w:rPr>
                <w:rFonts w:ascii="Times New Roman" w:hAnsi="Times New Roman"/>
                <w:sz w:val="22"/>
                <w:szCs w:val="22"/>
              </w:rPr>
              <w:t>FLQ (</w:t>
            </w:r>
            <w:r>
              <w:t xml:space="preserve">optimal </w:t>
            </w:r>
            <w:r w:rsidRPr="00CE2009">
              <w:rPr>
                <w:i/>
                <w:color w:val="000000"/>
              </w:rPr>
              <w:t>δ</w:t>
            </w:r>
            <w:r>
              <w:rPr>
                <w:i/>
                <w:color w:val="000000"/>
                <w:vertAlign w:val="subscript"/>
              </w:rPr>
              <w:t>j</w:t>
            </w:r>
            <w:r w:rsidRPr="00F3332B">
              <w:rPr>
                <w:rFonts w:ascii="Times New Roman" w:hAnsi="Times New Roman"/>
                <w:sz w:val="22"/>
                <w:szCs w:val="22"/>
              </w:rPr>
              <w:t>)</w:t>
            </w:r>
            <w:r>
              <w:rPr>
                <w:rFonts w:ascii="Times New Roman" w:hAnsi="Times New Roman"/>
                <w:sz w:val="22"/>
                <w:szCs w:val="22"/>
              </w:rPr>
              <w:t>, Zhao and Choi</w:t>
            </w:r>
          </w:p>
        </w:tc>
        <w:tc>
          <w:tcPr>
            <w:tcW w:w="1701" w:type="dxa"/>
            <w:vAlign w:val="bottom"/>
          </w:tcPr>
          <w:p w:rsidR="00BC496A" w:rsidRPr="00114690" w:rsidRDefault="00BC496A" w:rsidP="007372A1">
            <w:pPr>
              <w:widowControl w:val="0"/>
              <w:tabs>
                <w:tab w:val="decimal" w:pos="736"/>
              </w:tabs>
              <w:adjustRightInd w:val="0"/>
              <w:spacing w:before="60" w:after="60"/>
              <w:ind w:left="-26" w:right="-108" w:firstLine="0"/>
              <w:jc w:val="left"/>
              <w:textAlignment w:val="baseline"/>
              <w:rPr>
                <w:bCs/>
                <w:sz w:val="22"/>
                <w:szCs w:val="22"/>
              </w:rPr>
            </w:pPr>
            <w:r>
              <w:rPr>
                <w:bCs/>
                <w:sz w:val="22"/>
                <w:szCs w:val="22"/>
              </w:rPr>
              <w:t>2.885</w:t>
            </w:r>
          </w:p>
        </w:tc>
        <w:tc>
          <w:tcPr>
            <w:tcW w:w="1698" w:type="dxa"/>
            <w:vAlign w:val="bottom"/>
          </w:tcPr>
          <w:p w:rsidR="00BC496A" w:rsidRPr="00114690" w:rsidRDefault="00BC496A" w:rsidP="007372A1">
            <w:pPr>
              <w:widowControl w:val="0"/>
              <w:tabs>
                <w:tab w:val="decimal" w:pos="594"/>
              </w:tabs>
              <w:adjustRightInd w:val="0"/>
              <w:spacing w:before="60" w:after="60"/>
              <w:ind w:left="-26" w:right="-108" w:firstLine="0"/>
              <w:jc w:val="left"/>
              <w:textAlignment w:val="baseline"/>
              <w:rPr>
                <w:bCs/>
                <w:sz w:val="22"/>
                <w:szCs w:val="22"/>
              </w:rPr>
            </w:pPr>
            <w:r>
              <w:rPr>
                <w:bCs/>
                <w:sz w:val="22"/>
                <w:szCs w:val="22"/>
              </w:rPr>
              <w:t>2.121</w:t>
            </w:r>
          </w:p>
        </w:tc>
      </w:tr>
      <w:tr w:rsidR="00BC496A" w:rsidTr="007372A1">
        <w:trPr>
          <w:jc w:val="center"/>
        </w:trPr>
        <w:tc>
          <w:tcPr>
            <w:tcW w:w="3445" w:type="dxa"/>
          </w:tcPr>
          <w:p w:rsidR="00BC496A" w:rsidRPr="00F3332B" w:rsidRDefault="00BC496A" w:rsidP="007372A1">
            <w:pPr>
              <w:pStyle w:val="Normaali1"/>
              <w:spacing w:before="60" w:after="60" w:line="240" w:lineRule="auto"/>
              <w:ind w:left="-4" w:right="-115"/>
              <w:jc w:val="left"/>
              <w:rPr>
                <w:rFonts w:ascii="Times New Roman" w:hAnsi="Times New Roman"/>
                <w:sz w:val="22"/>
                <w:szCs w:val="22"/>
              </w:rPr>
            </w:pPr>
            <w:r>
              <w:rPr>
                <w:rFonts w:ascii="Times New Roman" w:hAnsi="Times New Roman"/>
                <w:sz w:val="22"/>
                <w:szCs w:val="22"/>
              </w:rPr>
              <w:t>S</w:t>
            </w:r>
            <w:r w:rsidRPr="00F3332B">
              <w:rPr>
                <w:rFonts w:ascii="Times New Roman" w:hAnsi="Times New Roman"/>
                <w:sz w:val="22"/>
                <w:szCs w:val="22"/>
              </w:rPr>
              <w:t>FLQ (</w:t>
            </w:r>
            <w:r>
              <w:rPr>
                <w:rFonts w:ascii="Times New Roman" w:hAnsi="Times New Roman"/>
                <w:sz w:val="22"/>
                <w:szCs w:val="22"/>
              </w:rPr>
              <w:t xml:space="preserve">estimated </w:t>
            </w:r>
            <w:r w:rsidRPr="00CE2009">
              <w:rPr>
                <w:i/>
                <w:color w:val="000000"/>
              </w:rPr>
              <w:t>δ</w:t>
            </w:r>
            <w:r>
              <w:rPr>
                <w:i/>
                <w:color w:val="000000"/>
                <w:vertAlign w:val="subscript"/>
              </w:rPr>
              <w:t>j</w:t>
            </w:r>
            <w:r w:rsidRPr="00F3332B">
              <w:rPr>
                <w:rFonts w:ascii="Times New Roman" w:hAnsi="Times New Roman"/>
                <w:sz w:val="22"/>
                <w:szCs w:val="22"/>
              </w:rPr>
              <w:t>)</w:t>
            </w:r>
            <w:r>
              <w:rPr>
                <w:rFonts w:ascii="Times New Roman" w:hAnsi="Times New Roman"/>
                <w:sz w:val="22"/>
                <w:szCs w:val="22"/>
              </w:rPr>
              <w:t>, Zhao and Choi</w:t>
            </w:r>
          </w:p>
        </w:tc>
        <w:tc>
          <w:tcPr>
            <w:tcW w:w="1701" w:type="dxa"/>
            <w:vAlign w:val="bottom"/>
          </w:tcPr>
          <w:p w:rsidR="00BC496A" w:rsidRPr="00114690" w:rsidRDefault="00BC496A" w:rsidP="007372A1">
            <w:pPr>
              <w:widowControl w:val="0"/>
              <w:tabs>
                <w:tab w:val="decimal" w:pos="736"/>
              </w:tabs>
              <w:adjustRightInd w:val="0"/>
              <w:spacing w:before="60" w:after="60"/>
              <w:ind w:left="-26" w:right="-108" w:firstLine="0"/>
              <w:jc w:val="left"/>
              <w:textAlignment w:val="baseline"/>
              <w:rPr>
                <w:bCs/>
                <w:sz w:val="22"/>
                <w:szCs w:val="22"/>
              </w:rPr>
            </w:pPr>
            <w:r>
              <w:rPr>
                <w:bCs/>
                <w:sz w:val="22"/>
                <w:szCs w:val="22"/>
              </w:rPr>
              <w:t>19.536</w:t>
            </w:r>
          </w:p>
        </w:tc>
        <w:tc>
          <w:tcPr>
            <w:tcW w:w="1698" w:type="dxa"/>
            <w:vAlign w:val="bottom"/>
          </w:tcPr>
          <w:p w:rsidR="00BC496A" w:rsidRPr="00114690" w:rsidRDefault="00BC496A" w:rsidP="007372A1">
            <w:pPr>
              <w:widowControl w:val="0"/>
              <w:tabs>
                <w:tab w:val="decimal" w:pos="594"/>
              </w:tabs>
              <w:adjustRightInd w:val="0"/>
              <w:spacing w:before="60" w:after="60"/>
              <w:ind w:left="-26" w:right="-108" w:firstLine="0"/>
              <w:jc w:val="left"/>
              <w:textAlignment w:val="baseline"/>
              <w:rPr>
                <w:bCs/>
                <w:sz w:val="22"/>
                <w:szCs w:val="22"/>
              </w:rPr>
            </w:pPr>
            <w:r>
              <w:rPr>
                <w:bCs/>
                <w:sz w:val="22"/>
                <w:szCs w:val="22"/>
              </w:rPr>
              <w:t>15.719</w:t>
            </w:r>
          </w:p>
        </w:tc>
      </w:tr>
    </w:tbl>
    <w:p w:rsidR="00BC496A" w:rsidRDefault="00BC496A" w:rsidP="00BC496A">
      <w:pPr>
        <w:spacing w:before="120"/>
        <w:ind w:left="1134" w:right="947" w:firstLine="0"/>
        <w:jc w:val="left"/>
        <w:rPr>
          <w:sz w:val="22"/>
          <w:szCs w:val="22"/>
        </w:rPr>
      </w:pPr>
      <w:r>
        <w:rPr>
          <w:i/>
          <w:lang w:val="en-US"/>
        </w:rPr>
        <w:t>Source:</w:t>
      </w:r>
      <w:r>
        <w:rPr>
          <w:lang w:val="en-US"/>
        </w:rPr>
        <w:t xml:space="preserve"> </w:t>
      </w:r>
      <w:r>
        <w:rPr>
          <w:sz w:val="22"/>
          <w:szCs w:val="22"/>
          <w:lang w:val="en-US"/>
        </w:rPr>
        <w:t xml:space="preserve">Authors’ own calculations based on </w:t>
      </w:r>
      <w:r>
        <w:rPr>
          <w:i/>
          <w:sz w:val="22"/>
          <w:szCs w:val="22"/>
          <w:lang w:val="en-US"/>
        </w:rPr>
        <w:t>n</w:t>
      </w:r>
      <w:r>
        <w:rPr>
          <w:sz w:val="22"/>
          <w:szCs w:val="22"/>
          <w:lang w:val="en-US"/>
        </w:rPr>
        <w:t xml:space="preserve"> = 28 (Table 5) and </w:t>
      </w:r>
      <w:r>
        <w:rPr>
          <w:i/>
          <w:sz w:val="22"/>
          <w:szCs w:val="22"/>
          <w:lang w:val="en-US"/>
        </w:rPr>
        <w:t>n</w:t>
      </w:r>
      <w:r>
        <w:rPr>
          <w:sz w:val="22"/>
          <w:szCs w:val="22"/>
          <w:lang w:val="en-US"/>
        </w:rPr>
        <w:t xml:space="preserve"> = 27 (Table 7)</w:t>
      </w:r>
      <w:r>
        <w:rPr>
          <w:sz w:val="22"/>
          <w:szCs w:val="22"/>
        </w:rPr>
        <w:t>; Zhao and Choi (2015, tables 4 and 5)</w:t>
      </w:r>
    </w:p>
    <w:p w:rsidR="00BC496A" w:rsidRDefault="00BC496A" w:rsidP="00BC496A">
      <w:pPr>
        <w:spacing w:after="0"/>
        <w:ind w:firstLine="0"/>
        <w:jc w:val="left"/>
        <w:rPr>
          <w:sz w:val="22"/>
          <w:szCs w:val="22"/>
        </w:rPr>
      </w:pPr>
    </w:p>
    <w:p w:rsidR="00BC496A" w:rsidRDefault="00BC496A" w:rsidP="00BC496A">
      <w:pPr>
        <w:ind w:left="1134" w:right="946" w:firstLine="0"/>
        <w:jc w:val="left"/>
        <w:rPr>
          <w:color w:val="000000"/>
          <w:szCs w:val="26"/>
        </w:rPr>
      </w:pPr>
      <w:r w:rsidRPr="002C6D87">
        <w:rPr>
          <w:b/>
          <w:color w:val="000000"/>
          <w:szCs w:val="26"/>
        </w:rPr>
        <w:t xml:space="preserve">Table </w:t>
      </w:r>
      <w:r>
        <w:rPr>
          <w:b/>
          <w:color w:val="000000"/>
          <w:szCs w:val="26"/>
        </w:rPr>
        <w:t>9</w:t>
      </w:r>
      <w:r>
        <w:rPr>
          <w:color w:val="000000"/>
          <w:szCs w:val="26"/>
        </w:rPr>
        <w:t xml:space="preserve">  </w:t>
      </w:r>
      <w:r w:rsidRPr="005C4B7A">
        <w:rPr>
          <w:color w:val="000000"/>
          <w:szCs w:val="26"/>
        </w:rPr>
        <w:t>Accuracy</w:t>
      </w:r>
      <w:r>
        <w:rPr>
          <w:color w:val="000000"/>
          <w:szCs w:val="26"/>
        </w:rPr>
        <w:t xml:space="preserve"> of estimated type I output</w:t>
      </w:r>
      <w:r w:rsidRPr="005C4B7A">
        <w:rPr>
          <w:color w:val="000000"/>
          <w:szCs w:val="26"/>
        </w:rPr>
        <w:t xml:space="preserve"> </w:t>
      </w:r>
      <w:r>
        <w:rPr>
          <w:color w:val="000000"/>
          <w:szCs w:val="26"/>
        </w:rPr>
        <w:t>multipliers for two South Korean regions</w:t>
      </w:r>
      <w:r>
        <w:rPr>
          <w:b/>
          <w:lang w:val="en-US"/>
        </w:rPr>
        <w:t xml:space="preserve"> </w:t>
      </w:r>
      <w:r w:rsidRPr="005C4B7A">
        <w:rPr>
          <w:color w:val="000000"/>
          <w:szCs w:val="26"/>
        </w:rPr>
        <w:t>in 200</w:t>
      </w:r>
      <w:r>
        <w:rPr>
          <w:color w:val="000000"/>
          <w:szCs w:val="26"/>
        </w:rPr>
        <w:t>5 using alternative forms of Kowalewski’s regression model (MAPE based on 27 sectors)</w:t>
      </w:r>
    </w:p>
    <w:tbl>
      <w:tblPr>
        <w:tblW w:w="6844" w:type="dxa"/>
        <w:jc w:val="center"/>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3445"/>
        <w:gridCol w:w="1701"/>
        <w:gridCol w:w="1698"/>
      </w:tblGrid>
      <w:tr w:rsidR="00BC496A" w:rsidTr="007372A1">
        <w:trPr>
          <w:trHeight w:val="311"/>
          <w:jc w:val="center"/>
        </w:trPr>
        <w:tc>
          <w:tcPr>
            <w:tcW w:w="3445" w:type="dxa"/>
            <w:vMerge w:val="restart"/>
          </w:tcPr>
          <w:p w:rsidR="00BC496A" w:rsidRDefault="00BC496A" w:rsidP="007372A1">
            <w:pPr>
              <w:pStyle w:val="Normaali1"/>
              <w:spacing w:before="60" w:after="60" w:line="240" w:lineRule="auto"/>
              <w:ind w:left="-4" w:right="125"/>
              <w:rPr>
                <w:rFonts w:ascii="Times New Roman" w:hAnsi="Times New Roman"/>
                <w:sz w:val="22"/>
                <w:szCs w:val="22"/>
              </w:rPr>
            </w:pPr>
          </w:p>
          <w:p w:rsidR="00BC496A" w:rsidRPr="00F3332B" w:rsidRDefault="00BC496A" w:rsidP="007372A1">
            <w:pPr>
              <w:pStyle w:val="Normaali1"/>
              <w:spacing w:before="60" w:after="60" w:line="240" w:lineRule="auto"/>
              <w:ind w:left="-6" w:right="125"/>
              <w:rPr>
                <w:rFonts w:ascii="Times New Roman" w:hAnsi="Times New Roman"/>
                <w:sz w:val="22"/>
                <w:szCs w:val="22"/>
              </w:rPr>
            </w:pPr>
            <w:r>
              <w:rPr>
                <w:rFonts w:ascii="Times New Roman" w:hAnsi="Times New Roman"/>
                <w:sz w:val="22"/>
                <w:szCs w:val="22"/>
              </w:rPr>
              <w:t>Method</w:t>
            </w:r>
          </w:p>
        </w:tc>
        <w:tc>
          <w:tcPr>
            <w:tcW w:w="3399" w:type="dxa"/>
            <w:gridSpan w:val="2"/>
          </w:tcPr>
          <w:p w:rsidR="00BC496A" w:rsidRPr="00F3332B" w:rsidRDefault="00BC496A" w:rsidP="007372A1">
            <w:pPr>
              <w:pStyle w:val="Normaali1"/>
              <w:spacing w:before="60" w:after="60" w:line="240" w:lineRule="auto"/>
              <w:ind w:left="-37" w:right="23"/>
              <w:jc w:val="center"/>
              <w:rPr>
                <w:rFonts w:ascii="Times New Roman" w:hAnsi="Times New Roman"/>
                <w:sz w:val="22"/>
                <w:szCs w:val="22"/>
              </w:rPr>
            </w:pPr>
            <w:r>
              <w:rPr>
                <w:rFonts w:ascii="Times New Roman" w:hAnsi="Times New Roman"/>
                <w:sz w:val="22"/>
                <w:szCs w:val="22"/>
              </w:rPr>
              <w:t>Region</w:t>
            </w:r>
          </w:p>
        </w:tc>
      </w:tr>
      <w:tr w:rsidR="00BC496A" w:rsidTr="007372A1">
        <w:trPr>
          <w:trHeight w:val="310"/>
          <w:jc w:val="center"/>
        </w:trPr>
        <w:tc>
          <w:tcPr>
            <w:tcW w:w="3445" w:type="dxa"/>
            <w:vMerge/>
          </w:tcPr>
          <w:p w:rsidR="00BC496A" w:rsidRPr="00F3332B" w:rsidRDefault="00BC496A" w:rsidP="007372A1">
            <w:pPr>
              <w:pStyle w:val="Normaali1"/>
              <w:spacing w:before="60" w:after="60" w:line="240" w:lineRule="auto"/>
              <w:ind w:left="5" w:right="125"/>
              <w:rPr>
                <w:rFonts w:ascii="Times New Roman" w:hAnsi="Times New Roman"/>
                <w:sz w:val="22"/>
                <w:szCs w:val="22"/>
              </w:rPr>
            </w:pPr>
          </w:p>
        </w:tc>
        <w:tc>
          <w:tcPr>
            <w:tcW w:w="1701" w:type="dxa"/>
          </w:tcPr>
          <w:p w:rsidR="00BC496A" w:rsidRDefault="00BC496A" w:rsidP="007372A1">
            <w:pPr>
              <w:pStyle w:val="Normaali1"/>
              <w:spacing w:before="60" w:after="60" w:line="240" w:lineRule="auto"/>
              <w:ind w:left="-37" w:right="26"/>
              <w:jc w:val="center"/>
              <w:rPr>
                <w:rFonts w:ascii="Times New Roman" w:hAnsi="Times New Roman"/>
                <w:sz w:val="22"/>
                <w:szCs w:val="22"/>
              </w:rPr>
            </w:pPr>
            <w:r>
              <w:rPr>
                <w:rFonts w:ascii="Times New Roman" w:hAnsi="Times New Roman"/>
                <w:sz w:val="22"/>
                <w:szCs w:val="22"/>
              </w:rPr>
              <w:t>Daegu</w:t>
            </w:r>
          </w:p>
        </w:tc>
        <w:tc>
          <w:tcPr>
            <w:tcW w:w="1698" w:type="dxa"/>
          </w:tcPr>
          <w:p w:rsidR="00BC496A" w:rsidRDefault="00BC496A" w:rsidP="007372A1">
            <w:pPr>
              <w:pStyle w:val="Normaali1"/>
              <w:spacing w:before="60" w:after="60" w:line="240" w:lineRule="auto"/>
              <w:ind w:left="-37" w:right="23"/>
              <w:jc w:val="center"/>
              <w:rPr>
                <w:rFonts w:ascii="Times New Roman" w:hAnsi="Times New Roman"/>
                <w:sz w:val="22"/>
                <w:szCs w:val="22"/>
              </w:rPr>
            </w:pPr>
            <w:r>
              <w:rPr>
                <w:rFonts w:ascii="Times New Roman" w:hAnsi="Times New Roman"/>
                <w:sz w:val="22"/>
                <w:szCs w:val="22"/>
              </w:rPr>
              <w:t>Gyeongbuk</w:t>
            </w:r>
          </w:p>
        </w:tc>
      </w:tr>
      <w:tr w:rsidR="00BC496A" w:rsidTr="007372A1">
        <w:trPr>
          <w:jc w:val="center"/>
        </w:trPr>
        <w:tc>
          <w:tcPr>
            <w:tcW w:w="3445"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Pr>
                <w:rFonts w:ascii="Times New Roman" w:hAnsi="Times New Roman"/>
                <w:sz w:val="22"/>
                <w:szCs w:val="22"/>
              </w:rPr>
              <w:t>Linear model (10), Table 8</w:t>
            </w:r>
          </w:p>
        </w:tc>
        <w:tc>
          <w:tcPr>
            <w:tcW w:w="1701" w:type="dxa"/>
            <w:vAlign w:val="bottom"/>
          </w:tcPr>
          <w:p w:rsidR="00BC496A" w:rsidRPr="008A4578" w:rsidRDefault="00BC496A" w:rsidP="007372A1">
            <w:pPr>
              <w:widowControl w:val="0"/>
              <w:tabs>
                <w:tab w:val="decimal" w:pos="594"/>
              </w:tabs>
              <w:adjustRightInd w:val="0"/>
              <w:spacing w:before="60" w:after="60"/>
              <w:ind w:left="-26" w:right="-108" w:firstLine="0"/>
              <w:jc w:val="left"/>
              <w:textAlignment w:val="baseline"/>
              <w:rPr>
                <w:bCs/>
                <w:sz w:val="22"/>
                <w:szCs w:val="22"/>
              </w:rPr>
            </w:pPr>
            <w:r>
              <w:rPr>
                <w:bCs/>
                <w:sz w:val="22"/>
                <w:szCs w:val="22"/>
              </w:rPr>
              <w:t>4.66</w:t>
            </w:r>
          </w:p>
        </w:tc>
        <w:tc>
          <w:tcPr>
            <w:tcW w:w="1698" w:type="dxa"/>
            <w:vAlign w:val="bottom"/>
          </w:tcPr>
          <w:p w:rsidR="00BC496A" w:rsidRPr="008A4578" w:rsidRDefault="00BC496A" w:rsidP="007372A1">
            <w:pPr>
              <w:widowControl w:val="0"/>
              <w:tabs>
                <w:tab w:val="decimal" w:pos="594"/>
              </w:tabs>
              <w:adjustRightInd w:val="0"/>
              <w:spacing w:before="60" w:after="60"/>
              <w:ind w:left="-26" w:right="-108" w:firstLine="0"/>
              <w:jc w:val="left"/>
              <w:textAlignment w:val="baseline"/>
              <w:rPr>
                <w:bCs/>
                <w:sz w:val="22"/>
                <w:szCs w:val="22"/>
              </w:rPr>
            </w:pPr>
            <w:r>
              <w:rPr>
                <w:bCs/>
                <w:sz w:val="22"/>
                <w:szCs w:val="22"/>
              </w:rPr>
              <w:t>5.20</w:t>
            </w:r>
          </w:p>
        </w:tc>
      </w:tr>
      <w:tr w:rsidR="00BC496A" w:rsidTr="007372A1">
        <w:trPr>
          <w:jc w:val="center"/>
        </w:trPr>
        <w:tc>
          <w:tcPr>
            <w:tcW w:w="3445" w:type="dxa"/>
          </w:tcPr>
          <w:p w:rsidR="00BC496A" w:rsidRPr="00F3332B" w:rsidRDefault="00BC496A" w:rsidP="007372A1">
            <w:pPr>
              <w:pStyle w:val="Normaali1"/>
              <w:tabs>
                <w:tab w:val="left" w:pos="360"/>
                <w:tab w:val="left" w:pos="972"/>
              </w:tabs>
              <w:spacing w:before="60" w:after="60" w:line="240" w:lineRule="auto"/>
              <w:ind w:left="403" w:right="288" w:hanging="397"/>
              <w:rPr>
                <w:rFonts w:ascii="Times New Roman" w:hAnsi="Times New Roman"/>
                <w:sz w:val="22"/>
                <w:szCs w:val="22"/>
              </w:rPr>
            </w:pPr>
            <w:r>
              <w:rPr>
                <w:rFonts w:ascii="Times New Roman" w:hAnsi="Times New Roman"/>
                <w:sz w:val="22"/>
                <w:szCs w:val="22"/>
              </w:rPr>
              <w:t>Semi-log model (13)</w:t>
            </w:r>
          </w:p>
        </w:tc>
        <w:tc>
          <w:tcPr>
            <w:tcW w:w="1701" w:type="dxa"/>
            <w:vAlign w:val="bottom"/>
          </w:tcPr>
          <w:p w:rsidR="00BC496A" w:rsidRPr="008A4578" w:rsidRDefault="00BC496A" w:rsidP="007372A1">
            <w:pPr>
              <w:widowControl w:val="0"/>
              <w:tabs>
                <w:tab w:val="decimal" w:pos="594"/>
              </w:tabs>
              <w:adjustRightInd w:val="0"/>
              <w:spacing w:before="36" w:after="36"/>
              <w:ind w:left="-26" w:right="-108" w:firstLine="0"/>
              <w:jc w:val="left"/>
              <w:textAlignment w:val="baseline"/>
              <w:rPr>
                <w:bCs/>
                <w:sz w:val="22"/>
                <w:szCs w:val="22"/>
              </w:rPr>
            </w:pPr>
            <w:r>
              <w:rPr>
                <w:bCs/>
                <w:sz w:val="22"/>
                <w:szCs w:val="22"/>
              </w:rPr>
              <w:t>4.89</w:t>
            </w:r>
          </w:p>
        </w:tc>
        <w:tc>
          <w:tcPr>
            <w:tcW w:w="1698" w:type="dxa"/>
            <w:vAlign w:val="bottom"/>
          </w:tcPr>
          <w:p w:rsidR="00BC496A" w:rsidRPr="008A4578" w:rsidRDefault="00BC496A" w:rsidP="007372A1">
            <w:pPr>
              <w:widowControl w:val="0"/>
              <w:tabs>
                <w:tab w:val="decimal" w:pos="594"/>
              </w:tabs>
              <w:adjustRightInd w:val="0"/>
              <w:spacing w:before="36" w:after="36"/>
              <w:ind w:left="-26" w:right="-108" w:firstLine="0"/>
              <w:jc w:val="left"/>
              <w:textAlignment w:val="baseline"/>
              <w:rPr>
                <w:bCs/>
                <w:sz w:val="22"/>
                <w:szCs w:val="22"/>
              </w:rPr>
            </w:pPr>
            <w:r>
              <w:rPr>
                <w:bCs/>
                <w:sz w:val="22"/>
                <w:szCs w:val="22"/>
              </w:rPr>
              <w:t>4.99</w:t>
            </w:r>
          </w:p>
        </w:tc>
      </w:tr>
      <w:tr w:rsidR="00BC496A" w:rsidTr="007372A1">
        <w:trPr>
          <w:jc w:val="center"/>
        </w:trPr>
        <w:tc>
          <w:tcPr>
            <w:tcW w:w="3445" w:type="dxa"/>
          </w:tcPr>
          <w:p w:rsidR="00BC496A" w:rsidRPr="00F3332B" w:rsidRDefault="00BC496A" w:rsidP="007372A1">
            <w:pPr>
              <w:pStyle w:val="Normaali1"/>
              <w:spacing w:before="60" w:after="60" w:line="240" w:lineRule="auto"/>
              <w:ind w:right="-84" w:firstLine="6"/>
              <w:rPr>
                <w:rFonts w:ascii="Times New Roman" w:hAnsi="Times New Roman"/>
                <w:sz w:val="22"/>
                <w:szCs w:val="22"/>
              </w:rPr>
            </w:pPr>
            <w:r>
              <w:rPr>
                <w:rFonts w:ascii="Times New Roman" w:hAnsi="Times New Roman"/>
                <w:sz w:val="22"/>
                <w:szCs w:val="22"/>
              </w:rPr>
              <w:t>Double-log model (14)</w:t>
            </w:r>
          </w:p>
        </w:tc>
        <w:tc>
          <w:tcPr>
            <w:tcW w:w="1701" w:type="dxa"/>
            <w:vAlign w:val="bottom"/>
          </w:tcPr>
          <w:p w:rsidR="00BC496A" w:rsidRPr="00824263" w:rsidRDefault="00BC496A" w:rsidP="007372A1">
            <w:pPr>
              <w:widowControl w:val="0"/>
              <w:tabs>
                <w:tab w:val="decimal" w:pos="594"/>
              </w:tabs>
              <w:adjustRightInd w:val="0"/>
              <w:spacing w:before="36" w:after="36"/>
              <w:ind w:left="-26" w:right="-108" w:firstLine="0"/>
              <w:jc w:val="left"/>
              <w:textAlignment w:val="baseline"/>
              <w:rPr>
                <w:bCs/>
                <w:sz w:val="22"/>
                <w:szCs w:val="22"/>
              </w:rPr>
            </w:pPr>
            <w:r>
              <w:rPr>
                <w:bCs/>
                <w:sz w:val="22"/>
                <w:szCs w:val="22"/>
              </w:rPr>
              <w:t>4.72</w:t>
            </w:r>
          </w:p>
        </w:tc>
        <w:tc>
          <w:tcPr>
            <w:tcW w:w="1698" w:type="dxa"/>
            <w:vAlign w:val="bottom"/>
          </w:tcPr>
          <w:p w:rsidR="00BC496A" w:rsidRPr="008A4578" w:rsidRDefault="00BC496A" w:rsidP="007372A1">
            <w:pPr>
              <w:widowControl w:val="0"/>
              <w:tabs>
                <w:tab w:val="decimal" w:pos="594"/>
              </w:tabs>
              <w:adjustRightInd w:val="0"/>
              <w:spacing w:before="36" w:after="36"/>
              <w:ind w:left="-26" w:right="-108" w:firstLine="0"/>
              <w:jc w:val="left"/>
              <w:textAlignment w:val="baseline"/>
              <w:rPr>
                <w:bCs/>
                <w:sz w:val="22"/>
                <w:szCs w:val="22"/>
              </w:rPr>
            </w:pPr>
            <w:r>
              <w:rPr>
                <w:bCs/>
                <w:sz w:val="22"/>
                <w:szCs w:val="22"/>
              </w:rPr>
              <w:t>4.52</w:t>
            </w:r>
          </w:p>
        </w:tc>
      </w:tr>
    </w:tbl>
    <w:p w:rsidR="00BC496A" w:rsidRDefault="00BC496A" w:rsidP="00BC496A">
      <w:pPr>
        <w:spacing w:before="120"/>
        <w:ind w:left="1134" w:right="947" w:firstLine="0"/>
        <w:jc w:val="left"/>
        <w:rPr>
          <w:lang w:val="en-US"/>
        </w:rPr>
      </w:pPr>
      <w:r>
        <w:rPr>
          <w:i/>
          <w:lang w:val="en-US"/>
        </w:rPr>
        <w:t>Source:</w:t>
      </w:r>
      <w:r>
        <w:rPr>
          <w:lang w:val="en-US"/>
        </w:rPr>
        <w:t xml:space="preserve"> </w:t>
      </w:r>
      <w:r>
        <w:rPr>
          <w:sz w:val="22"/>
          <w:szCs w:val="22"/>
          <w:lang w:val="en-US"/>
        </w:rPr>
        <w:t>Authors’ own calculations</w:t>
      </w:r>
    </w:p>
    <w:p w:rsidR="00BC496A" w:rsidRDefault="00BC496A" w:rsidP="00BC496A">
      <w:pPr>
        <w:spacing w:after="0"/>
        <w:ind w:firstLine="0"/>
        <w:jc w:val="left"/>
        <w:rPr>
          <w:b/>
          <w:color w:val="000000"/>
          <w:szCs w:val="26"/>
        </w:rPr>
      </w:pPr>
    </w:p>
    <w:p w:rsidR="00BC496A" w:rsidRDefault="00BC496A" w:rsidP="00BC496A">
      <w:pPr>
        <w:ind w:left="1134" w:right="1229" w:hanging="141"/>
        <w:jc w:val="left"/>
        <w:rPr>
          <w:b/>
          <w:color w:val="000000"/>
          <w:szCs w:val="26"/>
        </w:rPr>
        <w:sectPr w:rsidR="00BC496A">
          <w:footerReference w:type="default" r:id="rId68"/>
          <w:pgSz w:w="11906" w:h="16838"/>
          <w:pgMar w:top="1440" w:right="1440" w:bottom="1440" w:left="1440" w:header="708" w:footer="708" w:gutter="0"/>
          <w:cols w:space="708"/>
          <w:docGrid w:linePitch="360"/>
        </w:sectPr>
      </w:pPr>
    </w:p>
    <w:p w:rsidR="00BC496A" w:rsidRDefault="00BC496A" w:rsidP="00BC496A">
      <w:pPr>
        <w:ind w:right="1229" w:firstLine="1843"/>
        <w:jc w:val="left"/>
        <w:rPr>
          <w:color w:val="000000"/>
          <w:szCs w:val="26"/>
        </w:rPr>
      </w:pPr>
      <w:r>
        <w:rPr>
          <w:b/>
          <w:color w:val="000000"/>
          <w:szCs w:val="26"/>
        </w:rPr>
        <w:t>Table 10</w:t>
      </w:r>
      <w:r>
        <w:rPr>
          <w:color w:val="000000"/>
          <w:szCs w:val="26"/>
        </w:rPr>
        <w:t xml:space="preserve">  Characteristics of South Korean regions in 2005</w:t>
      </w:r>
    </w:p>
    <w:tbl>
      <w:tblPr>
        <w:tblW w:w="10463" w:type="dxa"/>
        <w:jc w:val="center"/>
        <w:tblInd w:w="-96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63"/>
        <w:gridCol w:w="2288"/>
        <w:gridCol w:w="1114"/>
        <w:gridCol w:w="1418"/>
        <w:gridCol w:w="1720"/>
        <w:gridCol w:w="1843"/>
        <w:gridCol w:w="1417"/>
      </w:tblGrid>
      <w:tr w:rsidR="00BC496A" w:rsidTr="007372A1">
        <w:trPr>
          <w:trHeight w:val="538"/>
          <w:jc w:val="center"/>
        </w:trPr>
        <w:tc>
          <w:tcPr>
            <w:tcW w:w="663" w:type="dxa"/>
            <w:tcBorders>
              <w:top w:val="double" w:sz="4" w:space="0" w:color="auto"/>
              <w:left w:val="double" w:sz="4" w:space="0" w:color="auto"/>
              <w:right w:val="single" w:sz="4" w:space="0" w:color="auto"/>
            </w:tcBorders>
          </w:tcPr>
          <w:p w:rsidR="00BC496A" w:rsidRDefault="00BC496A" w:rsidP="007372A1">
            <w:pPr>
              <w:pStyle w:val="Normaali1"/>
              <w:spacing w:before="60" w:after="60" w:line="240" w:lineRule="auto"/>
              <w:ind w:left="-4" w:right="125"/>
              <w:jc w:val="left"/>
              <w:rPr>
                <w:rFonts w:ascii="Times New Roman" w:hAnsi="Times New Roman"/>
                <w:sz w:val="22"/>
                <w:szCs w:val="22"/>
              </w:rPr>
            </w:pPr>
          </w:p>
        </w:tc>
        <w:tc>
          <w:tcPr>
            <w:tcW w:w="2288"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240" w:after="60" w:line="240" w:lineRule="auto"/>
              <w:ind w:right="125"/>
              <w:rPr>
                <w:rFonts w:ascii="Times New Roman" w:hAnsi="Times New Roman"/>
                <w:sz w:val="22"/>
                <w:szCs w:val="22"/>
              </w:rPr>
            </w:pPr>
            <w:r>
              <w:rPr>
                <w:rFonts w:ascii="Times New Roman" w:hAnsi="Times New Roman"/>
                <w:sz w:val="22"/>
                <w:szCs w:val="22"/>
              </w:rPr>
              <w:t>Region</w:t>
            </w:r>
          </w:p>
        </w:tc>
        <w:tc>
          <w:tcPr>
            <w:tcW w:w="1114"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line="240" w:lineRule="auto"/>
              <w:ind w:left="-40" w:right="28"/>
              <w:jc w:val="center"/>
              <w:rPr>
                <w:rFonts w:ascii="Times New Roman" w:hAnsi="Times New Roman"/>
                <w:sz w:val="22"/>
                <w:szCs w:val="22"/>
              </w:rPr>
            </w:pPr>
            <w:r>
              <w:rPr>
                <w:rFonts w:ascii="Times New Roman" w:hAnsi="Times New Roman"/>
                <w:sz w:val="22"/>
                <w:szCs w:val="22"/>
              </w:rPr>
              <w:t>Output</w:t>
            </w:r>
          </w:p>
          <w:p w:rsidR="00BC496A" w:rsidRDefault="00BC496A" w:rsidP="007372A1">
            <w:pPr>
              <w:pStyle w:val="Normaali1"/>
              <w:spacing w:after="60" w:line="240" w:lineRule="auto"/>
              <w:ind w:left="-40" w:right="28"/>
              <w:jc w:val="center"/>
              <w:rPr>
                <w:rFonts w:ascii="Times New Roman" w:hAnsi="Times New Roman"/>
                <w:sz w:val="22"/>
                <w:szCs w:val="22"/>
              </w:rPr>
            </w:pPr>
            <w:r>
              <w:rPr>
                <w:rFonts w:ascii="Times New Roman" w:hAnsi="Times New Roman"/>
                <w:sz w:val="22"/>
                <w:szCs w:val="22"/>
              </w:rPr>
              <w:t>(%)</w:t>
            </w:r>
          </w:p>
        </w:tc>
        <w:tc>
          <w:tcPr>
            <w:tcW w:w="1418"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line="240" w:lineRule="auto"/>
              <w:ind w:left="-40" w:right="28"/>
              <w:jc w:val="center"/>
              <w:rPr>
                <w:rFonts w:ascii="Times New Roman" w:hAnsi="Times New Roman"/>
                <w:sz w:val="22"/>
                <w:szCs w:val="22"/>
              </w:rPr>
            </w:pPr>
            <w:r>
              <w:rPr>
                <w:rFonts w:ascii="Times New Roman" w:hAnsi="Times New Roman"/>
                <w:sz w:val="22"/>
                <w:szCs w:val="22"/>
              </w:rPr>
              <w:t>Employment</w:t>
            </w:r>
          </w:p>
          <w:p w:rsidR="00BC496A" w:rsidRDefault="00BC496A" w:rsidP="007372A1">
            <w:pPr>
              <w:pStyle w:val="Normaali1"/>
              <w:spacing w:after="60" w:line="240" w:lineRule="auto"/>
              <w:ind w:left="-40" w:right="28"/>
              <w:jc w:val="center"/>
              <w:rPr>
                <w:rFonts w:ascii="Times New Roman" w:hAnsi="Times New Roman"/>
                <w:sz w:val="22"/>
                <w:szCs w:val="22"/>
              </w:rPr>
            </w:pPr>
            <w:r>
              <w:rPr>
                <w:rFonts w:ascii="Times New Roman" w:hAnsi="Times New Roman"/>
                <w:sz w:val="22"/>
                <w:szCs w:val="22"/>
              </w:rPr>
              <w:t>(%)</w:t>
            </w:r>
          </w:p>
        </w:tc>
        <w:tc>
          <w:tcPr>
            <w:tcW w:w="1720" w:type="dxa"/>
            <w:tcBorders>
              <w:top w:val="double" w:sz="4" w:space="0" w:color="auto"/>
              <w:left w:val="single" w:sz="4" w:space="0" w:color="auto"/>
              <w:bottom w:val="single" w:sz="4" w:space="0" w:color="auto"/>
              <w:right w:val="single" w:sz="4" w:space="0" w:color="auto"/>
            </w:tcBorders>
          </w:tcPr>
          <w:p w:rsidR="00BC496A" w:rsidRPr="006E75E0" w:rsidRDefault="00BC496A" w:rsidP="007372A1">
            <w:pPr>
              <w:pStyle w:val="Normaali1"/>
              <w:spacing w:before="60" w:after="60" w:line="240" w:lineRule="auto"/>
              <w:ind w:left="-40"/>
              <w:jc w:val="center"/>
              <w:rPr>
                <w:rFonts w:ascii="Times New Roman" w:hAnsi="Times New Roman"/>
                <w:sz w:val="22"/>
                <w:szCs w:val="22"/>
              </w:rPr>
            </w:pPr>
            <w:r>
              <w:rPr>
                <w:rFonts w:ascii="Times New Roman" w:hAnsi="Times New Roman"/>
                <w:sz w:val="22"/>
                <w:szCs w:val="22"/>
              </w:rPr>
              <w:t>Share of imports from abroad</w:t>
            </w:r>
          </w:p>
        </w:tc>
        <w:tc>
          <w:tcPr>
            <w:tcW w:w="1843"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after="60" w:line="240" w:lineRule="auto"/>
              <w:ind w:left="-40"/>
              <w:jc w:val="center"/>
              <w:rPr>
                <w:rFonts w:ascii="Times New Roman" w:hAnsi="Times New Roman"/>
                <w:sz w:val="22"/>
                <w:szCs w:val="22"/>
              </w:rPr>
            </w:pPr>
            <w:r>
              <w:rPr>
                <w:rFonts w:ascii="Times New Roman" w:hAnsi="Times New Roman"/>
                <w:sz w:val="22"/>
                <w:szCs w:val="22"/>
              </w:rPr>
              <w:t>Share of imports from other regions</w:t>
            </w:r>
          </w:p>
        </w:tc>
        <w:tc>
          <w:tcPr>
            <w:tcW w:w="1417" w:type="dxa"/>
            <w:tcBorders>
              <w:top w:val="double" w:sz="4" w:space="0" w:color="auto"/>
              <w:left w:val="single" w:sz="4" w:space="0" w:color="auto"/>
              <w:bottom w:val="single" w:sz="4" w:space="0" w:color="auto"/>
              <w:right w:val="double" w:sz="4" w:space="0" w:color="auto"/>
            </w:tcBorders>
          </w:tcPr>
          <w:p w:rsidR="00BC496A" w:rsidRDefault="00BC496A" w:rsidP="007372A1">
            <w:pPr>
              <w:pStyle w:val="Normaali1"/>
              <w:spacing w:before="60" w:after="60" w:line="240" w:lineRule="auto"/>
              <w:ind w:left="-40"/>
              <w:jc w:val="center"/>
              <w:rPr>
                <w:rFonts w:ascii="Times New Roman" w:hAnsi="Times New Roman"/>
                <w:sz w:val="22"/>
                <w:szCs w:val="22"/>
              </w:rPr>
            </w:pPr>
            <w:r>
              <w:rPr>
                <w:rFonts w:ascii="Times New Roman" w:hAnsi="Times New Roman"/>
                <w:sz w:val="22"/>
                <w:szCs w:val="22"/>
              </w:rPr>
              <w:t>Herfindahl’s index (</w:t>
            </w:r>
            <w:r>
              <w:rPr>
                <w:rFonts w:ascii="Times New Roman" w:hAnsi="Times New Roman"/>
                <w:i/>
                <w:sz w:val="22"/>
                <w:szCs w:val="22"/>
              </w:rPr>
              <w:t>H</w:t>
            </w:r>
            <w:r>
              <w:rPr>
                <w:rFonts w:ascii="Times New Roman" w:hAnsi="Times New Roman"/>
                <w:i/>
                <w:sz w:val="22"/>
                <w:szCs w:val="22"/>
                <w:vertAlign w:val="subscript"/>
              </w:rPr>
              <w:t>r</w:t>
            </w:r>
            <w:r>
              <w:rPr>
                <w:rFonts w:ascii="Times New Roman" w:hAnsi="Times New Roman"/>
                <w:sz w:val="22"/>
                <w:szCs w:val="22"/>
              </w:rPr>
              <w:t>)</w:t>
            </w:r>
          </w:p>
        </w:tc>
      </w:tr>
      <w:tr w:rsidR="00BC496A" w:rsidTr="007372A1">
        <w:trPr>
          <w:trHeight w:val="375"/>
          <w:jc w:val="center"/>
        </w:trPr>
        <w:tc>
          <w:tcPr>
            <w:tcW w:w="663" w:type="dxa"/>
            <w:tcBorders>
              <w:left w:val="double" w:sz="4" w:space="0" w:color="auto"/>
              <w:right w:val="single" w:sz="4" w:space="0" w:color="auto"/>
            </w:tcBorders>
          </w:tcPr>
          <w:p w:rsidR="00BC496A" w:rsidRDefault="00BC496A" w:rsidP="007372A1">
            <w:pPr>
              <w:pStyle w:val="Normaali1"/>
              <w:tabs>
                <w:tab w:val="right" w:pos="274"/>
                <w:tab w:val="left" w:pos="972"/>
              </w:tabs>
              <w:spacing w:before="60" w:after="60" w:line="240" w:lineRule="auto"/>
              <w:ind w:left="-9" w:right="-115"/>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1</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Gyeonggi-do</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0"/>
              <w:rPr>
                <w:color w:val="000000"/>
                <w:sz w:val="22"/>
                <w:szCs w:val="22"/>
              </w:rPr>
            </w:pPr>
            <w:r w:rsidRPr="00620981">
              <w:rPr>
                <w:color w:val="000000"/>
                <w:sz w:val="22"/>
                <w:szCs w:val="22"/>
              </w:rPr>
              <w:t>20</w:t>
            </w:r>
            <w:r>
              <w:rPr>
                <w:color w:val="000000"/>
                <w:sz w:val="22"/>
                <w:szCs w:val="22"/>
              </w:rPr>
              <w:t>.</w:t>
            </w:r>
            <w:r w:rsidRPr="00620981">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0"/>
              <w:rPr>
                <w:color w:val="000000"/>
                <w:sz w:val="22"/>
                <w:szCs w:val="22"/>
              </w:rPr>
            </w:pPr>
            <w:r w:rsidRPr="00620981">
              <w:rPr>
                <w:color w:val="000000"/>
                <w:sz w:val="22"/>
                <w:szCs w:val="22"/>
              </w:rPr>
              <w:t>20</w:t>
            </w:r>
            <w:r>
              <w:rPr>
                <w:color w:val="000000"/>
                <w:sz w:val="22"/>
                <w:szCs w:val="22"/>
              </w:rPr>
              <w:t>.2</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0"/>
              <w:rPr>
                <w:color w:val="000000"/>
                <w:sz w:val="22"/>
                <w:szCs w:val="22"/>
              </w:rPr>
            </w:pPr>
            <w:r>
              <w:rPr>
                <w:color w:val="000000"/>
                <w:sz w:val="22"/>
                <w:szCs w:val="22"/>
              </w:rPr>
              <w:t>1</w:t>
            </w:r>
            <w:r w:rsidRPr="00620981">
              <w:rPr>
                <w:color w:val="000000"/>
                <w:sz w:val="22"/>
                <w:szCs w:val="22"/>
              </w:rPr>
              <w:t>2</w:t>
            </w:r>
            <w:r>
              <w:rPr>
                <w:color w:val="000000"/>
                <w:sz w:val="22"/>
                <w:szCs w:val="22"/>
              </w:rPr>
              <w:t>.0</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0"/>
              <w:rPr>
                <w:color w:val="000000"/>
                <w:sz w:val="22"/>
                <w:szCs w:val="22"/>
              </w:rPr>
            </w:pPr>
            <w:r w:rsidRPr="00620981">
              <w:rPr>
                <w:color w:val="000000"/>
                <w:sz w:val="22"/>
                <w:szCs w:val="22"/>
              </w:rPr>
              <w:t>2</w:t>
            </w:r>
            <w:r>
              <w:rPr>
                <w:color w:val="000000"/>
                <w:sz w:val="22"/>
                <w:szCs w:val="22"/>
              </w:rPr>
              <w:t>4.5</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0.070</w:t>
            </w:r>
          </w:p>
        </w:tc>
      </w:tr>
      <w:tr w:rsidR="00BC496A" w:rsidTr="007372A1">
        <w:trPr>
          <w:jc w:val="center"/>
        </w:trPr>
        <w:tc>
          <w:tcPr>
            <w:tcW w:w="663" w:type="dxa"/>
            <w:tcBorders>
              <w:left w:val="double" w:sz="4" w:space="0" w:color="auto"/>
              <w:right w:val="single" w:sz="4" w:space="0" w:color="auto"/>
            </w:tcBorders>
          </w:tcPr>
          <w:p w:rsidR="00BC496A" w:rsidRDefault="00BC496A" w:rsidP="007372A1">
            <w:pPr>
              <w:pStyle w:val="Normaali1"/>
              <w:tabs>
                <w:tab w:val="right" w:pos="270"/>
                <w:tab w:val="left" w:pos="972"/>
              </w:tabs>
              <w:spacing w:before="60" w:after="60" w:line="240" w:lineRule="auto"/>
              <w:ind w:left="-9" w:right="-115"/>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2</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Seoul</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0"/>
              <w:jc w:val="left"/>
              <w:rPr>
                <w:color w:val="000000"/>
                <w:sz w:val="22"/>
                <w:szCs w:val="22"/>
              </w:rPr>
            </w:pPr>
            <w:r w:rsidRPr="00620981">
              <w:rPr>
                <w:color w:val="000000"/>
                <w:sz w:val="22"/>
                <w:szCs w:val="22"/>
              </w:rPr>
              <w:t>18</w:t>
            </w:r>
            <w:r>
              <w:rPr>
                <w:color w:val="000000"/>
                <w:sz w:val="22"/>
                <w:szCs w:val="22"/>
              </w:rPr>
              <w:t>.</w:t>
            </w:r>
            <w:r w:rsidRPr="00620981">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0"/>
              <w:jc w:val="left"/>
              <w:rPr>
                <w:color w:val="000000"/>
                <w:sz w:val="22"/>
                <w:szCs w:val="22"/>
              </w:rPr>
            </w:pPr>
            <w:r>
              <w:rPr>
                <w:color w:val="000000"/>
                <w:sz w:val="22"/>
                <w:szCs w:val="22"/>
              </w:rPr>
              <w:t>25.4</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5A6CF0" w:rsidRDefault="00BC496A" w:rsidP="007372A1">
            <w:pPr>
              <w:tabs>
                <w:tab w:val="decimal" w:pos="635"/>
              </w:tabs>
              <w:spacing w:before="60" w:after="60"/>
              <w:ind w:firstLine="0"/>
              <w:jc w:val="left"/>
              <w:rPr>
                <w:color w:val="000000"/>
                <w:sz w:val="22"/>
                <w:szCs w:val="22"/>
              </w:rPr>
            </w:pPr>
            <w:r w:rsidRPr="005A6CF0">
              <w:rPr>
                <w:color w:val="000000"/>
                <w:sz w:val="22"/>
                <w:szCs w:val="22"/>
              </w:rPr>
              <w:t>6.0</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0"/>
              <w:jc w:val="left"/>
              <w:rPr>
                <w:color w:val="000000"/>
                <w:sz w:val="22"/>
                <w:szCs w:val="22"/>
              </w:rPr>
            </w:pPr>
            <w:r w:rsidRPr="00620981">
              <w:rPr>
                <w:color w:val="000000"/>
                <w:sz w:val="22"/>
                <w:szCs w:val="22"/>
              </w:rPr>
              <w:t>1</w:t>
            </w:r>
            <w:r>
              <w:rPr>
                <w:color w:val="000000"/>
                <w:sz w:val="22"/>
                <w:szCs w:val="22"/>
              </w:rPr>
              <w:t>7.3</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0.112</w:t>
            </w:r>
          </w:p>
        </w:tc>
      </w:tr>
      <w:tr w:rsidR="00BC496A" w:rsidTr="007372A1">
        <w:trPr>
          <w:jc w:val="center"/>
        </w:trPr>
        <w:tc>
          <w:tcPr>
            <w:tcW w:w="663" w:type="dxa"/>
            <w:tcBorders>
              <w:left w:val="double" w:sz="4" w:space="0" w:color="auto"/>
              <w:right w:val="single" w:sz="4" w:space="0" w:color="auto"/>
            </w:tcBorders>
          </w:tcPr>
          <w:p w:rsidR="00BC496A" w:rsidRDefault="00BC496A" w:rsidP="007372A1">
            <w:pPr>
              <w:pStyle w:val="Normaali1"/>
              <w:tabs>
                <w:tab w:val="right" w:pos="274"/>
              </w:tabs>
              <w:spacing w:before="60" w:after="60" w:line="240" w:lineRule="auto"/>
              <w:ind w:left="-9" w:right="-115"/>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3</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Gyeongbuk</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0"/>
              <w:jc w:val="left"/>
              <w:rPr>
                <w:color w:val="000000"/>
                <w:sz w:val="22"/>
                <w:szCs w:val="22"/>
              </w:rPr>
            </w:pPr>
            <w:r w:rsidRPr="00620981">
              <w:rPr>
                <w:color w:val="000000"/>
                <w:sz w:val="22"/>
                <w:szCs w:val="22"/>
              </w:rPr>
              <w:t>8</w:t>
            </w:r>
            <w:r>
              <w:rPr>
                <w:color w:val="000000"/>
                <w:sz w:val="22"/>
                <w:szCs w:val="22"/>
              </w:rPr>
              <w:t>.</w:t>
            </w:r>
            <w:r w:rsidRPr="00620981">
              <w:rPr>
                <w:color w:val="000000"/>
                <w:sz w:val="22"/>
                <w:szCs w:val="22"/>
              </w:rPr>
              <w:t>4</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0"/>
              <w:jc w:val="left"/>
              <w:rPr>
                <w:color w:val="000000"/>
                <w:sz w:val="22"/>
                <w:szCs w:val="22"/>
              </w:rPr>
            </w:pPr>
            <w:r>
              <w:rPr>
                <w:color w:val="000000"/>
                <w:sz w:val="22"/>
                <w:szCs w:val="22"/>
              </w:rPr>
              <w:t>5.</w:t>
            </w:r>
            <w:r w:rsidRPr="00620981">
              <w:rPr>
                <w:color w:val="000000"/>
                <w:sz w:val="22"/>
                <w:szCs w:val="22"/>
              </w:rPr>
              <w:t>4</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0"/>
              <w:jc w:val="left"/>
              <w:rPr>
                <w:color w:val="000000"/>
                <w:sz w:val="22"/>
                <w:szCs w:val="22"/>
              </w:rPr>
            </w:pPr>
            <w:r>
              <w:rPr>
                <w:color w:val="000000"/>
                <w:sz w:val="22"/>
                <w:szCs w:val="22"/>
              </w:rPr>
              <w:t>16.3</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0"/>
              <w:jc w:val="left"/>
              <w:rPr>
                <w:color w:val="000000"/>
                <w:sz w:val="22"/>
                <w:szCs w:val="22"/>
              </w:rPr>
            </w:pPr>
            <w:r>
              <w:rPr>
                <w:color w:val="000000"/>
                <w:sz w:val="22"/>
                <w:szCs w:val="22"/>
              </w:rPr>
              <w:t>25.</w:t>
            </w:r>
            <w:r w:rsidRPr="00620981">
              <w:rPr>
                <w:color w:val="000000"/>
                <w:sz w:val="22"/>
                <w:szCs w:val="22"/>
              </w:rPr>
              <w:t>4</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0.125</w:t>
            </w:r>
          </w:p>
        </w:tc>
      </w:tr>
      <w:tr w:rsidR="00BC496A" w:rsidTr="007372A1">
        <w:trPr>
          <w:jc w:val="center"/>
        </w:trPr>
        <w:tc>
          <w:tcPr>
            <w:tcW w:w="663" w:type="dxa"/>
            <w:tcBorders>
              <w:left w:val="double" w:sz="4" w:space="0" w:color="auto"/>
              <w:right w:val="single" w:sz="4" w:space="0" w:color="auto"/>
            </w:tcBorders>
          </w:tcPr>
          <w:p w:rsidR="00BC496A" w:rsidRDefault="00BC496A" w:rsidP="007372A1">
            <w:pPr>
              <w:pStyle w:val="Normaali1"/>
              <w:tabs>
                <w:tab w:val="right" w:pos="274"/>
              </w:tabs>
              <w:spacing w:before="60" w:after="60" w:line="240" w:lineRule="auto"/>
              <w:ind w:left="-9" w:right="-115"/>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4</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Gyeongsangnam-do</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0"/>
              <w:rPr>
                <w:color w:val="000000"/>
                <w:sz w:val="22"/>
                <w:szCs w:val="22"/>
              </w:rPr>
            </w:pPr>
            <w:r w:rsidRPr="00620981">
              <w:rPr>
                <w:color w:val="000000"/>
                <w:sz w:val="22"/>
                <w:szCs w:val="22"/>
              </w:rPr>
              <w:t>7</w:t>
            </w:r>
            <w:r>
              <w:rPr>
                <w:color w:val="000000"/>
                <w:sz w:val="22"/>
                <w:szCs w:val="22"/>
              </w:rPr>
              <w:t>.</w:t>
            </w:r>
            <w:r w:rsidRPr="00620981">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0"/>
              <w:rPr>
                <w:color w:val="000000"/>
                <w:sz w:val="22"/>
                <w:szCs w:val="22"/>
              </w:rPr>
            </w:pPr>
            <w:r>
              <w:rPr>
                <w:color w:val="000000"/>
                <w:sz w:val="22"/>
                <w:szCs w:val="22"/>
              </w:rPr>
              <w:t>6.7</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0"/>
              <w:rPr>
                <w:color w:val="000000"/>
                <w:sz w:val="22"/>
                <w:szCs w:val="22"/>
              </w:rPr>
            </w:pPr>
            <w:r>
              <w:rPr>
                <w:color w:val="000000"/>
                <w:sz w:val="22"/>
                <w:szCs w:val="22"/>
              </w:rPr>
              <w:t>12.5</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5A6CF0" w:rsidRDefault="00BC496A" w:rsidP="007372A1">
            <w:pPr>
              <w:tabs>
                <w:tab w:val="decimal" w:pos="777"/>
              </w:tabs>
              <w:spacing w:before="60" w:after="60"/>
              <w:ind w:firstLine="0"/>
              <w:rPr>
                <w:color w:val="000000"/>
                <w:sz w:val="22"/>
                <w:szCs w:val="22"/>
              </w:rPr>
            </w:pPr>
            <w:r w:rsidRPr="005A6CF0">
              <w:rPr>
                <w:color w:val="000000"/>
                <w:sz w:val="22"/>
                <w:szCs w:val="22"/>
              </w:rPr>
              <w:t>28.4</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0.065</w:t>
            </w:r>
          </w:p>
        </w:tc>
      </w:tr>
      <w:tr w:rsidR="00BC496A" w:rsidTr="007372A1">
        <w:trPr>
          <w:jc w:val="center"/>
        </w:trPr>
        <w:tc>
          <w:tcPr>
            <w:tcW w:w="663" w:type="dxa"/>
            <w:tcBorders>
              <w:left w:val="double" w:sz="4" w:space="0" w:color="auto"/>
              <w:right w:val="single" w:sz="4" w:space="0" w:color="auto"/>
            </w:tcBorders>
          </w:tcPr>
          <w:p w:rsidR="00BC496A" w:rsidRDefault="00BC496A" w:rsidP="007372A1">
            <w:pPr>
              <w:pStyle w:val="Normaali1"/>
              <w:tabs>
                <w:tab w:val="right" w:pos="290"/>
              </w:tabs>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5</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Ulsan</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0"/>
              <w:rPr>
                <w:color w:val="000000"/>
                <w:sz w:val="22"/>
                <w:szCs w:val="22"/>
              </w:rPr>
            </w:pPr>
            <w:r w:rsidRPr="00620981">
              <w:rPr>
                <w:color w:val="000000"/>
                <w:sz w:val="22"/>
                <w:szCs w:val="22"/>
              </w:rPr>
              <w:t>7</w:t>
            </w:r>
            <w:r>
              <w:rPr>
                <w:color w:val="000000"/>
                <w:sz w:val="22"/>
                <w:szCs w:val="22"/>
              </w:rPr>
              <w:t>.</w:t>
            </w:r>
            <w:r w:rsidRPr="00620981">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0"/>
              <w:rPr>
                <w:color w:val="000000"/>
                <w:sz w:val="22"/>
                <w:szCs w:val="22"/>
              </w:rPr>
            </w:pPr>
            <w:r>
              <w:rPr>
                <w:color w:val="000000"/>
                <w:sz w:val="22"/>
                <w:szCs w:val="22"/>
              </w:rPr>
              <w:t>2.5</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0"/>
              <w:rPr>
                <w:color w:val="000000"/>
                <w:sz w:val="22"/>
                <w:szCs w:val="22"/>
              </w:rPr>
            </w:pPr>
            <w:r>
              <w:rPr>
                <w:color w:val="000000"/>
                <w:sz w:val="22"/>
                <w:szCs w:val="22"/>
              </w:rPr>
              <w:t>28.3</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0"/>
              <w:rPr>
                <w:color w:val="000000"/>
                <w:sz w:val="22"/>
                <w:szCs w:val="22"/>
              </w:rPr>
            </w:pPr>
            <w:r>
              <w:rPr>
                <w:color w:val="000000"/>
                <w:sz w:val="22"/>
                <w:szCs w:val="22"/>
              </w:rPr>
              <w:t>24.0</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0.178</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sidRPr="0056310B">
              <w:rPr>
                <w:rFonts w:ascii="Times New Roman" w:hAnsi="Times New Roman"/>
                <w:sz w:val="22"/>
                <w:szCs w:val="22"/>
              </w:rPr>
              <w:t>6</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Jeollanam-do</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0"/>
              <w:rPr>
                <w:color w:val="000000"/>
                <w:sz w:val="22"/>
                <w:szCs w:val="22"/>
              </w:rPr>
            </w:pPr>
            <w:r w:rsidRPr="00620981">
              <w:rPr>
                <w:color w:val="000000"/>
                <w:sz w:val="22"/>
                <w:szCs w:val="22"/>
              </w:rPr>
              <w:t>6</w:t>
            </w:r>
            <w:r>
              <w:rPr>
                <w:color w:val="000000"/>
                <w:sz w:val="22"/>
                <w:szCs w:val="22"/>
              </w:rPr>
              <w:t>.</w:t>
            </w:r>
            <w:r w:rsidRPr="00620981">
              <w:rPr>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0"/>
              <w:rPr>
                <w:color w:val="000000"/>
                <w:sz w:val="22"/>
                <w:szCs w:val="22"/>
              </w:rPr>
            </w:pPr>
            <w:r>
              <w:rPr>
                <w:color w:val="000000"/>
                <w:sz w:val="22"/>
                <w:szCs w:val="22"/>
              </w:rPr>
              <w:t>3.3</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5A6CF0" w:rsidRDefault="00BC496A" w:rsidP="007372A1">
            <w:pPr>
              <w:tabs>
                <w:tab w:val="decimal" w:pos="635"/>
              </w:tabs>
              <w:spacing w:before="60" w:after="60"/>
              <w:ind w:firstLine="0"/>
              <w:rPr>
                <w:color w:val="000000"/>
                <w:sz w:val="22"/>
                <w:szCs w:val="22"/>
              </w:rPr>
            </w:pPr>
            <w:r w:rsidRPr="005A6CF0">
              <w:rPr>
                <w:color w:val="000000"/>
                <w:sz w:val="22"/>
                <w:szCs w:val="22"/>
              </w:rPr>
              <w:t>21.9</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0"/>
              <w:rPr>
                <w:color w:val="000000"/>
                <w:sz w:val="22"/>
                <w:szCs w:val="22"/>
              </w:rPr>
            </w:pPr>
            <w:r>
              <w:rPr>
                <w:color w:val="000000"/>
                <w:sz w:val="22"/>
                <w:szCs w:val="22"/>
              </w:rPr>
              <w:t>1</w:t>
            </w:r>
            <w:r w:rsidRPr="00620981">
              <w:rPr>
                <w:color w:val="000000"/>
                <w:sz w:val="22"/>
                <w:szCs w:val="22"/>
              </w:rPr>
              <w:t>6</w:t>
            </w:r>
            <w:r>
              <w:rPr>
                <w:color w:val="000000"/>
                <w:sz w:val="22"/>
                <w:szCs w:val="22"/>
              </w:rPr>
              <w:t>.3</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0.123</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80"/>
              </w:tabs>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7</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Chungcheongnam-do</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0"/>
              <w:rPr>
                <w:color w:val="000000"/>
                <w:sz w:val="22"/>
                <w:szCs w:val="22"/>
              </w:rPr>
            </w:pPr>
            <w:r w:rsidRPr="00620981">
              <w:rPr>
                <w:color w:val="000000"/>
                <w:sz w:val="22"/>
                <w:szCs w:val="22"/>
              </w:rPr>
              <w:t>6</w:t>
            </w:r>
            <w:r>
              <w:rPr>
                <w:color w:val="000000"/>
                <w:sz w:val="22"/>
                <w:szCs w:val="22"/>
              </w:rPr>
              <w:t>.</w:t>
            </w:r>
            <w:r w:rsidRPr="00620981">
              <w:rPr>
                <w:color w:val="000000"/>
                <w:sz w:val="22"/>
                <w:szCs w:val="22"/>
              </w:rPr>
              <w:t>3</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0"/>
              <w:rPr>
                <w:color w:val="000000"/>
                <w:sz w:val="22"/>
                <w:szCs w:val="22"/>
              </w:rPr>
            </w:pPr>
            <w:r>
              <w:rPr>
                <w:color w:val="000000"/>
                <w:sz w:val="22"/>
                <w:szCs w:val="22"/>
              </w:rPr>
              <w:t>3.9</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0"/>
              <w:rPr>
                <w:color w:val="000000"/>
                <w:sz w:val="22"/>
                <w:szCs w:val="22"/>
              </w:rPr>
            </w:pPr>
            <w:r>
              <w:rPr>
                <w:color w:val="000000"/>
                <w:sz w:val="22"/>
                <w:szCs w:val="22"/>
              </w:rPr>
              <w:t>17.7</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0"/>
              <w:rPr>
                <w:color w:val="000000"/>
                <w:sz w:val="22"/>
                <w:szCs w:val="22"/>
              </w:rPr>
            </w:pPr>
            <w:r>
              <w:rPr>
                <w:color w:val="000000"/>
                <w:sz w:val="22"/>
                <w:szCs w:val="22"/>
              </w:rPr>
              <w:t>27.4</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0.070</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8</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Incheon</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0"/>
              <w:rPr>
                <w:color w:val="000000"/>
                <w:sz w:val="22"/>
                <w:szCs w:val="22"/>
              </w:rPr>
            </w:pPr>
            <w:r w:rsidRPr="00620981">
              <w:rPr>
                <w:color w:val="000000"/>
                <w:sz w:val="22"/>
                <w:szCs w:val="22"/>
              </w:rPr>
              <w:t>5</w:t>
            </w:r>
            <w:r>
              <w:rPr>
                <w:color w:val="000000"/>
                <w:sz w:val="22"/>
                <w:szCs w:val="22"/>
              </w:rPr>
              <w:t>.</w:t>
            </w:r>
            <w:r w:rsidRPr="00620981">
              <w:rPr>
                <w:color w:val="000000"/>
                <w:sz w:val="22"/>
                <w:szCs w:val="22"/>
              </w:rPr>
              <w:t>5</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0"/>
              <w:rPr>
                <w:color w:val="000000"/>
                <w:sz w:val="22"/>
                <w:szCs w:val="22"/>
              </w:rPr>
            </w:pPr>
            <w:r>
              <w:rPr>
                <w:color w:val="000000"/>
                <w:sz w:val="22"/>
                <w:szCs w:val="22"/>
              </w:rPr>
              <w:t>4.8</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0"/>
              <w:rPr>
                <w:color w:val="000000"/>
                <w:sz w:val="22"/>
                <w:szCs w:val="22"/>
              </w:rPr>
            </w:pPr>
            <w:r>
              <w:rPr>
                <w:color w:val="000000"/>
                <w:sz w:val="22"/>
                <w:szCs w:val="22"/>
              </w:rPr>
              <w:t>17.1</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0"/>
              <w:rPr>
                <w:color w:val="000000"/>
                <w:sz w:val="22"/>
                <w:szCs w:val="22"/>
              </w:rPr>
            </w:pPr>
            <w:r>
              <w:rPr>
                <w:color w:val="000000"/>
                <w:sz w:val="22"/>
                <w:szCs w:val="22"/>
              </w:rPr>
              <w:t>28.8</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0.058</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left="26" w:right="-84"/>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9</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Busan</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0"/>
              <w:rPr>
                <w:color w:val="000000"/>
                <w:sz w:val="22"/>
                <w:szCs w:val="22"/>
              </w:rPr>
            </w:pPr>
            <w:r w:rsidRPr="00620981">
              <w:rPr>
                <w:color w:val="000000"/>
                <w:sz w:val="22"/>
                <w:szCs w:val="22"/>
              </w:rPr>
              <w:t>5</w:t>
            </w:r>
            <w:r>
              <w:rPr>
                <w:color w:val="000000"/>
                <w:sz w:val="22"/>
                <w:szCs w:val="22"/>
              </w:rPr>
              <w:t>.</w:t>
            </w:r>
            <w:r w:rsidRPr="00620981">
              <w:rPr>
                <w:color w:val="000000"/>
                <w:sz w:val="22"/>
                <w:szCs w:val="22"/>
              </w:rPr>
              <w:t>1</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0"/>
              <w:rPr>
                <w:color w:val="000000"/>
                <w:sz w:val="22"/>
                <w:szCs w:val="22"/>
              </w:rPr>
            </w:pPr>
            <w:r>
              <w:rPr>
                <w:color w:val="000000"/>
                <w:sz w:val="22"/>
                <w:szCs w:val="22"/>
              </w:rPr>
              <w:t>7.4</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0"/>
              <w:rPr>
                <w:color w:val="000000"/>
                <w:sz w:val="22"/>
                <w:szCs w:val="22"/>
              </w:rPr>
            </w:pPr>
            <w:r>
              <w:rPr>
                <w:color w:val="000000"/>
                <w:sz w:val="22"/>
                <w:szCs w:val="22"/>
              </w:rPr>
              <w:t>7.7</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0"/>
              <w:rPr>
                <w:color w:val="000000"/>
                <w:sz w:val="22"/>
                <w:szCs w:val="22"/>
              </w:rPr>
            </w:pPr>
            <w:r>
              <w:rPr>
                <w:color w:val="000000"/>
                <w:sz w:val="22"/>
                <w:szCs w:val="22"/>
              </w:rPr>
              <w:t>26.6</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0.060</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70"/>
              </w:tabs>
              <w:spacing w:before="60" w:after="60" w:line="240" w:lineRule="auto"/>
              <w:ind w:left="-9" w:right="-84"/>
              <w:jc w:val="left"/>
              <w:rPr>
                <w:rFonts w:ascii="Times New Roman" w:hAnsi="Times New Roman"/>
                <w:sz w:val="22"/>
                <w:szCs w:val="22"/>
              </w:rPr>
            </w:pPr>
            <w:r>
              <w:rPr>
                <w:rFonts w:ascii="Times New Roman" w:hAnsi="Times New Roman"/>
                <w:sz w:val="22"/>
                <w:szCs w:val="22"/>
              </w:rPr>
              <w:tab/>
              <w:t>10</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Chungcheongsbuk-do</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27"/>
              <w:rPr>
                <w:color w:val="000000"/>
                <w:sz w:val="22"/>
                <w:szCs w:val="22"/>
              </w:rPr>
            </w:pPr>
            <w:r w:rsidRPr="00620981">
              <w:rPr>
                <w:color w:val="000000"/>
                <w:sz w:val="22"/>
                <w:szCs w:val="22"/>
              </w:rPr>
              <w:t>2</w:t>
            </w:r>
            <w:r>
              <w:rPr>
                <w:color w:val="000000"/>
                <w:sz w:val="22"/>
                <w:szCs w:val="22"/>
              </w:rPr>
              <w:t>.</w:t>
            </w:r>
            <w:r w:rsidRPr="00620981">
              <w:rPr>
                <w:color w:val="000000"/>
                <w:sz w:val="22"/>
                <w:szCs w:val="22"/>
              </w:rPr>
              <w:t>9</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27"/>
              <w:rPr>
                <w:color w:val="000000"/>
                <w:sz w:val="22"/>
                <w:szCs w:val="22"/>
              </w:rPr>
            </w:pPr>
            <w:r>
              <w:rPr>
                <w:color w:val="000000"/>
                <w:sz w:val="22"/>
                <w:szCs w:val="22"/>
              </w:rPr>
              <w:t>3.0</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27"/>
              <w:rPr>
                <w:color w:val="000000"/>
                <w:sz w:val="22"/>
                <w:szCs w:val="22"/>
              </w:rPr>
            </w:pPr>
            <w:r>
              <w:rPr>
                <w:color w:val="000000"/>
                <w:sz w:val="22"/>
                <w:szCs w:val="22"/>
              </w:rPr>
              <w:t>10.4</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27"/>
              <w:rPr>
                <w:color w:val="000000"/>
                <w:sz w:val="22"/>
                <w:szCs w:val="22"/>
              </w:rPr>
            </w:pPr>
            <w:r>
              <w:rPr>
                <w:color w:val="000000"/>
                <w:sz w:val="22"/>
                <w:szCs w:val="22"/>
              </w:rPr>
              <w:t>30.7</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0.068</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11</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Daegu</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27"/>
              <w:rPr>
                <w:color w:val="000000"/>
                <w:sz w:val="22"/>
                <w:szCs w:val="22"/>
              </w:rPr>
            </w:pPr>
            <w:r w:rsidRPr="00620981">
              <w:rPr>
                <w:color w:val="000000"/>
                <w:sz w:val="22"/>
                <w:szCs w:val="22"/>
              </w:rPr>
              <w:t>2</w:t>
            </w:r>
            <w:r>
              <w:rPr>
                <w:color w:val="000000"/>
                <w:sz w:val="22"/>
                <w:szCs w:val="22"/>
              </w:rPr>
              <w:t>.</w:t>
            </w:r>
            <w:r w:rsidRPr="00620981">
              <w:rPr>
                <w:color w:val="000000"/>
                <w:sz w:val="22"/>
                <w:szCs w:val="22"/>
              </w:rPr>
              <w:t>9</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27"/>
              <w:rPr>
                <w:color w:val="000000"/>
                <w:sz w:val="22"/>
                <w:szCs w:val="22"/>
              </w:rPr>
            </w:pPr>
            <w:r>
              <w:rPr>
                <w:color w:val="000000"/>
                <w:sz w:val="22"/>
                <w:szCs w:val="22"/>
              </w:rPr>
              <w:t>4.7</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27"/>
              <w:rPr>
                <w:color w:val="000000"/>
                <w:sz w:val="22"/>
                <w:szCs w:val="22"/>
              </w:rPr>
            </w:pPr>
            <w:r>
              <w:rPr>
                <w:color w:val="000000"/>
                <w:sz w:val="22"/>
                <w:szCs w:val="22"/>
              </w:rPr>
              <w:t>6.1</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27"/>
              <w:rPr>
                <w:color w:val="000000"/>
                <w:sz w:val="22"/>
                <w:szCs w:val="22"/>
              </w:rPr>
            </w:pPr>
            <w:r w:rsidRPr="00620981">
              <w:rPr>
                <w:color w:val="000000"/>
                <w:sz w:val="22"/>
                <w:szCs w:val="22"/>
              </w:rPr>
              <w:t>2</w:t>
            </w:r>
            <w:r>
              <w:rPr>
                <w:color w:val="000000"/>
                <w:sz w:val="22"/>
                <w:szCs w:val="22"/>
              </w:rPr>
              <w:t>7.</w:t>
            </w:r>
            <w:r w:rsidRPr="00620981">
              <w:rPr>
                <w:color w:val="000000"/>
                <w:sz w:val="22"/>
                <w:szCs w:val="22"/>
              </w:rPr>
              <w:t>9</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0.061</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12</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Jeollabuk-do</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27"/>
              <w:rPr>
                <w:color w:val="000000"/>
                <w:sz w:val="22"/>
                <w:szCs w:val="22"/>
              </w:rPr>
            </w:pPr>
            <w:r w:rsidRPr="00620981">
              <w:rPr>
                <w:color w:val="000000"/>
                <w:sz w:val="22"/>
                <w:szCs w:val="22"/>
              </w:rPr>
              <w:t>2</w:t>
            </w:r>
            <w:r>
              <w:rPr>
                <w:color w:val="000000"/>
                <w:sz w:val="22"/>
                <w:szCs w:val="22"/>
              </w:rPr>
              <w:t>.</w:t>
            </w:r>
            <w:r w:rsidRPr="00620981">
              <w:rPr>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27"/>
              <w:rPr>
                <w:color w:val="000000"/>
                <w:sz w:val="22"/>
                <w:szCs w:val="22"/>
              </w:rPr>
            </w:pPr>
            <w:r>
              <w:rPr>
                <w:color w:val="000000"/>
                <w:sz w:val="22"/>
                <w:szCs w:val="22"/>
              </w:rPr>
              <w:t>3.2</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27"/>
              <w:rPr>
                <w:color w:val="000000"/>
                <w:sz w:val="22"/>
                <w:szCs w:val="22"/>
              </w:rPr>
            </w:pPr>
            <w:r>
              <w:rPr>
                <w:color w:val="000000"/>
                <w:sz w:val="22"/>
                <w:szCs w:val="22"/>
              </w:rPr>
              <w:t>7.4</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27"/>
              <w:rPr>
                <w:color w:val="000000"/>
                <w:sz w:val="22"/>
                <w:szCs w:val="22"/>
              </w:rPr>
            </w:pPr>
            <w:r>
              <w:rPr>
                <w:color w:val="000000"/>
                <w:sz w:val="22"/>
                <w:szCs w:val="22"/>
              </w:rPr>
              <w:t>30.4</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0.067</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13</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Gangwon-do</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27"/>
              <w:rPr>
                <w:color w:val="000000"/>
                <w:sz w:val="22"/>
                <w:szCs w:val="22"/>
              </w:rPr>
            </w:pPr>
            <w:r w:rsidRPr="00620981">
              <w:rPr>
                <w:color w:val="000000"/>
                <w:sz w:val="22"/>
                <w:szCs w:val="22"/>
              </w:rPr>
              <w:t>2</w:t>
            </w:r>
            <w:r>
              <w:rPr>
                <w:color w:val="000000"/>
                <w:sz w:val="22"/>
                <w:szCs w:val="22"/>
              </w:rPr>
              <w:t>.</w:t>
            </w:r>
            <w:r w:rsidRPr="00620981">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27"/>
              <w:rPr>
                <w:color w:val="000000"/>
                <w:sz w:val="22"/>
                <w:szCs w:val="22"/>
              </w:rPr>
            </w:pPr>
            <w:r w:rsidRPr="00620981">
              <w:rPr>
                <w:color w:val="000000"/>
                <w:sz w:val="22"/>
                <w:szCs w:val="22"/>
              </w:rPr>
              <w:t>2</w:t>
            </w:r>
            <w:r>
              <w:rPr>
                <w:color w:val="000000"/>
                <w:sz w:val="22"/>
                <w:szCs w:val="22"/>
              </w:rPr>
              <w:t>.9</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27"/>
              <w:rPr>
                <w:color w:val="000000"/>
                <w:sz w:val="22"/>
                <w:szCs w:val="22"/>
              </w:rPr>
            </w:pPr>
            <w:r>
              <w:rPr>
                <w:color w:val="000000"/>
                <w:sz w:val="22"/>
                <w:szCs w:val="22"/>
              </w:rPr>
              <w:t>4.4</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27"/>
              <w:rPr>
                <w:color w:val="000000"/>
                <w:sz w:val="22"/>
                <w:szCs w:val="22"/>
              </w:rPr>
            </w:pPr>
            <w:r w:rsidRPr="00620981">
              <w:rPr>
                <w:color w:val="000000"/>
                <w:sz w:val="22"/>
                <w:szCs w:val="22"/>
              </w:rPr>
              <w:t>2</w:t>
            </w:r>
            <w:r>
              <w:rPr>
                <w:color w:val="000000"/>
                <w:sz w:val="22"/>
                <w:szCs w:val="22"/>
              </w:rPr>
              <w:t>3.0</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0.077</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14</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Gwangju</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27"/>
              <w:rPr>
                <w:color w:val="000000"/>
                <w:sz w:val="22"/>
                <w:szCs w:val="22"/>
              </w:rPr>
            </w:pPr>
            <w:r w:rsidRPr="00620981">
              <w:rPr>
                <w:color w:val="000000"/>
                <w:sz w:val="22"/>
                <w:szCs w:val="22"/>
              </w:rPr>
              <w:t>2</w:t>
            </w:r>
            <w:r>
              <w:rPr>
                <w:color w:val="000000"/>
                <w:sz w:val="22"/>
                <w:szCs w:val="22"/>
              </w:rPr>
              <w:t>.</w:t>
            </w:r>
            <w:r w:rsidRPr="00620981">
              <w:rPr>
                <w:color w:val="000000"/>
                <w:sz w:val="22"/>
                <w:szCs w:val="22"/>
              </w:rPr>
              <w:t>2</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27"/>
              <w:rPr>
                <w:color w:val="000000"/>
                <w:sz w:val="22"/>
                <w:szCs w:val="22"/>
              </w:rPr>
            </w:pPr>
            <w:r w:rsidRPr="00620981">
              <w:rPr>
                <w:color w:val="000000"/>
                <w:sz w:val="22"/>
                <w:szCs w:val="22"/>
              </w:rPr>
              <w:t>2</w:t>
            </w:r>
            <w:r>
              <w:rPr>
                <w:color w:val="000000"/>
                <w:sz w:val="22"/>
                <w:szCs w:val="22"/>
              </w:rPr>
              <w:t>.8</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27"/>
              <w:rPr>
                <w:color w:val="000000"/>
                <w:sz w:val="22"/>
                <w:szCs w:val="22"/>
              </w:rPr>
            </w:pPr>
            <w:r>
              <w:rPr>
                <w:color w:val="000000"/>
                <w:sz w:val="22"/>
                <w:szCs w:val="22"/>
              </w:rPr>
              <w:t>9.9</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27"/>
              <w:rPr>
                <w:color w:val="000000"/>
                <w:sz w:val="22"/>
                <w:szCs w:val="22"/>
              </w:rPr>
            </w:pPr>
            <w:r>
              <w:rPr>
                <w:color w:val="000000"/>
                <w:sz w:val="22"/>
                <w:szCs w:val="22"/>
              </w:rPr>
              <w:t>30.7</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0.077</w:t>
            </w:r>
          </w:p>
        </w:tc>
      </w:tr>
      <w:tr w:rsidR="00BC496A" w:rsidTr="007372A1">
        <w:trPr>
          <w:jc w:val="center"/>
        </w:trPr>
        <w:tc>
          <w:tcPr>
            <w:tcW w:w="66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15</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Daejeon</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27"/>
              <w:rPr>
                <w:color w:val="000000"/>
                <w:sz w:val="22"/>
                <w:szCs w:val="22"/>
              </w:rPr>
            </w:pPr>
            <w:r w:rsidRPr="00620981">
              <w:rPr>
                <w:color w:val="000000"/>
                <w:sz w:val="22"/>
                <w:szCs w:val="22"/>
              </w:rPr>
              <w:t>1</w:t>
            </w:r>
            <w:r>
              <w:rPr>
                <w:color w:val="000000"/>
                <w:sz w:val="22"/>
                <w:szCs w:val="22"/>
              </w:rPr>
              <w:t>.</w:t>
            </w:r>
            <w:r w:rsidRPr="00620981">
              <w:rPr>
                <w:color w:val="000000"/>
                <w:sz w:val="22"/>
                <w:szCs w:val="22"/>
              </w:rPr>
              <w:t>9</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27"/>
              <w:rPr>
                <w:color w:val="000000"/>
                <w:sz w:val="22"/>
                <w:szCs w:val="22"/>
              </w:rPr>
            </w:pPr>
            <w:r>
              <w:rPr>
                <w:color w:val="000000"/>
                <w:sz w:val="22"/>
                <w:szCs w:val="22"/>
              </w:rPr>
              <w:t>2.7</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27"/>
              <w:rPr>
                <w:color w:val="000000"/>
                <w:sz w:val="22"/>
                <w:szCs w:val="22"/>
              </w:rPr>
            </w:pPr>
            <w:r>
              <w:rPr>
                <w:color w:val="000000"/>
                <w:sz w:val="22"/>
                <w:szCs w:val="22"/>
              </w:rPr>
              <w:t>6.5</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27"/>
              <w:rPr>
                <w:color w:val="000000"/>
                <w:sz w:val="22"/>
                <w:szCs w:val="22"/>
              </w:rPr>
            </w:pPr>
            <w:r>
              <w:rPr>
                <w:color w:val="000000"/>
                <w:sz w:val="22"/>
                <w:szCs w:val="22"/>
              </w:rPr>
              <w:t>28.1</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0.077</w:t>
            </w:r>
          </w:p>
        </w:tc>
      </w:tr>
      <w:tr w:rsidR="00BC496A" w:rsidTr="007372A1">
        <w:trPr>
          <w:jc w:val="center"/>
        </w:trPr>
        <w:tc>
          <w:tcPr>
            <w:tcW w:w="663" w:type="dxa"/>
            <w:tcBorders>
              <w:left w:val="double" w:sz="4" w:space="0" w:color="auto"/>
              <w:right w:val="single" w:sz="4" w:space="0" w:color="auto"/>
            </w:tcBorders>
          </w:tcPr>
          <w:p w:rsidR="00BC496A" w:rsidRDefault="00BC496A" w:rsidP="007372A1">
            <w:pPr>
              <w:pStyle w:val="Normaali1"/>
              <w:tabs>
                <w:tab w:val="right" w:pos="274"/>
              </w:tabs>
              <w:spacing w:before="60" w:after="60" w:line="240" w:lineRule="auto"/>
              <w:ind w:right="-84" w:hanging="9"/>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16</w:t>
            </w:r>
          </w:p>
        </w:tc>
        <w:tc>
          <w:tcPr>
            <w:tcW w:w="2288"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Jeju-do</w:t>
            </w: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432"/>
              </w:tabs>
              <w:spacing w:before="60" w:after="60"/>
              <w:ind w:firstLine="27"/>
              <w:rPr>
                <w:color w:val="000000"/>
                <w:sz w:val="22"/>
                <w:szCs w:val="22"/>
              </w:rPr>
            </w:pPr>
            <w:r w:rsidRPr="00620981">
              <w:rPr>
                <w:color w:val="000000"/>
                <w:sz w:val="22"/>
                <w:szCs w:val="22"/>
              </w:rPr>
              <w:t>0</w:t>
            </w:r>
            <w:r>
              <w:rPr>
                <w:color w:val="000000"/>
                <w:sz w:val="22"/>
                <w:szCs w:val="22"/>
              </w:rPr>
              <w:t>.</w:t>
            </w:r>
            <w:r w:rsidRPr="00620981">
              <w:rPr>
                <w:color w:val="000000"/>
                <w:sz w:val="22"/>
                <w:szCs w:val="22"/>
              </w:rPr>
              <w:t>7</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594"/>
              </w:tabs>
              <w:spacing w:before="60" w:after="60"/>
              <w:ind w:firstLine="27"/>
              <w:rPr>
                <w:color w:val="000000"/>
                <w:sz w:val="22"/>
                <w:szCs w:val="22"/>
              </w:rPr>
            </w:pPr>
            <w:r>
              <w:rPr>
                <w:color w:val="000000"/>
                <w:sz w:val="22"/>
                <w:szCs w:val="22"/>
              </w:rPr>
              <w:t>1.1</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635"/>
              </w:tabs>
              <w:spacing w:before="60" w:after="60"/>
              <w:ind w:firstLine="27"/>
              <w:rPr>
                <w:color w:val="000000"/>
                <w:sz w:val="22"/>
                <w:szCs w:val="22"/>
              </w:rPr>
            </w:pPr>
            <w:r>
              <w:rPr>
                <w:color w:val="000000"/>
                <w:sz w:val="22"/>
                <w:szCs w:val="22"/>
              </w:rPr>
              <w:t>3.9</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tabs>
                <w:tab w:val="decimal" w:pos="777"/>
              </w:tabs>
              <w:spacing w:before="60" w:after="60"/>
              <w:ind w:firstLine="27"/>
              <w:rPr>
                <w:color w:val="000000"/>
                <w:sz w:val="22"/>
                <w:szCs w:val="22"/>
              </w:rPr>
            </w:pPr>
            <w:r>
              <w:rPr>
                <w:color w:val="000000"/>
                <w:sz w:val="22"/>
                <w:szCs w:val="22"/>
              </w:rPr>
              <w:t>25.3</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EC7879" w:rsidRDefault="00BC496A" w:rsidP="007372A1">
            <w:pPr>
              <w:tabs>
                <w:tab w:val="decimal" w:pos="432"/>
              </w:tabs>
              <w:spacing w:before="60" w:after="60"/>
              <w:ind w:firstLine="0"/>
              <w:jc w:val="left"/>
              <w:rPr>
                <w:color w:val="000000"/>
                <w:sz w:val="22"/>
                <w:szCs w:val="22"/>
              </w:rPr>
            </w:pPr>
            <w:r w:rsidRPr="00EC7879">
              <w:rPr>
                <w:color w:val="000000"/>
                <w:sz w:val="22"/>
                <w:szCs w:val="22"/>
              </w:rPr>
              <w:t>0.085</w:t>
            </w:r>
          </w:p>
        </w:tc>
      </w:tr>
      <w:tr w:rsidR="00BC496A" w:rsidTr="007372A1">
        <w:trPr>
          <w:jc w:val="center"/>
        </w:trPr>
        <w:tc>
          <w:tcPr>
            <w:tcW w:w="663" w:type="dxa"/>
            <w:tcBorders>
              <w:left w:val="double" w:sz="4" w:space="0" w:color="auto"/>
              <w:right w:val="single" w:sz="4" w:space="0" w:color="auto"/>
            </w:tcBorders>
          </w:tcPr>
          <w:p w:rsidR="00BC496A" w:rsidRDefault="00BC496A" w:rsidP="007372A1">
            <w:pPr>
              <w:pStyle w:val="Normaali1"/>
              <w:spacing w:before="60" w:after="60" w:line="240" w:lineRule="auto"/>
              <w:ind w:left="-11" w:right="-85"/>
              <w:jc w:val="left"/>
              <w:rPr>
                <w:rFonts w:ascii="Times New Roman" w:hAnsi="Times New Roman"/>
                <w:sz w:val="22"/>
                <w:szCs w:val="22"/>
              </w:rPr>
            </w:pPr>
            <w:r>
              <w:rPr>
                <w:rFonts w:ascii="Times New Roman" w:hAnsi="Times New Roman"/>
                <w:sz w:val="22"/>
                <w:szCs w:val="22"/>
              </w:rPr>
              <w:t>Mean</w:t>
            </w:r>
          </w:p>
        </w:tc>
        <w:tc>
          <w:tcPr>
            <w:tcW w:w="2288" w:type="dxa"/>
            <w:tcBorders>
              <w:top w:val="single" w:sz="4" w:space="0" w:color="auto"/>
              <w:left w:val="single" w:sz="4" w:space="0" w:color="auto"/>
              <w:bottom w:val="single" w:sz="4" w:space="0" w:color="auto"/>
              <w:right w:val="single" w:sz="4" w:space="0" w:color="auto"/>
            </w:tcBorders>
          </w:tcPr>
          <w:p w:rsidR="00BC496A" w:rsidRPr="00DB14E1" w:rsidRDefault="00BC496A" w:rsidP="007372A1">
            <w:pPr>
              <w:pStyle w:val="Normaali1"/>
              <w:spacing w:before="60" w:after="60" w:line="240" w:lineRule="auto"/>
              <w:ind w:right="-84" w:firstLine="6"/>
              <w:jc w:val="left"/>
              <w:rPr>
                <w:rFonts w:ascii="Times New Roman" w:hAnsi="Times New Roman"/>
                <w:sz w:val="22"/>
                <w:szCs w:val="22"/>
              </w:rPr>
            </w:pPr>
          </w:p>
        </w:tc>
        <w:tc>
          <w:tcPr>
            <w:tcW w:w="1114"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widowControl w:val="0"/>
              <w:tabs>
                <w:tab w:val="decimal" w:pos="432"/>
              </w:tabs>
              <w:adjustRightInd w:val="0"/>
              <w:spacing w:before="60" w:after="60"/>
              <w:ind w:left="-28" w:right="-108" w:firstLine="0"/>
              <w:jc w:val="left"/>
              <w:textAlignment w:val="baseline"/>
              <w:rPr>
                <w:bCs/>
                <w:sz w:val="22"/>
                <w:szCs w:val="22"/>
              </w:rPr>
            </w:pPr>
            <w:r w:rsidRPr="00620981">
              <w:rPr>
                <w:bCs/>
                <w:sz w:val="22"/>
                <w:szCs w:val="22"/>
              </w:rPr>
              <w:t>6</w:t>
            </w:r>
            <w:r>
              <w:rPr>
                <w:bCs/>
                <w:sz w:val="22"/>
                <w:szCs w:val="22"/>
              </w:rPr>
              <w:t>.25</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widowControl w:val="0"/>
              <w:tabs>
                <w:tab w:val="decimal" w:pos="594"/>
              </w:tabs>
              <w:adjustRightInd w:val="0"/>
              <w:spacing w:before="60" w:after="60"/>
              <w:ind w:left="-28" w:right="-108" w:firstLine="0"/>
              <w:jc w:val="left"/>
              <w:textAlignment w:val="baseline"/>
              <w:rPr>
                <w:bCs/>
                <w:sz w:val="22"/>
                <w:szCs w:val="22"/>
              </w:rPr>
            </w:pPr>
            <w:r w:rsidRPr="00620981">
              <w:rPr>
                <w:bCs/>
                <w:sz w:val="22"/>
                <w:szCs w:val="22"/>
              </w:rPr>
              <w:t>6</w:t>
            </w:r>
            <w:r>
              <w:rPr>
                <w:bCs/>
                <w:sz w:val="22"/>
                <w:szCs w:val="22"/>
              </w:rPr>
              <w:t>.25</w:t>
            </w:r>
          </w:p>
        </w:tc>
        <w:tc>
          <w:tcPr>
            <w:tcW w:w="1720"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widowControl w:val="0"/>
              <w:tabs>
                <w:tab w:val="decimal" w:pos="635"/>
              </w:tabs>
              <w:adjustRightInd w:val="0"/>
              <w:spacing w:before="60" w:after="60"/>
              <w:ind w:left="-28" w:right="-108" w:firstLine="0"/>
              <w:jc w:val="left"/>
              <w:textAlignment w:val="baseline"/>
              <w:rPr>
                <w:bCs/>
                <w:sz w:val="22"/>
                <w:szCs w:val="22"/>
              </w:rPr>
            </w:pPr>
            <w:r>
              <w:rPr>
                <w:bCs/>
                <w:sz w:val="22"/>
                <w:szCs w:val="22"/>
              </w:rPr>
              <w:t>11.8</w:t>
            </w:r>
          </w:p>
        </w:tc>
        <w:tc>
          <w:tcPr>
            <w:tcW w:w="1843" w:type="dxa"/>
            <w:tcBorders>
              <w:top w:val="single" w:sz="4" w:space="0" w:color="auto"/>
              <w:left w:val="single" w:sz="4" w:space="0" w:color="auto"/>
              <w:bottom w:val="single" w:sz="4" w:space="0" w:color="auto"/>
              <w:right w:val="single" w:sz="4" w:space="0" w:color="auto"/>
            </w:tcBorders>
            <w:vAlign w:val="bottom"/>
          </w:tcPr>
          <w:p w:rsidR="00BC496A" w:rsidRPr="00620981" w:rsidRDefault="00BC496A" w:rsidP="007372A1">
            <w:pPr>
              <w:widowControl w:val="0"/>
              <w:tabs>
                <w:tab w:val="decimal" w:pos="777"/>
              </w:tabs>
              <w:adjustRightInd w:val="0"/>
              <w:spacing w:before="60" w:after="60"/>
              <w:ind w:left="-28" w:right="-108" w:firstLine="0"/>
              <w:jc w:val="left"/>
              <w:textAlignment w:val="baseline"/>
              <w:rPr>
                <w:bCs/>
                <w:sz w:val="22"/>
                <w:szCs w:val="22"/>
              </w:rPr>
            </w:pPr>
            <w:r>
              <w:rPr>
                <w:bCs/>
                <w:sz w:val="22"/>
                <w:szCs w:val="22"/>
              </w:rPr>
              <w:t>25.9</w:t>
            </w:r>
          </w:p>
        </w:tc>
        <w:tc>
          <w:tcPr>
            <w:tcW w:w="1417" w:type="dxa"/>
            <w:tcBorders>
              <w:top w:val="single" w:sz="4" w:space="0" w:color="auto"/>
              <w:left w:val="single" w:sz="4" w:space="0" w:color="auto"/>
              <w:bottom w:val="single" w:sz="4" w:space="0" w:color="auto"/>
              <w:right w:val="double" w:sz="4" w:space="0" w:color="auto"/>
            </w:tcBorders>
            <w:vAlign w:val="bottom"/>
          </w:tcPr>
          <w:p w:rsidR="00BC496A" w:rsidRPr="005A6CF0" w:rsidRDefault="00BC496A" w:rsidP="007372A1">
            <w:pPr>
              <w:tabs>
                <w:tab w:val="decimal" w:pos="432"/>
              </w:tabs>
              <w:spacing w:before="60" w:after="60"/>
              <w:ind w:firstLine="0"/>
              <w:jc w:val="left"/>
              <w:rPr>
                <w:color w:val="000000"/>
                <w:sz w:val="22"/>
                <w:szCs w:val="22"/>
              </w:rPr>
            </w:pPr>
            <w:r w:rsidRPr="005A6CF0">
              <w:rPr>
                <w:color w:val="000000"/>
                <w:sz w:val="22"/>
                <w:szCs w:val="22"/>
              </w:rPr>
              <w:t>0.086</w:t>
            </w:r>
          </w:p>
        </w:tc>
      </w:tr>
      <w:tr w:rsidR="00BC496A" w:rsidTr="007372A1">
        <w:trPr>
          <w:jc w:val="center"/>
        </w:trPr>
        <w:tc>
          <w:tcPr>
            <w:tcW w:w="663" w:type="dxa"/>
            <w:tcBorders>
              <w:left w:val="double" w:sz="4" w:space="0" w:color="auto"/>
              <w:bottom w:val="double" w:sz="4" w:space="0" w:color="auto"/>
              <w:right w:val="single" w:sz="4" w:space="0" w:color="auto"/>
            </w:tcBorders>
          </w:tcPr>
          <w:p w:rsidR="00BC496A" w:rsidRPr="00D70838" w:rsidRDefault="00BC496A" w:rsidP="007372A1">
            <w:pPr>
              <w:pStyle w:val="Normaali1"/>
              <w:spacing w:before="60" w:after="60" w:line="240" w:lineRule="auto"/>
              <w:ind w:left="-11" w:right="-85"/>
              <w:jc w:val="left"/>
              <w:rPr>
                <w:rFonts w:ascii="Times New Roman" w:hAnsi="Times New Roman"/>
                <w:i/>
                <w:sz w:val="22"/>
                <w:szCs w:val="22"/>
              </w:rPr>
            </w:pPr>
            <w:r w:rsidRPr="00D70838">
              <w:rPr>
                <w:rFonts w:ascii="Times New Roman" w:hAnsi="Times New Roman"/>
                <w:i/>
                <w:sz w:val="22"/>
                <w:szCs w:val="22"/>
              </w:rPr>
              <w:t>V</w:t>
            </w:r>
          </w:p>
        </w:tc>
        <w:tc>
          <w:tcPr>
            <w:tcW w:w="2288" w:type="dxa"/>
            <w:tcBorders>
              <w:top w:val="single" w:sz="4" w:space="0" w:color="auto"/>
              <w:left w:val="single" w:sz="4" w:space="0" w:color="auto"/>
              <w:bottom w:val="double" w:sz="4" w:space="0" w:color="auto"/>
              <w:right w:val="single" w:sz="4" w:space="0" w:color="auto"/>
            </w:tcBorders>
          </w:tcPr>
          <w:p w:rsidR="00BC496A" w:rsidRPr="00DB14E1" w:rsidRDefault="00BC496A" w:rsidP="007372A1">
            <w:pPr>
              <w:pStyle w:val="Normaali1"/>
              <w:spacing w:before="60" w:after="60" w:line="240" w:lineRule="auto"/>
              <w:ind w:right="-84" w:firstLine="6"/>
              <w:jc w:val="left"/>
              <w:rPr>
                <w:rFonts w:ascii="Times New Roman" w:hAnsi="Times New Roman"/>
                <w:sz w:val="22"/>
                <w:szCs w:val="22"/>
              </w:rPr>
            </w:pPr>
          </w:p>
        </w:tc>
        <w:tc>
          <w:tcPr>
            <w:tcW w:w="1114" w:type="dxa"/>
            <w:tcBorders>
              <w:top w:val="single" w:sz="4" w:space="0" w:color="auto"/>
              <w:left w:val="single" w:sz="4" w:space="0" w:color="auto"/>
              <w:bottom w:val="double" w:sz="4" w:space="0" w:color="auto"/>
              <w:right w:val="single" w:sz="4" w:space="0" w:color="auto"/>
            </w:tcBorders>
            <w:vAlign w:val="bottom"/>
          </w:tcPr>
          <w:p w:rsidR="00BC496A" w:rsidRPr="00620981" w:rsidRDefault="00BC496A" w:rsidP="007372A1">
            <w:pPr>
              <w:widowControl w:val="0"/>
              <w:tabs>
                <w:tab w:val="decimal" w:pos="432"/>
              </w:tabs>
              <w:adjustRightInd w:val="0"/>
              <w:spacing w:before="60" w:after="60"/>
              <w:ind w:left="-28" w:right="-108" w:firstLine="0"/>
              <w:jc w:val="left"/>
              <w:textAlignment w:val="baseline"/>
              <w:rPr>
                <w:bCs/>
                <w:sz w:val="22"/>
                <w:szCs w:val="22"/>
              </w:rPr>
            </w:pPr>
            <w:r>
              <w:rPr>
                <w:bCs/>
                <w:sz w:val="22"/>
                <w:szCs w:val="22"/>
              </w:rPr>
              <w:t>0.89</w:t>
            </w:r>
          </w:p>
        </w:tc>
        <w:tc>
          <w:tcPr>
            <w:tcW w:w="1418" w:type="dxa"/>
            <w:tcBorders>
              <w:top w:val="single" w:sz="4" w:space="0" w:color="auto"/>
              <w:left w:val="single" w:sz="4" w:space="0" w:color="auto"/>
              <w:bottom w:val="double" w:sz="4" w:space="0" w:color="auto"/>
              <w:right w:val="single" w:sz="4" w:space="0" w:color="auto"/>
            </w:tcBorders>
            <w:vAlign w:val="bottom"/>
          </w:tcPr>
          <w:p w:rsidR="00BC496A" w:rsidRPr="00620981" w:rsidRDefault="00BC496A" w:rsidP="007372A1">
            <w:pPr>
              <w:widowControl w:val="0"/>
              <w:tabs>
                <w:tab w:val="decimal" w:pos="594"/>
              </w:tabs>
              <w:adjustRightInd w:val="0"/>
              <w:spacing w:before="60" w:after="60"/>
              <w:ind w:left="-28" w:right="-108" w:firstLine="0"/>
              <w:jc w:val="left"/>
              <w:textAlignment w:val="baseline"/>
              <w:rPr>
                <w:bCs/>
                <w:sz w:val="22"/>
                <w:szCs w:val="22"/>
              </w:rPr>
            </w:pPr>
            <w:r>
              <w:rPr>
                <w:bCs/>
                <w:sz w:val="22"/>
                <w:szCs w:val="22"/>
              </w:rPr>
              <w:t>1.08</w:t>
            </w:r>
          </w:p>
        </w:tc>
        <w:tc>
          <w:tcPr>
            <w:tcW w:w="1720" w:type="dxa"/>
            <w:tcBorders>
              <w:top w:val="single" w:sz="4" w:space="0" w:color="auto"/>
              <w:left w:val="single" w:sz="4" w:space="0" w:color="auto"/>
              <w:bottom w:val="double" w:sz="4" w:space="0" w:color="auto"/>
              <w:right w:val="single" w:sz="4" w:space="0" w:color="auto"/>
            </w:tcBorders>
            <w:vAlign w:val="bottom"/>
          </w:tcPr>
          <w:p w:rsidR="00BC496A" w:rsidRPr="00620981" w:rsidRDefault="00BC496A" w:rsidP="007372A1">
            <w:pPr>
              <w:widowControl w:val="0"/>
              <w:tabs>
                <w:tab w:val="decimal" w:pos="635"/>
              </w:tabs>
              <w:adjustRightInd w:val="0"/>
              <w:spacing w:before="60" w:after="60"/>
              <w:ind w:left="-28" w:right="-108" w:firstLine="0"/>
              <w:jc w:val="left"/>
              <w:textAlignment w:val="baseline"/>
              <w:rPr>
                <w:bCs/>
                <w:sz w:val="22"/>
                <w:szCs w:val="22"/>
              </w:rPr>
            </w:pPr>
            <w:r>
              <w:rPr>
                <w:bCs/>
                <w:sz w:val="22"/>
                <w:szCs w:val="22"/>
              </w:rPr>
              <w:t>0.58</w:t>
            </w:r>
          </w:p>
        </w:tc>
        <w:tc>
          <w:tcPr>
            <w:tcW w:w="1843" w:type="dxa"/>
            <w:tcBorders>
              <w:top w:val="single" w:sz="4" w:space="0" w:color="auto"/>
              <w:left w:val="single" w:sz="4" w:space="0" w:color="auto"/>
              <w:bottom w:val="double" w:sz="4" w:space="0" w:color="auto"/>
              <w:right w:val="single" w:sz="4" w:space="0" w:color="auto"/>
            </w:tcBorders>
            <w:vAlign w:val="bottom"/>
          </w:tcPr>
          <w:p w:rsidR="00BC496A" w:rsidRPr="00620981" w:rsidRDefault="00BC496A" w:rsidP="007372A1">
            <w:pPr>
              <w:widowControl w:val="0"/>
              <w:tabs>
                <w:tab w:val="decimal" w:pos="777"/>
              </w:tabs>
              <w:adjustRightInd w:val="0"/>
              <w:spacing w:before="60" w:after="60"/>
              <w:ind w:left="-28" w:right="-108" w:firstLine="0"/>
              <w:jc w:val="left"/>
              <w:textAlignment w:val="baseline"/>
              <w:rPr>
                <w:bCs/>
                <w:sz w:val="22"/>
                <w:szCs w:val="22"/>
              </w:rPr>
            </w:pPr>
            <w:r>
              <w:rPr>
                <w:bCs/>
                <w:sz w:val="22"/>
                <w:szCs w:val="22"/>
              </w:rPr>
              <w:t>0.16</w:t>
            </w:r>
          </w:p>
        </w:tc>
        <w:tc>
          <w:tcPr>
            <w:tcW w:w="1417" w:type="dxa"/>
            <w:tcBorders>
              <w:top w:val="single" w:sz="4" w:space="0" w:color="auto"/>
              <w:left w:val="single" w:sz="4" w:space="0" w:color="auto"/>
              <w:bottom w:val="double" w:sz="4" w:space="0" w:color="auto"/>
              <w:right w:val="double" w:sz="4" w:space="0" w:color="auto"/>
            </w:tcBorders>
            <w:vAlign w:val="bottom"/>
          </w:tcPr>
          <w:p w:rsidR="00BC496A" w:rsidRPr="00635094" w:rsidRDefault="00BC496A" w:rsidP="007372A1">
            <w:pPr>
              <w:tabs>
                <w:tab w:val="decimal" w:pos="432"/>
              </w:tabs>
              <w:spacing w:before="60" w:after="60"/>
              <w:ind w:firstLine="0"/>
              <w:jc w:val="left"/>
              <w:rPr>
                <w:color w:val="000000"/>
                <w:sz w:val="22"/>
                <w:szCs w:val="22"/>
              </w:rPr>
            </w:pPr>
            <w:r w:rsidRPr="00635094">
              <w:rPr>
                <w:color w:val="000000"/>
                <w:sz w:val="22"/>
                <w:szCs w:val="22"/>
              </w:rPr>
              <w:t>0.38</w:t>
            </w:r>
          </w:p>
        </w:tc>
      </w:tr>
    </w:tbl>
    <w:p w:rsidR="00BC496A" w:rsidRDefault="00BC496A" w:rsidP="00BC496A">
      <w:pPr>
        <w:spacing w:before="120" w:after="60"/>
        <w:ind w:left="1701" w:right="522" w:firstLine="0"/>
        <w:rPr>
          <w:sz w:val="22"/>
          <w:szCs w:val="22"/>
        </w:rPr>
      </w:pPr>
      <w:r w:rsidRPr="00600ED0">
        <w:rPr>
          <w:i/>
          <w:sz w:val="22"/>
          <w:szCs w:val="22"/>
          <w:lang w:val="en-US"/>
        </w:rPr>
        <w:t xml:space="preserve">Source: </w:t>
      </w:r>
      <w:r w:rsidRPr="00600ED0">
        <w:rPr>
          <w:sz w:val="22"/>
          <w:szCs w:val="22"/>
          <w:lang w:val="en-US"/>
        </w:rPr>
        <w:t>Authors’ own calculations</w:t>
      </w:r>
      <w:r>
        <w:rPr>
          <w:sz w:val="22"/>
          <w:szCs w:val="22"/>
          <w:lang w:val="en-US"/>
        </w:rPr>
        <w:t xml:space="preserve"> for </w:t>
      </w:r>
      <w:r>
        <w:rPr>
          <w:i/>
          <w:color w:val="000000"/>
        </w:rPr>
        <w:t>H</w:t>
      </w:r>
      <w:r>
        <w:rPr>
          <w:i/>
          <w:color w:val="000000"/>
          <w:vertAlign w:val="subscript"/>
        </w:rPr>
        <w:t>r</w:t>
      </w:r>
      <w:r>
        <w:rPr>
          <w:sz w:val="22"/>
          <w:szCs w:val="22"/>
        </w:rPr>
        <w:t xml:space="preserve"> and the share of imports</w:t>
      </w:r>
    </w:p>
    <w:p w:rsidR="00BC496A" w:rsidRDefault="00BC496A" w:rsidP="00BC496A">
      <w:pPr>
        <w:widowControl w:val="0"/>
        <w:spacing w:before="120" w:after="0"/>
        <w:ind w:left="1701" w:right="1202" w:firstLine="0"/>
        <w:rPr>
          <w:b/>
          <w:sz w:val="22"/>
          <w:szCs w:val="22"/>
          <w:lang w:val="en-US"/>
        </w:rPr>
      </w:pPr>
      <w:r>
        <w:rPr>
          <w:sz w:val="22"/>
          <w:szCs w:val="22"/>
        </w:rPr>
        <w:t>The share of imports</w:t>
      </w:r>
      <w:r w:rsidRPr="00124308">
        <w:rPr>
          <w:sz w:val="22"/>
          <w:szCs w:val="22"/>
        </w:rPr>
        <w:t xml:space="preserve"> </w:t>
      </w:r>
      <w:r>
        <w:rPr>
          <w:sz w:val="22"/>
          <w:szCs w:val="22"/>
        </w:rPr>
        <w:t xml:space="preserve">is expressed as a proportion of gross output.  </w:t>
      </w:r>
      <w:r w:rsidRPr="00D70838">
        <w:rPr>
          <w:i/>
          <w:sz w:val="22"/>
          <w:szCs w:val="22"/>
        </w:rPr>
        <w:t>V</w:t>
      </w:r>
      <w:r>
        <w:rPr>
          <w:sz w:val="22"/>
          <w:szCs w:val="22"/>
        </w:rPr>
        <w:t xml:space="preserve"> is the coefficient of variation.  </w:t>
      </w:r>
    </w:p>
    <w:p w:rsidR="00BC496A" w:rsidRPr="00942DF7" w:rsidRDefault="00BC496A" w:rsidP="00BC496A">
      <w:pPr>
        <w:spacing w:before="120" w:after="0"/>
        <w:ind w:right="522" w:firstLine="0"/>
        <w:rPr>
          <w:sz w:val="22"/>
          <w:szCs w:val="22"/>
        </w:rPr>
        <w:sectPr w:rsidR="00BC496A" w:rsidRPr="00942DF7" w:rsidSect="00B6606B">
          <w:pgSz w:w="16838" w:h="11906" w:orient="landscape"/>
          <w:pgMar w:top="1440" w:right="1440" w:bottom="1440" w:left="1440" w:header="708" w:footer="708" w:gutter="0"/>
          <w:cols w:space="708"/>
          <w:docGrid w:linePitch="360"/>
        </w:sectPr>
      </w:pPr>
    </w:p>
    <w:p w:rsidR="00BC496A" w:rsidRPr="007D353A" w:rsidRDefault="00BC496A" w:rsidP="00BC496A">
      <w:pPr>
        <w:spacing w:before="120" w:after="0"/>
        <w:ind w:right="522" w:firstLine="0"/>
        <w:rPr>
          <w:sz w:val="22"/>
          <w:szCs w:val="22"/>
          <w:lang w:val="en-US"/>
        </w:rPr>
      </w:pPr>
    </w:p>
    <w:p w:rsidR="00BC496A" w:rsidRDefault="00BC496A" w:rsidP="00BC496A">
      <w:pPr>
        <w:ind w:left="-567" w:right="-613" w:firstLine="0"/>
        <w:jc w:val="left"/>
        <w:rPr>
          <w:color w:val="000000"/>
          <w:szCs w:val="26"/>
        </w:rPr>
      </w:pPr>
      <w:r>
        <w:rPr>
          <w:b/>
          <w:color w:val="000000"/>
          <w:szCs w:val="26"/>
        </w:rPr>
        <w:t>Table 11</w:t>
      </w:r>
      <w:r>
        <w:rPr>
          <w:color w:val="000000"/>
          <w:szCs w:val="26"/>
        </w:rPr>
        <w:t xml:space="preserve">  </w:t>
      </w:r>
      <w:r w:rsidRPr="005C4B7A">
        <w:rPr>
          <w:color w:val="000000"/>
          <w:szCs w:val="26"/>
        </w:rPr>
        <w:t>Accuracy</w:t>
      </w:r>
      <w:r>
        <w:rPr>
          <w:color w:val="000000"/>
          <w:szCs w:val="26"/>
        </w:rPr>
        <w:t xml:space="preserve"> of estimated type I output</w:t>
      </w:r>
      <w:r w:rsidRPr="005C4B7A">
        <w:rPr>
          <w:color w:val="000000"/>
          <w:szCs w:val="26"/>
        </w:rPr>
        <w:t xml:space="preserve"> </w:t>
      </w:r>
      <w:r>
        <w:rPr>
          <w:color w:val="000000"/>
          <w:szCs w:val="26"/>
        </w:rPr>
        <w:t>multipliers for South Korean regions</w:t>
      </w:r>
      <w:r>
        <w:rPr>
          <w:b/>
          <w:lang w:val="en-US"/>
        </w:rPr>
        <w:t xml:space="preserve"> </w:t>
      </w:r>
      <w:r w:rsidRPr="005C4B7A">
        <w:rPr>
          <w:color w:val="000000"/>
          <w:szCs w:val="26"/>
        </w:rPr>
        <w:t>in 200</w:t>
      </w:r>
      <w:r>
        <w:rPr>
          <w:color w:val="000000"/>
          <w:szCs w:val="26"/>
        </w:rPr>
        <w:t xml:space="preserve">5 using the FLQ with different values of </w:t>
      </w:r>
      <w:r w:rsidRPr="00D66853">
        <w:rPr>
          <w:i/>
          <w:sz w:val="22"/>
          <w:szCs w:val="22"/>
        </w:rPr>
        <w:t>δ</w:t>
      </w:r>
      <w:r>
        <w:rPr>
          <w:color w:val="000000"/>
          <w:szCs w:val="26"/>
        </w:rPr>
        <w:t xml:space="preserve"> (MAPE based on 28 sectors)</w:t>
      </w:r>
    </w:p>
    <w:tbl>
      <w:tblPr>
        <w:tblW w:w="10181" w:type="dxa"/>
        <w:jc w:val="center"/>
        <w:tblInd w:w="-18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673"/>
        <w:gridCol w:w="2206"/>
        <w:gridCol w:w="1040"/>
        <w:gridCol w:w="1086"/>
        <w:gridCol w:w="992"/>
        <w:gridCol w:w="1134"/>
        <w:gridCol w:w="992"/>
        <w:gridCol w:w="960"/>
        <w:gridCol w:w="1098"/>
      </w:tblGrid>
      <w:tr w:rsidR="00BC496A" w:rsidTr="007372A1">
        <w:trPr>
          <w:trHeight w:val="183"/>
          <w:jc w:val="center"/>
        </w:trPr>
        <w:tc>
          <w:tcPr>
            <w:tcW w:w="673" w:type="dxa"/>
            <w:vMerge w:val="restart"/>
            <w:tcBorders>
              <w:top w:val="double" w:sz="4" w:space="0" w:color="auto"/>
              <w:left w:val="double" w:sz="4" w:space="0" w:color="auto"/>
              <w:right w:val="single" w:sz="4" w:space="0" w:color="auto"/>
            </w:tcBorders>
          </w:tcPr>
          <w:p w:rsidR="00BC496A" w:rsidRDefault="00BC496A" w:rsidP="007372A1">
            <w:pPr>
              <w:pStyle w:val="Normaali1"/>
              <w:spacing w:before="60" w:after="60" w:line="240" w:lineRule="auto"/>
              <w:ind w:left="-4" w:right="125"/>
              <w:rPr>
                <w:rFonts w:ascii="Times New Roman" w:hAnsi="Times New Roman"/>
                <w:sz w:val="22"/>
                <w:szCs w:val="22"/>
              </w:rPr>
            </w:pPr>
          </w:p>
        </w:tc>
        <w:tc>
          <w:tcPr>
            <w:tcW w:w="2206" w:type="dxa"/>
            <w:vMerge w:val="restart"/>
            <w:tcBorders>
              <w:top w:val="double" w:sz="4" w:space="0" w:color="auto"/>
              <w:left w:val="single" w:sz="4" w:space="0" w:color="auto"/>
              <w:right w:val="single" w:sz="4" w:space="0" w:color="auto"/>
            </w:tcBorders>
          </w:tcPr>
          <w:p w:rsidR="00BC496A" w:rsidRDefault="00BC496A" w:rsidP="007372A1">
            <w:pPr>
              <w:pStyle w:val="Normaali1"/>
              <w:spacing w:after="60" w:line="240" w:lineRule="auto"/>
              <w:ind w:right="125"/>
              <w:rPr>
                <w:rFonts w:ascii="Times New Roman" w:hAnsi="Times New Roman"/>
                <w:sz w:val="22"/>
                <w:szCs w:val="22"/>
              </w:rPr>
            </w:pPr>
          </w:p>
          <w:p w:rsidR="00BC496A" w:rsidRDefault="00BC496A" w:rsidP="007372A1">
            <w:pPr>
              <w:pStyle w:val="Normaali1"/>
              <w:spacing w:before="120" w:after="60" w:line="240" w:lineRule="auto"/>
              <w:ind w:right="125"/>
              <w:rPr>
                <w:rFonts w:ascii="Times New Roman" w:hAnsi="Times New Roman"/>
                <w:sz w:val="22"/>
                <w:szCs w:val="22"/>
              </w:rPr>
            </w:pPr>
            <w:r>
              <w:rPr>
                <w:rFonts w:ascii="Times New Roman" w:hAnsi="Times New Roman"/>
                <w:sz w:val="22"/>
                <w:szCs w:val="22"/>
              </w:rPr>
              <w:t>Region</w:t>
            </w:r>
          </w:p>
        </w:tc>
        <w:tc>
          <w:tcPr>
            <w:tcW w:w="7302" w:type="dxa"/>
            <w:gridSpan w:val="7"/>
            <w:tcBorders>
              <w:top w:val="double" w:sz="4" w:space="0" w:color="auto"/>
              <w:left w:val="single" w:sz="4" w:space="0" w:color="auto"/>
              <w:right w:val="double" w:sz="4" w:space="0" w:color="auto"/>
            </w:tcBorders>
          </w:tcPr>
          <w:p w:rsidR="00BC496A" w:rsidRDefault="00BC496A" w:rsidP="007372A1">
            <w:pPr>
              <w:pStyle w:val="Normaali1"/>
              <w:spacing w:before="60" w:after="60" w:line="240" w:lineRule="auto"/>
              <w:ind w:left="-40"/>
              <w:jc w:val="center"/>
              <w:rPr>
                <w:rFonts w:ascii="Times New Roman" w:hAnsi="Times New Roman"/>
                <w:sz w:val="22"/>
                <w:szCs w:val="22"/>
              </w:rPr>
            </w:pPr>
            <w:r>
              <w:rPr>
                <w:rFonts w:ascii="Times New Roman" w:hAnsi="Times New Roman"/>
                <w:sz w:val="22"/>
                <w:szCs w:val="22"/>
              </w:rPr>
              <w:t xml:space="preserve">Value of </w:t>
            </w:r>
            <w:r w:rsidRPr="00D66853">
              <w:rPr>
                <w:rFonts w:ascii="Times New Roman" w:hAnsi="Times New Roman"/>
                <w:i/>
                <w:sz w:val="22"/>
                <w:szCs w:val="22"/>
              </w:rPr>
              <w:t>δ</w:t>
            </w:r>
          </w:p>
        </w:tc>
      </w:tr>
      <w:tr w:rsidR="00BC496A" w:rsidTr="007372A1">
        <w:trPr>
          <w:trHeight w:val="336"/>
          <w:jc w:val="center"/>
        </w:trPr>
        <w:tc>
          <w:tcPr>
            <w:tcW w:w="673" w:type="dxa"/>
            <w:vMerge/>
            <w:tcBorders>
              <w:left w:val="double" w:sz="4" w:space="0" w:color="auto"/>
              <w:right w:val="single" w:sz="4" w:space="0" w:color="auto"/>
            </w:tcBorders>
          </w:tcPr>
          <w:p w:rsidR="00BC496A" w:rsidRDefault="00BC496A" w:rsidP="007372A1">
            <w:pPr>
              <w:pStyle w:val="Normaali1"/>
              <w:spacing w:before="60" w:after="60" w:line="240" w:lineRule="auto"/>
              <w:ind w:left="-4" w:right="125"/>
              <w:rPr>
                <w:rFonts w:ascii="Times New Roman" w:hAnsi="Times New Roman"/>
                <w:sz w:val="22"/>
                <w:szCs w:val="22"/>
              </w:rPr>
            </w:pPr>
          </w:p>
        </w:tc>
        <w:tc>
          <w:tcPr>
            <w:tcW w:w="2206" w:type="dxa"/>
            <w:vMerge/>
            <w:tcBorders>
              <w:left w:val="single" w:sz="4" w:space="0" w:color="auto"/>
              <w:bottom w:val="single" w:sz="4" w:space="0" w:color="auto"/>
              <w:right w:val="single" w:sz="4" w:space="0" w:color="auto"/>
            </w:tcBorders>
          </w:tcPr>
          <w:p w:rsidR="00BC496A" w:rsidRDefault="00BC496A" w:rsidP="007372A1">
            <w:pPr>
              <w:pStyle w:val="Normaali1"/>
              <w:spacing w:before="240" w:after="60" w:line="240" w:lineRule="auto"/>
              <w:ind w:right="125"/>
              <w:rPr>
                <w:rFonts w:ascii="Times New Roman" w:hAnsi="Times New Roman"/>
                <w:sz w:val="22"/>
                <w:szCs w:val="22"/>
              </w:rPr>
            </w:pP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420"/>
              </w:tabs>
              <w:spacing w:before="60" w:after="60" w:line="240" w:lineRule="auto"/>
              <w:ind w:left="-40"/>
              <w:jc w:val="left"/>
              <w:rPr>
                <w:rFonts w:ascii="Times New Roman" w:hAnsi="Times New Roman"/>
                <w:sz w:val="22"/>
                <w:szCs w:val="22"/>
              </w:rPr>
            </w:pPr>
            <w:r>
              <w:rPr>
                <w:rFonts w:ascii="Times New Roman" w:hAnsi="Times New Roman"/>
                <w:sz w:val="22"/>
                <w:szCs w:val="22"/>
              </w:rPr>
              <w:t>0.2</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438"/>
              </w:tabs>
              <w:spacing w:before="60" w:after="60" w:line="240" w:lineRule="auto"/>
              <w:ind w:left="-40"/>
              <w:jc w:val="left"/>
              <w:rPr>
                <w:rFonts w:ascii="Times New Roman" w:hAnsi="Times New Roman"/>
                <w:sz w:val="22"/>
                <w:szCs w:val="22"/>
              </w:rPr>
            </w:pPr>
            <w:r>
              <w:rPr>
                <w:rFonts w:ascii="Times New Roman" w:hAnsi="Times New Roman"/>
                <w:sz w:val="22"/>
                <w:szCs w:val="22"/>
              </w:rPr>
              <w:t>0.25</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366"/>
              </w:tabs>
              <w:spacing w:before="60" w:after="60" w:line="240" w:lineRule="auto"/>
              <w:ind w:left="-40"/>
              <w:jc w:val="left"/>
              <w:rPr>
                <w:rFonts w:ascii="Times New Roman" w:hAnsi="Times New Roman"/>
                <w:sz w:val="22"/>
                <w:szCs w:val="22"/>
              </w:rPr>
            </w:pPr>
            <w:r>
              <w:rPr>
                <w:rFonts w:ascii="Times New Roman" w:hAnsi="Times New Roman"/>
                <w:sz w:val="22"/>
                <w:szCs w:val="22"/>
              </w:rPr>
              <w:t>0.3</w:t>
            </w:r>
          </w:p>
        </w:tc>
        <w:tc>
          <w:tcPr>
            <w:tcW w:w="1134"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420"/>
              </w:tabs>
              <w:spacing w:before="60" w:after="60" w:line="240" w:lineRule="auto"/>
              <w:ind w:left="-40" w:right="-83"/>
              <w:jc w:val="left"/>
              <w:rPr>
                <w:rFonts w:ascii="Times New Roman" w:hAnsi="Times New Roman"/>
                <w:sz w:val="22"/>
                <w:szCs w:val="22"/>
              </w:rPr>
            </w:pPr>
            <w:r>
              <w:rPr>
                <w:rFonts w:ascii="Times New Roman" w:hAnsi="Times New Roman"/>
                <w:sz w:val="22"/>
                <w:szCs w:val="22"/>
              </w:rPr>
              <w:t>0.35</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278"/>
              </w:tabs>
              <w:spacing w:before="60" w:after="60" w:line="240" w:lineRule="auto"/>
              <w:ind w:left="-40"/>
              <w:jc w:val="left"/>
              <w:rPr>
                <w:rFonts w:ascii="Times New Roman" w:hAnsi="Times New Roman"/>
                <w:sz w:val="22"/>
                <w:szCs w:val="22"/>
              </w:rPr>
            </w:pPr>
            <w:r>
              <w:rPr>
                <w:rFonts w:ascii="Times New Roman" w:hAnsi="Times New Roman"/>
                <w:sz w:val="22"/>
                <w:szCs w:val="22"/>
              </w:rPr>
              <w:t>0.4</w:t>
            </w:r>
          </w:p>
        </w:tc>
        <w:tc>
          <w:tcPr>
            <w:tcW w:w="960"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278"/>
              </w:tabs>
              <w:spacing w:before="60" w:after="60" w:line="240" w:lineRule="auto"/>
              <w:ind w:left="-40" w:right="-115"/>
              <w:jc w:val="left"/>
              <w:rPr>
                <w:rFonts w:ascii="Times New Roman" w:hAnsi="Times New Roman"/>
                <w:sz w:val="22"/>
                <w:szCs w:val="22"/>
              </w:rPr>
            </w:pPr>
            <w:r>
              <w:rPr>
                <w:rFonts w:ascii="Times New Roman" w:hAnsi="Times New Roman"/>
                <w:sz w:val="22"/>
                <w:szCs w:val="22"/>
              </w:rPr>
              <w:t>0.45</w:t>
            </w:r>
          </w:p>
        </w:tc>
        <w:tc>
          <w:tcPr>
            <w:tcW w:w="1098" w:type="dxa"/>
            <w:tcBorders>
              <w:top w:val="single" w:sz="4" w:space="0" w:color="auto"/>
              <w:left w:val="single" w:sz="4" w:space="0" w:color="auto"/>
              <w:bottom w:val="single" w:sz="4" w:space="0" w:color="auto"/>
              <w:right w:val="double" w:sz="4" w:space="0" w:color="auto"/>
            </w:tcBorders>
          </w:tcPr>
          <w:p w:rsidR="00BC496A" w:rsidRDefault="00BC496A" w:rsidP="007372A1">
            <w:pPr>
              <w:pStyle w:val="Normaali1"/>
              <w:tabs>
                <w:tab w:val="decimal" w:pos="329"/>
              </w:tabs>
              <w:spacing w:before="60" w:after="60" w:line="240" w:lineRule="auto"/>
              <w:ind w:left="-40"/>
              <w:jc w:val="left"/>
              <w:rPr>
                <w:rFonts w:ascii="Times New Roman" w:hAnsi="Times New Roman"/>
                <w:sz w:val="22"/>
                <w:szCs w:val="22"/>
              </w:rPr>
            </w:pPr>
            <w:r>
              <w:rPr>
                <w:rFonts w:ascii="Times New Roman" w:hAnsi="Times New Roman"/>
                <w:sz w:val="22"/>
                <w:szCs w:val="22"/>
              </w:rPr>
              <w:t>0.5</w:t>
            </w:r>
          </w:p>
        </w:tc>
      </w:tr>
      <w:tr w:rsidR="00BC496A" w:rsidTr="007372A1">
        <w:trPr>
          <w:trHeight w:val="375"/>
          <w:jc w:val="center"/>
        </w:trPr>
        <w:tc>
          <w:tcPr>
            <w:tcW w:w="673" w:type="dxa"/>
            <w:tcBorders>
              <w:left w:val="double" w:sz="4" w:space="0" w:color="auto"/>
              <w:right w:val="single" w:sz="4" w:space="0" w:color="auto"/>
            </w:tcBorders>
          </w:tcPr>
          <w:p w:rsidR="00BC496A" w:rsidRDefault="00BC496A" w:rsidP="007372A1">
            <w:pPr>
              <w:pStyle w:val="Normaali1"/>
              <w:tabs>
                <w:tab w:val="right" w:pos="274"/>
                <w:tab w:val="left" w:pos="972"/>
              </w:tabs>
              <w:spacing w:before="60" w:after="60" w:line="240" w:lineRule="auto"/>
              <w:ind w:left="-9" w:right="-115"/>
              <w:jc w:val="left"/>
              <w:rPr>
                <w:rFonts w:ascii="Times New Roman" w:hAnsi="Times New Roman"/>
                <w:sz w:val="22"/>
                <w:szCs w:val="22"/>
              </w:rPr>
            </w:pPr>
            <w:r>
              <w:rPr>
                <w:rFonts w:ascii="Times New Roman" w:hAnsi="Times New Roman"/>
                <w:sz w:val="22"/>
                <w:szCs w:val="22"/>
              </w:rPr>
              <w:tab/>
              <w:t>1</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Gyeonggi-do</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419"/>
              </w:tabs>
              <w:spacing w:before="60" w:after="60" w:line="240" w:lineRule="auto"/>
              <w:ind w:right="28" w:hanging="6"/>
              <w:jc w:val="left"/>
              <w:rPr>
                <w:rFonts w:ascii="Times New Roman" w:hAnsi="Times New Roman"/>
                <w:sz w:val="22"/>
                <w:szCs w:val="22"/>
              </w:rPr>
            </w:pPr>
            <w:r>
              <w:rPr>
                <w:rFonts w:ascii="Times New Roman" w:hAnsi="Times New Roman"/>
                <w:sz w:val="22"/>
                <w:szCs w:val="22"/>
              </w:rPr>
              <w:t>14.03</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419"/>
              </w:tabs>
              <w:spacing w:before="60" w:after="60" w:line="240" w:lineRule="auto"/>
              <w:ind w:right="28" w:hanging="6"/>
              <w:jc w:val="left"/>
              <w:rPr>
                <w:rFonts w:ascii="Times New Roman" w:hAnsi="Times New Roman"/>
                <w:sz w:val="22"/>
                <w:szCs w:val="22"/>
              </w:rPr>
            </w:pPr>
            <w:r>
              <w:rPr>
                <w:rFonts w:ascii="Times New Roman" w:hAnsi="Times New Roman"/>
                <w:sz w:val="22"/>
                <w:szCs w:val="22"/>
              </w:rPr>
              <w:t>11.47</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278"/>
              </w:tabs>
              <w:spacing w:before="60" w:after="60" w:line="240" w:lineRule="auto"/>
              <w:ind w:right="-83" w:hanging="6"/>
              <w:jc w:val="left"/>
              <w:rPr>
                <w:rFonts w:ascii="Times New Roman" w:hAnsi="Times New Roman"/>
                <w:sz w:val="22"/>
                <w:szCs w:val="22"/>
              </w:rPr>
            </w:pPr>
            <w:r>
              <w:rPr>
                <w:rFonts w:ascii="Times New Roman" w:hAnsi="Times New Roman"/>
                <w:sz w:val="22"/>
                <w:szCs w:val="22"/>
              </w:rPr>
              <w:t>9.19</w:t>
            </w:r>
          </w:p>
        </w:tc>
        <w:tc>
          <w:tcPr>
            <w:tcW w:w="1134"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420"/>
              </w:tabs>
              <w:spacing w:before="60" w:after="60" w:line="240" w:lineRule="auto"/>
              <w:ind w:right="-83" w:hanging="6"/>
              <w:jc w:val="left"/>
              <w:rPr>
                <w:rFonts w:ascii="Times New Roman" w:hAnsi="Times New Roman"/>
                <w:sz w:val="22"/>
                <w:szCs w:val="22"/>
              </w:rPr>
            </w:pPr>
            <w:r>
              <w:rPr>
                <w:rFonts w:ascii="Times New Roman" w:hAnsi="Times New Roman"/>
                <w:sz w:val="22"/>
                <w:szCs w:val="22"/>
              </w:rPr>
              <w:t>7.07</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278"/>
              </w:tabs>
              <w:spacing w:before="60" w:after="60" w:line="240" w:lineRule="auto"/>
              <w:ind w:right="-83" w:hanging="6"/>
              <w:jc w:val="left"/>
              <w:rPr>
                <w:rFonts w:ascii="Times New Roman" w:hAnsi="Times New Roman"/>
                <w:sz w:val="22"/>
                <w:szCs w:val="22"/>
              </w:rPr>
            </w:pPr>
            <w:r>
              <w:rPr>
                <w:rFonts w:ascii="Times New Roman" w:hAnsi="Times New Roman"/>
                <w:sz w:val="22"/>
                <w:szCs w:val="22"/>
              </w:rPr>
              <w:t>5.65</w:t>
            </w:r>
          </w:p>
        </w:tc>
        <w:tc>
          <w:tcPr>
            <w:tcW w:w="960"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278"/>
              </w:tabs>
              <w:spacing w:before="60" w:after="60" w:line="240" w:lineRule="auto"/>
              <w:ind w:right="-83" w:hanging="6"/>
              <w:jc w:val="left"/>
              <w:rPr>
                <w:rFonts w:ascii="Times New Roman" w:hAnsi="Times New Roman"/>
                <w:sz w:val="22"/>
                <w:szCs w:val="22"/>
              </w:rPr>
            </w:pPr>
            <w:r>
              <w:rPr>
                <w:rFonts w:ascii="Times New Roman" w:hAnsi="Times New Roman"/>
                <w:sz w:val="22"/>
                <w:szCs w:val="22"/>
              </w:rPr>
              <w:t>4.74</w:t>
            </w:r>
          </w:p>
        </w:tc>
        <w:tc>
          <w:tcPr>
            <w:tcW w:w="1098" w:type="dxa"/>
            <w:tcBorders>
              <w:top w:val="single" w:sz="4" w:space="0" w:color="auto"/>
              <w:left w:val="single" w:sz="4" w:space="0" w:color="auto"/>
              <w:bottom w:val="single" w:sz="4" w:space="0" w:color="auto"/>
              <w:right w:val="double" w:sz="4" w:space="0" w:color="auto"/>
            </w:tcBorders>
          </w:tcPr>
          <w:p w:rsidR="00BC496A" w:rsidRDefault="00BC496A" w:rsidP="007372A1">
            <w:pPr>
              <w:pStyle w:val="Normaali1"/>
              <w:tabs>
                <w:tab w:val="decimal" w:pos="278"/>
              </w:tabs>
              <w:spacing w:before="60" w:after="60" w:line="240" w:lineRule="auto"/>
              <w:ind w:right="-83" w:hanging="6"/>
              <w:jc w:val="left"/>
              <w:rPr>
                <w:rFonts w:ascii="Times New Roman" w:hAnsi="Times New Roman"/>
                <w:sz w:val="22"/>
                <w:szCs w:val="22"/>
              </w:rPr>
            </w:pPr>
            <w:r w:rsidRPr="00AD6F0A">
              <w:rPr>
                <w:rFonts w:ascii="Times New Roman" w:hAnsi="Times New Roman"/>
                <w:b/>
                <w:sz w:val="22"/>
                <w:szCs w:val="22"/>
              </w:rPr>
              <w:t>4.21</w:t>
            </w:r>
            <w:r>
              <w:rPr>
                <w:rFonts w:ascii="Times New Roman" w:hAnsi="Times New Roman"/>
                <w:sz w:val="22"/>
                <w:szCs w:val="22"/>
              </w:rPr>
              <w:t>*</w:t>
            </w:r>
          </w:p>
        </w:tc>
      </w:tr>
      <w:tr w:rsidR="00BC496A" w:rsidTr="007372A1">
        <w:trPr>
          <w:jc w:val="center"/>
        </w:trPr>
        <w:tc>
          <w:tcPr>
            <w:tcW w:w="673" w:type="dxa"/>
            <w:tcBorders>
              <w:left w:val="double" w:sz="4" w:space="0" w:color="auto"/>
              <w:right w:val="single" w:sz="4" w:space="0" w:color="auto"/>
            </w:tcBorders>
          </w:tcPr>
          <w:p w:rsidR="00BC496A" w:rsidRDefault="00BC496A" w:rsidP="007372A1">
            <w:pPr>
              <w:pStyle w:val="Normaali1"/>
              <w:tabs>
                <w:tab w:val="right" w:pos="270"/>
                <w:tab w:val="left" w:pos="972"/>
              </w:tabs>
              <w:spacing w:before="60" w:after="60" w:line="240" w:lineRule="auto"/>
              <w:ind w:left="-9" w:right="-115"/>
              <w:jc w:val="left"/>
              <w:rPr>
                <w:rFonts w:ascii="Times New Roman" w:hAnsi="Times New Roman"/>
                <w:sz w:val="22"/>
                <w:szCs w:val="22"/>
              </w:rPr>
            </w:pPr>
            <w:r>
              <w:rPr>
                <w:rFonts w:ascii="Times New Roman" w:hAnsi="Times New Roman"/>
                <w:sz w:val="22"/>
                <w:szCs w:val="22"/>
              </w:rPr>
              <w:tab/>
              <w:t>2</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Seoul</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8" w:right="-108" w:firstLine="0"/>
              <w:jc w:val="left"/>
              <w:textAlignment w:val="baseline"/>
              <w:rPr>
                <w:bCs/>
                <w:sz w:val="22"/>
                <w:szCs w:val="22"/>
              </w:rPr>
            </w:pPr>
            <w:r>
              <w:rPr>
                <w:bCs/>
                <w:sz w:val="22"/>
                <w:szCs w:val="22"/>
              </w:rPr>
              <w:t>6.91</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8" w:right="-108" w:firstLine="0"/>
              <w:jc w:val="left"/>
              <w:textAlignment w:val="baseline"/>
              <w:rPr>
                <w:bCs/>
                <w:sz w:val="22"/>
                <w:szCs w:val="22"/>
              </w:rPr>
            </w:pPr>
            <w:r>
              <w:rPr>
                <w:bCs/>
                <w:sz w:val="22"/>
                <w:szCs w:val="22"/>
              </w:rPr>
              <w:t>6.66</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8" w:right="-108" w:firstLine="0"/>
              <w:jc w:val="left"/>
              <w:textAlignment w:val="baseline"/>
              <w:rPr>
                <w:bCs/>
                <w:sz w:val="22"/>
                <w:szCs w:val="22"/>
              </w:rPr>
            </w:pPr>
            <w:r>
              <w:rPr>
                <w:bCs/>
                <w:sz w:val="22"/>
                <w:szCs w:val="22"/>
              </w:rPr>
              <w:t>6.57</w:t>
            </w:r>
          </w:p>
        </w:tc>
        <w:tc>
          <w:tcPr>
            <w:tcW w:w="1134" w:type="dxa"/>
            <w:tcBorders>
              <w:top w:val="single" w:sz="4" w:space="0" w:color="auto"/>
              <w:left w:val="single" w:sz="4" w:space="0" w:color="auto"/>
              <w:bottom w:val="single" w:sz="4" w:space="0" w:color="auto"/>
              <w:right w:val="single" w:sz="4" w:space="0" w:color="auto"/>
            </w:tcBorders>
          </w:tcPr>
          <w:p w:rsidR="00BC496A" w:rsidRPr="00E8719C" w:rsidRDefault="00BC496A" w:rsidP="007372A1">
            <w:pPr>
              <w:widowControl w:val="0"/>
              <w:tabs>
                <w:tab w:val="decimal" w:pos="420"/>
              </w:tabs>
              <w:adjustRightInd w:val="0"/>
              <w:spacing w:before="60" w:after="60"/>
              <w:ind w:left="-28" w:right="-108" w:firstLine="0"/>
              <w:jc w:val="left"/>
              <w:textAlignment w:val="baseline"/>
              <w:rPr>
                <w:b/>
                <w:bCs/>
                <w:sz w:val="22"/>
                <w:szCs w:val="22"/>
              </w:rPr>
            </w:pPr>
            <w:r w:rsidRPr="00E8719C">
              <w:rPr>
                <w:b/>
                <w:bCs/>
                <w:sz w:val="22"/>
                <w:szCs w:val="22"/>
              </w:rPr>
              <w:t>6.54</w:t>
            </w:r>
          </w:p>
        </w:tc>
        <w:tc>
          <w:tcPr>
            <w:tcW w:w="992" w:type="dxa"/>
            <w:tcBorders>
              <w:top w:val="single" w:sz="4" w:space="0" w:color="auto"/>
              <w:left w:val="single" w:sz="4" w:space="0" w:color="auto"/>
              <w:bottom w:val="single" w:sz="4" w:space="0" w:color="auto"/>
              <w:right w:val="single" w:sz="4" w:space="0" w:color="auto"/>
            </w:tcBorders>
          </w:tcPr>
          <w:p w:rsidR="00BC496A" w:rsidRPr="0007196B" w:rsidRDefault="00BC496A" w:rsidP="007372A1">
            <w:pPr>
              <w:widowControl w:val="0"/>
              <w:tabs>
                <w:tab w:val="decimal" w:pos="278"/>
              </w:tabs>
              <w:adjustRightInd w:val="0"/>
              <w:spacing w:before="60" w:after="60"/>
              <w:ind w:left="-28" w:right="-108" w:firstLine="0"/>
              <w:jc w:val="left"/>
              <w:textAlignment w:val="baseline"/>
              <w:rPr>
                <w:bCs/>
                <w:sz w:val="22"/>
                <w:szCs w:val="22"/>
              </w:rPr>
            </w:pPr>
            <w:r w:rsidRPr="0007196B">
              <w:rPr>
                <w:bCs/>
                <w:sz w:val="22"/>
                <w:szCs w:val="22"/>
              </w:rPr>
              <w:t>6.</w:t>
            </w:r>
            <w:r>
              <w:rPr>
                <w:bCs/>
                <w:sz w:val="22"/>
                <w:szCs w:val="22"/>
              </w:rPr>
              <w:t>60</w:t>
            </w:r>
          </w:p>
        </w:tc>
        <w:tc>
          <w:tcPr>
            <w:tcW w:w="960" w:type="dxa"/>
            <w:tcBorders>
              <w:top w:val="single" w:sz="4" w:space="0" w:color="auto"/>
              <w:left w:val="single" w:sz="4" w:space="0" w:color="auto"/>
              <w:bottom w:val="single" w:sz="4" w:space="0" w:color="auto"/>
              <w:right w:val="single" w:sz="4" w:space="0" w:color="auto"/>
            </w:tcBorders>
          </w:tcPr>
          <w:p w:rsidR="00BC496A" w:rsidRPr="0007196B" w:rsidRDefault="00BC496A" w:rsidP="007372A1">
            <w:pPr>
              <w:widowControl w:val="0"/>
              <w:tabs>
                <w:tab w:val="decimal" w:pos="278"/>
              </w:tabs>
              <w:adjustRightInd w:val="0"/>
              <w:spacing w:before="60" w:after="60"/>
              <w:ind w:left="-28" w:right="-108" w:firstLine="0"/>
              <w:jc w:val="left"/>
              <w:textAlignment w:val="baseline"/>
              <w:rPr>
                <w:bCs/>
                <w:sz w:val="22"/>
                <w:szCs w:val="22"/>
              </w:rPr>
            </w:pPr>
            <w:r w:rsidRPr="0007196B">
              <w:rPr>
                <w:bCs/>
                <w:sz w:val="22"/>
                <w:szCs w:val="22"/>
              </w:rPr>
              <w:t>6.</w:t>
            </w:r>
            <w:r>
              <w:rPr>
                <w:bCs/>
                <w:sz w:val="22"/>
                <w:szCs w:val="22"/>
              </w:rPr>
              <w:t>70</w:t>
            </w:r>
          </w:p>
        </w:tc>
        <w:tc>
          <w:tcPr>
            <w:tcW w:w="1098" w:type="dxa"/>
            <w:tcBorders>
              <w:top w:val="single" w:sz="4" w:space="0" w:color="auto"/>
              <w:left w:val="single" w:sz="4" w:space="0" w:color="auto"/>
              <w:bottom w:val="single" w:sz="4" w:space="0" w:color="auto"/>
              <w:right w:val="double" w:sz="4" w:space="0" w:color="auto"/>
            </w:tcBorders>
          </w:tcPr>
          <w:p w:rsidR="00BC496A" w:rsidRPr="0007196B" w:rsidRDefault="00BC496A" w:rsidP="007372A1">
            <w:pPr>
              <w:widowControl w:val="0"/>
              <w:tabs>
                <w:tab w:val="decimal" w:pos="278"/>
              </w:tabs>
              <w:adjustRightInd w:val="0"/>
              <w:spacing w:before="60" w:after="60"/>
              <w:ind w:left="-28" w:right="-108" w:firstLine="0"/>
              <w:jc w:val="left"/>
              <w:textAlignment w:val="baseline"/>
              <w:rPr>
                <w:bCs/>
                <w:sz w:val="22"/>
                <w:szCs w:val="22"/>
              </w:rPr>
            </w:pPr>
            <w:r w:rsidRPr="0007196B">
              <w:rPr>
                <w:bCs/>
                <w:sz w:val="22"/>
                <w:szCs w:val="22"/>
              </w:rPr>
              <w:t>6.</w:t>
            </w:r>
            <w:r>
              <w:rPr>
                <w:bCs/>
                <w:sz w:val="22"/>
                <w:szCs w:val="22"/>
              </w:rPr>
              <w:t>84</w:t>
            </w:r>
          </w:p>
        </w:tc>
      </w:tr>
      <w:tr w:rsidR="00BC496A" w:rsidTr="007372A1">
        <w:trPr>
          <w:jc w:val="center"/>
        </w:trPr>
        <w:tc>
          <w:tcPr>
            <w:tcW w:w="673" w:type="dxa"/>
            <w:tcBorders>
              <w:left w:val="double" w:sz="4" w:space="0" w:color="auto"/>
              <w:right w:val="single" w:sz="4" w:space="0" w:color="auto"/>
            </w:tcBorders>
          </w:tcPr>
          <w:p w:rsidR="00BC496A" w:rsidRDefault="00BC496A" w:rsidP="007372A1">
            <w:pPr>
              <w:pStyle w:val="Normaali1"/>
              <w:tabs>
                <w:tab w:val="right" w:pos="274"/>
              </w:tabs>
              <w:spacing w:before="60" w:after="60" w:line="240" w:lineRule="auto"/>
              <w:ind w:left="-9" w:right="-115"/>
              <w:jc w:val="left"/>
              <w:rPr>
                <w:rFonts w:ascii="Times New Roman" w:hAnsi="Times New Roman"/>
                <w:sz w:val="22"/>
                <w:szCs w:val="22"/>
              </w:rPr>
            </w:pPr>
            <w:r>
              <w:rPr>
                <w:rFonts w:ascii="Times New Roman" w:hAnsi="Times New Roman"/>
                <w:sz w:val="22"/>
                <w:szCs w:val="22"/>
              </w:rPr>
              <w:tab/>
              <w:t>3</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Gyeongbuk</w:t>
            </w:r>
          </w:p>
        </w:tc>
        <w:tc>
          <w:tcPr>
            <w:tcW w:w="104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10.23</w:t>
            </w:r>
          </w:p>
        </w:tc>
        <w:tc>
          <w:tcPr>
            <w:tcW w:w="108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8.30</w:t>
            </w:r>
          </w:p>
        </w:tc>
        <w:tc>
          <w:tcPr>
            <w:tcW w:w="992"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6.73</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20"/>
              </w:tabs>
              <w:adjustRightInd w:val="0"/>
              <w:spacing w:before="60" w:after="60"/>
              <w:ind w:left="-26" w:right="-108" w:firstLine="0"/>
              <w:jc w:val="left"/>
              <w:textAlignment w:val="baseline"/>
              <w:rPr>
                <w:bCs/>
                <w:sz w:val="22"/>
                <w:szCs w:val="22"/>
              </w:rPr>
            </w:pPr>
            <w:r>
              <w:rPr>
                <w:bCs/>
                <w:sz w:val="22"/>
                <w:szCs w:val="22"/>
              </w:rPr>
              <w:t>5.99</w:t>
            </w:r>
          </w:p>
        </w:tc>
        <w:tc>
          <w:tcPr>
            <w:tcW w:w="992" w:type="dxa"/>
            <w:tcBorders>
              <w:top w:val="single" w:sz="4" w:space="0" w:color="auto"/>
              <w:left w:val="single" w:sz="4" w:space="0" w:color="auto"/>
              <w:bottom w:val="single" w:sz="4" w:space="0" w:color="auto"/>
              <w:right w:val="single" w:sz="4" w:space="0" w:color="auto"/>
            </w:tcBorders>
            <w:vAlign w:val="bottom"/>
          </w:tcPr>
          <w:p w:rsidR="00BC496A" w:rsidRPr="00986DB8" w:rsidRDefault="00BC496A" w:rsidP="007372A1">
            <w:pPr>
              <w:widowControl w:val="0"/>
              <w:tabs>
                <w:tab w:val="decimal" w:pos="278"/>
              </w:tabs>
              <w:adjustRightInd w:val="0"/>
              <w:spacing w:before="60" w:after="60"/>
              <w:ind w:left="-26" w:right="-108" w:firstLine="0"/>
              <w:jc w:val="left"/>
              <w:textAlignment w:val="baseline"/>
              <w:rPr>
                <w:b/>
                <w:bCs/>
                <w:sz w:val="22"/>
                <w:szCs w:val="22"/>
              </w:rPr>
            </w:pPr>
            <w:r w:rsidRPr="00986DB8">
              <w:rPr>
                <w:b/>
                <w:bCs/>
                <w:sz w:val="22"/>
                <w:szCs w:val="22"/>
              </w:rPr>
              <w:t>5.76</w:t>
            </w:r>
          </w:p>
        </w:tc>
        <w:tc>
          <w:tcPr>
            <w:tcW w:w="960" w:type="dxa"/>
            <w:tcBorders>
              <w:top w:val="single" w:sz="4" w:space="0" w:color="auto"/>
              <w:left w:val="single" w:sz="4" w:space="0" w:color="auto"/>
              <w:bottom w:val="single" w:sz="4" w:space="0" w:color="auto"/>
              <w:right w:val="single" w:sz="4" w:space="0" w:color="auto"/>
            </w:tcBorders>
            <w:vAlign w:val="bottom"/>
          </w:tcPr>
          <w:p w:rsidR="00BC496A" w:rsidRPr="00392A7B"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6</w:t>
            </w:r>
            <w:r w:rsidRPr="00392A7B">
              <w:rPr>
                <w:bCs/>
                <w:sz w:val="22"/>
                <w:szCs w:val="22"/>
              </w:rPr>
              <w:t>.</w:t>
            </w:r>
            <w:r>
              <w:rPr>
                <w:bCs/>
                <w:sz w:val="22"/>
                <w:szCs w:val="22"/>
              </w:rPr>
              <w:t>0</w:t>
            </w:r>
            <w:r w:rsidRPr="00392A7B">
              <w:rPr>
                <w:bCs/>
                <w:sz w:val="22"/>
                <w:szCs w:val="22"/>
              </w:rPr>
              <w:t>6</w:t>
            </w:r>
          </w:p>
        </w:tc>
        <w:tc>
          <w:tcPr>
            <w:tcW w:w="1098" w:type="dxa"/>
            <w:tcBorders>
              <w:top w:val="single" w:sz="4" w:space="0" w:color="auto"/>
              <w:left w:val="single" w:sz="4" w:space="0" w:color="auto"/>
              <w:bottom w:val="single" w:sz="4" w:space="0" w:color="auto"/>
              <w:right w:val="double" w:sz="4" w:space="0" w:color="auto"/>
            </w:tcBorders>
            <w:vAlign w:val="bottom"/>
          </w:tcPr>
          <w:p w:rsidR="00BC496A" w:rsidRPr="00392A7B"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6</w:t>
            </w:r>
            <w:r w:rsidRPr="00392A7B">
              <w:rPr>
                <w:bCs/>
                <w:sz w:val="22"/>
                <w:szCs w:val="22"/>
              </w:rPr>
              <w:t>.</w:t>
            </w:r>
            <w:r>
              <w:rPr>
                <w:bCs/>
                <w:sz w:val="22"/>
                <w:szCs w:val="22"/>
              </w:rPr>
              <w:t>48</w:t>
            </w:r>
          </w:p>
        </w:tc>
      </w:tr>
      <w:tr w:rsidR="00BC496A" w:rsidTr="007372A1">
        <w:trPr>
          <w:jc w:val="center"/>
        </w:trPr>
        <w:tc>
          <w:tcPr>
            <w:tcW w:w="673" w:type="dxa"/>
            <w:tcBorders>
              <w:left w:val="double" w:sz="4" w:space="0" w:color="auto"/>
              <w:right w:val="single" w:sz="4" w:space="0" w:color="auto"/>
            </w:tcBorders>
          </w:tcPr>
          <w:p w:rsidR="00BC496A" w:rsidRDefault="00BC496A" w:rsidP="007372A1">
            <w:pPr>
              <w:pStyle w:val="Normaali1"/>
              <w:tabs>
                <w:tab w:val="right" w:pos="274"/>
              </w:tabs>
              <w:spacing w:before="60" w:after="60" w:line="240" w:lineRule="auto"/>
              <w:ind w:left="-9" w:right="-115"/>
              <w:jc w:val="left"/>
              <w:rPr>
                <w:rFonts w:ascii="Times New Roman" w:hAnsi="Times New Roman"/>
                <w:sz w:val="22"/>
                <w:szCs w:val="22"/>
              </w:rPr>
            </w:pPr>
            <w:r>
              <w:rPr>
                <w:rFonts w:ascii="Times New Roman" w:hAnsi="Times New Roman"/>
                <w:sz w:val="22"/>
                <w:szCs w:val="22"/>
              </w:rPr>
              <w:tab/>
              <w:t>4</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Gyeongsangnam-do</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8" w:right="-108" w:firstLine="0"/>
              <w:jc w:val="left"/>
              <w:textAlignment w:val="baseline"/>
              <w:rPr>
                <w:bCs/>
                <w:sz w:val="22"/>
                <w:szCs w:val="22"/>
              </w:rPr>
            </w:pPr>
            <w:r>
              <w:rPr>
                <w:bCs/>
                <w:sz w:val="22"/>
                <w:szCs w:val="22"/>
              </w:rPr>
              <w:t>9.32</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8" w:right="-108" w:firstLine="0"/>
              <w:jc w:val="left"/>
              <w:textAlignment w:val="baseline"/>
              <w:rPr>
                <w:bCs/>
                <w:sz w:val="22"/>
                <w:szCs w:val="22"/>
              </w:rPr>
            </w:pPr>
            <w:r>
              <w:rPr>
                <w:bCs/>
                <w:sz w:val="22"/>
                <w:szCs w:val="22"/>
              </w:rPr>
              <w:t>7.25</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8" w:right="-108" w:firstLine="0"/>
              <w:jc w:val="left"/>
              <w:textAlignment w:val="baseline"/>
              <w:rPr>
                <w:bCs/>
                <w:sz w:val="22"/>
                <w:szCs w:val="22"/>
              </w:rPr>
            </w:pPr>
            <w:r>
              <w:rPr>
                <w:bCs/>
                <w:sz w:val="22"/>
                <w:szCs w:val="22"/>
              </w:rPr>
              <w:t>6.17</w:t>
            </w:r>
          </w:p>
        </w:tc>
        <w:tc>
          <w:tcPr>
            <w:tcW w:w="1134"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20"/>
              </w:tabs>
              <w:adjustRightInd w:val="0"/>
              <w:spacing w:before="60" w:after="60"/>
              <w:ind w:left="-28" w:right="-108" w:firstLine="0"/>
              <w:jc w:val="left"/>
              <w:textAlignment w:val="baseline"/>
              <w:rPr>
                <w:bCs/>
                <w:sz w:val="22"/>
                <w:szCs w:val="22"/>
              </w:rPr>
            </w:pPr>
            <w:r>
              <w:rPr>
                <w:bCs/>
                <w:sz w:val="22"/>
                <w:szCs w:val="22"/>
              </w:rPr>
              <w:t>5.46</w:t>
            </w:r>
          </w:p>
        </w:tc>
        <w:tc>
          <w:tcPr>
            <w:tcW w:w="992" w:type="dxa"/>
            <w:tcBorders>
              <w:top w:val="single" w:sz="4" w:space="0" w:color="auto"/>
              <w:left w:val="single" w:sz="4" w:space="0" w:color="auto"/>
              <w:bottom w:val="single" w:sz="4" w:space="0" w:color="auto"/>
              <w:right w:val="single" w:sz="4" w:space="0" w:color="auto"/>
            </w:tcBorders>
          </w:tcPr>
          <w:p w:rsidR="00BC496A" w:rsidRPr="00986DB8" w:rsidRDefault="00BC496A" w:rsidP="007372A1">
            <w:pPr>
              <w:widowControl w:val="0"/>
              <w:tabs>
                <w:tab w:val="decimal" w:pos="278"/>
              </w:tabs>
              <w:adjustRightInd w:val="0"/>
              <w:spacing w:before="60" w:after="60"/>
              <w:ind w:left="-28" w:right="-108" w:firstLine="0"/>
              <w:jc w:val="left"/>
              <w:textAlignment w:val="baseline"/>
              <w:rPr>
                <w:b/>
                <w:bCs/>
                <w:sz w:val="22"/>
                <w:szCs w:val="22"/>
              </w:rPr>
            </w:pPr>
            <w:r w:rsidRPr="00986DB8">
              <w:rPr>
                <w:b/>
                <w:bCs/>
                <w:sz w:val="22"/>
                <w:szCs w:val="22"/>
              </w:rPr>
              <w:t>5.41</w:t>
            </w:r>
          </w:p>
        </w:tc>
        <w:tc>
          <w:tcPr>
            <w:tcW w:w="960" w:type="dxa"/>
            <w:tcBorders>
              <w:top w:val="single" w:sz="4" w:space="0" w:color="auto"/>
              <w:left w:val="single" w:sz="4" w:space="0" w:color="auto"/>
              <w:bottom w:val="single" w:sz="4" w:space="0" w:color="auto"/>
              <w:right w:val="single" w:sz="4" w:space="0" w:color="auto"/>
            </w:tcBorders>
          </w:tcPr>
          <w:p w:rsidR="00BC496A" w:rsidRPr="00392A7B" w:rsidRDefault="00BC496A" w:rsidP="007372A1">
            <w:pPr>
              <w:widowControl w:val="0"/>
              <w:tabs>
                <w:tab w:val="decimal" w:pos="278"/>
              </w:tabs>
              <w:adjustRightInd w:val="0"/>
              <w:spacing w:before="60" w:after="60"/>
              <w:ind w:left="-28" w:right="-108" w:firstLine="0"/>
              <w:jc w:val="left"/>
              <w:textAlignment w:val="baseline"/>
              <w:rPr>
                <w:bCs/>
                <w:sz w:val="22"/>
                <w:szCs w:val="22"/>
              </w:rPr>
            </w:pPr>
            <w:r>
              <w:rPr>
                <w:bCs/>
                <w:sz w:val="22"/>
                <w:szCs w:val="22"/>
              </w:rPr>
              <w:t>6</w:t>
            </w:r>
            <w:r w:rsidRPr="00392A7B">
              <w:rPr>
                <w:bCs/>
                <w:sz w:val="22"/>
                <w:szCs w:val="22"/>
              </w:rPr>
              <w:t>.</w:t>
            </w:r>
            <w:r>
              <w:rPr>
                <w:bCs/>
                <w:sz w:val="22"/>
                <w:szCs w:val="22"/>
              </w:rPr>
              <w:t>03</w:t>
            </w:r>
          </w:p>
        </w:tc>
        <w:tc>
          <w:tcPr>
            <w:tcW w:w="1098" w:type="dxa"/>
            <w:tcBorders>
              <w:top w:val="single" w:sz="4" w:space="0" w:color="auto"/>
              <w:left w:val="single" w:sz="4" w:space="0" w:color="auto"/>
              <w:bottom w:val="single" w:sz="4" w:space="0" w:color="auto"/>
              <w:right w:val="double" w:sz="4" w:space="0" w:color="auto"/>
            </w:tcBorders>
          </w:tcPr>
          <w:p w:rsidR="00BC496A" w:rsidRPr="00392A7B" w:rsidRDefault="00BC496A" w:rsidP="007372A1">
            <w:pPr>
              <w:widowControl w:val="0"/>
              <w:tabs>
                <w:tab w:val="decimal" w:pos="278"/>
              </w:tabs>
              <w:adjustRightInd w:val="0"/>
              <w:spacing w:before="60" w:after="60"/>
              <w:ind w:left="-28" w:right="-108" w:firstLine="0"/>
              <w:jc w:val="left"/>
              <w:textAlignment w:val="baseline"/>
              <w:rPr>
                <w:bCs/>
                <w:sz w:val="22"/>
                <w:szCs w:val="22"/>
              </w:rPr>
            </w:pPr>
            <w:r>
              <w:rPr>
                <w:bCs/>
                <w:sz w:val="22"/>
                <w:szCs w:val="22"/>
              </w:rPr>
              <w:t>7</w:t>
            </w:r>
            <w:r w:rsidRPr="00392A7B">
              <w:rPr>
                <w:bCs/>
                <w:sz w:val="22"/>
                <w:szCs w:val="22"/>
              </w:rPr>
              <w:t>.</w:t>
            </w:r>
            <w:r>
              <w:rPr>
                <w:bCs/>
                <w:sz w:val="22"/>
                <w:szCs w:val="22"/>
              </w:rPr>
              <w:t>15</w:t>
            </w:r>
          </w:p>
        </w:tc>
      </w:tr>
      <w:tr w:rsidR="00BC496A" w:rsidTr="007372A1">
        <w:trPr>
          <w:jc w:val="center"/>
        </w:trPr>
        <w:tc>
          <w:tcPr>
            <w:tcW w:w="673" w:type="dxa"/>
            <w:tcBorders>
              <w:left w:val="double" w:sz="4" w:space="0" w:color="auto"/>
              <w:right w:val="single" w:sz="4" w:space="0" w:color="auto"/>
            </w:tcBorders>
          </w:tcPr>
          <w:p w:rsidR="00BC496A" w:rsidRDefault="00BC496A" w:rsidP="007372A1">
            <w:pPr>
              <w:pStyle w:val="Normaali1"/>
              <w:tabs>
                <w:tab w:val="right" w:pos="290"/>
              </w:tabs>
              <w:spacing w:before="60" w:after="60" w:line="240" w:lineRule="auto"/>
              <w:ind w:left="26" w:right="-84"/>
              <w:jc w:val="left"/>
              <w:rPr>
                <w:rFonts w:ascii="Times New Roman" w:hAnsi="Times New Roman"/>
                <w:sz w:val="22"/>
                <w:szCs w:val="22"/>
              </w:rPr>
            </w:pPr>
            <w:r>
              <w:rPr>
                <w:rFonts w:ascii="Times New Roman" w:hAnsi="Times New Roman"/>
                <w:sz w:val="22"/>
                <w:szCs w:val="22"/>
              </w:rPr>
              <w:tab/>
              <w:t>5</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Ulsan</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8" w:right="-108" w:firstLine="0"/>
              <w:jc w:val="left"/>
              <w:textAlignment w:val="baseline"/>
              <w:rPr>
                <w:bCs/>
                <w:sz w:val="22"/>
                <w:szCs w:val="22"/>
              </w:rPr>
            </w:pPr>
            <w:r>
              <w:rPr>
                <w:bCs/>
                <w:sz w:val="22"/>
                <w:szCs w:val="22"/>
              </w:rPr>
              <w:t>15.09</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8" w:right="-108" w:firstLine="0"/>
              <w:jc w:val="left"/>
              <w:textAlignment w:val="baseline"/>
              <w:rPr>
                <w:bCs/>
                <w:sz w:val="22"/>
                <w:szCs w:val="22"/>
              </w:rPr>
            </w:pPr>
            <w:r>
              <w:rPr>
                <w:bCs/>
                <w:sz w:val="22"/>
                <w:szCs w:val="22"/>
              </w:rPr>
              <w:t>13.54</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8" w:right="-108" w:firstLine="0"/>
              <w:jc w:val="left"/>
              <w:textAlignment w:val="baseline"/>
              <w:rPr>
                <w:bCs/>
                <w:sz w:val="22"/>
                <w:szCs w:val="22"/>
              </w:rPr>
            </w:pPr>
            <w:r>
              <w:rPr>
                <w:bCs/>
                <w:sz w:val="22"/>
                <w:szCs w:val="22"/>
              </w:rPr>
              <w:t>12.11</w:t>
            </w:r>
          </w:p>
        </w:tc>
        <w:tc>
          <w:tcPr>
            <w:tcW w:w="1134"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20"/>
              </w:tabs>
              <w:adjustRightInd w:val="0"/>
              <w:spacing w:before="60" w:after="60"/>
              <w:ind w:left="-28" w:right="-108" w:firstLine="0"/>
              <w:jc w:val="left"/>
              <w:textAlignment w:val="baseline"/>
              <w:rPr>
                <w:bCs/>
                <w:sz w:val="22"/>
                <w:szCs w:val="22"/>
              </w:rPr>
            </w:pPr>
            <w:r>
              <w:rPr>
                <w:bCs/>
                <w:sz w:val="22"/>
                <w:szCs w:val="22"/>
              </w:rPr>
              <w:t>10.77</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8" w:right="-108" w:firstLine="0"/>
              <w:jc w:val="left"/>
              <w:textAlignment w:val="baseline"/>
              <w:rPr>
                <w:bCs/>
                <w:sz w:val="22"/>
                <w:szCs w:val="22"/>
              </w:rPr>
            </w:pPr>
            <w:r>
              <w:rPr>
                <w:bCs/>
                <w:sz w:val="22"/>
                <w:szCs w:val="22"/>
              </w:rPr>
              <w:t>9.58</w:t>
            </w:r>
          </w:p>
        </w:tc>
        <w:tc>
          <w:tcPr>
            <w:tcW w:w="96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8" w:right="-108" w:firstLine="0"/>
              <w:jc w:val="left"/>
              <w:textAlignment w:val="baseline"/>
              <w:rPr>
                <w:bCs/>
                <w:sz w:val="22"/>
                <w:szCs w:val="22"/>
              </w:rPr>
            </w:pPr>
            <w:r>
              <w:rPr>
                <w:bCs/>
                <w:sz w:val="22"/>
                <w:szCs w:val="22"/>
              </w:rPr>
              <w:t>8.67</w:t>
            </w:r>
          </w:p>
        </w:tc>
        <w:tc>
          <w:tcPr>
            <w:tcW w:w="1098"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278"/>
              </w:tabs>
              <w:adjustRightInd w:val="0"/>
              <w:spacing w:before="60" w:after="60"/>
              <w:ind w:left="-28" w:right="-108" w:firstLine="0"/>
              <w:jc w:val="left"/>
              <w:textAlignment w:val="baseline"/>
              <w:rPr>
                <w:bCs/>
                <w:sz w:val="22"/>
                <w:szCs w:val="22"/>
              </w:rPr>
            </w:pPr>
            <w:r w:rsidRPr="00AD6F0A">
              <w:rPr>
                <w:b/>
                <w:bCs/>
                <w:sz w:val="22"/>
                <w:szCs w:val="22"/>
              </w:rPr>
              <w:t>8.30</w:t>
            </w:r>
            <w:r>
              <w:rPr>
                <w:bCs/>
                <w:sz w:val="22"/>
                <w:szCs w:val="22"/>
              </w:rPr>
              <w:t>*</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left="26" w:right="-84"/>
              <w:jc w:val="left"/>
              <w:rPr>
                <w:rFonts w:ascii="Times New Roman" w:hAnsi="Times New Roman"/>
                <w:sz w:val="22"/>
                <w:szCs w:val="22"/>
              </w:rPr>
            </w:pPr>
            <w:r>
              <w:rPr>
                <w:rFonts w:ascii="Times New Roman" w:hAnsi="Times New Roman"/>
                <w:sz w:val="22"/>
                <w:szCs w:val="22"/>
              </w:rPr>
              <w:tab/>
            </w:r>
            <w:r w:rsidRPr="0056310B">
              <w:rPr>
                <w:rFonts w:ascii="Times New Roman" w:hAnsi="Times New Roman"/>
                <w:sz w:val="22"/>
                <w:szCs w:val="22"/>
              </w:rPr>
              <w:t>6</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Jeollanam-do</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13.54</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12.58</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12.04</w:t>
            </w:r>
          </w:p>
        </w:tc>
        <w:tc>
          <w:tcPr>
            <w:tcW w:w="1134"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20"/>
              </w:tabs>
              <w:adjustRightInd w:val="0"/>
              <w:spacing w:before="60" w:after="60"/>
              <w:ind w:left="-26" w:right="-108" w:firstLine="0"/>
              <w:jc w:val="left"/>
              <w:textAlignment w:val="baseline"/>
              <w:rPr>
                <w:bCs/>
                <w:sz w:val="22"/>
                <w:szCs w:val="22"/>
              </w:rPr>
            </w:pPr>
            <w:r>
              <w:rPr>
                <w:bCs/>
                <w:sz w:val="22"/>
                <w:szCs w:val="22"/>
              </w:rPr>
              <w:t>11.71</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11.56</w:t>
            </w:r>
          </w:p>
        </w:tc>
        <w:tc>
          <w:tcPr>
            <w:tcW w:w="960" w:type="dxa"/>
            <w:tcBorders>
              <w:top w:val="single" w:sz="4" w:space="0" w:color="auto"/>
              <w:left w:val="single" w:sz="4" w:space="0" w:color="auto"/>
              <w:bottom w:val="single" w:sz="4" w:space="0" w:color="auto"/>
              <w:right w:val="single" w:sz="4" w:space="0" w:color="auto"/>
            </w:tcBorders>
          </w:tcPr>
          <w:p w:rsidR="00BC496A" w:rsidRPr="00F30D57" w:rsidRDefault="00BC496A" w:rsidP="007372A1">
            <w:pPr>
              <w:widowControl w:val="0"/>
              <w:tabs>
                <w:tab w:val="decimal" w:pos="278"/>
              </w:tabs>
              <w:adjustRightInd w:val="0"/>
              <w:spacing w:before="60" w:after="60"/>
              <w:ind w:left="-26" w:right="-108" w:firstLine="0"/>
              <w:jc w:val="left"/>
              <w:textAlignment w:val="baseline"/>
              <w:rPr>
                <w:b/>
                <w:bCs/>
                <w:sz w:val="22"/>
                <w:szCs w:val="22"/>
              </w:rPr>
            </w:pPr>
            <w:r w:rsidRPr="00F30D57">
              <w:rPr>
                <w:b/>
                <w:bCs/>
                <w:sz w:val="22"/>
                <w:szCs w:val="22"/>
              </w:rPr>
              <w:t>11.54</w:t>
            </w:r>
          </w:p>
        </w:tc>
        <w:tc>
          <w:tcPr>
            <w:tcW w:w="1098" w:type="dxa"/>
            <w:tcBorders>
              <w:top w:val="single" w:sz="4" w:space="0" w:color="auto"/>
              <w:left w:val="single" w:sz="4" w:space="0" w:color="auto"/>
              <w:bottom w:val="single" w:sz="4" w:space="0" w:color="auto"/>
              <w:right w:val="double" w:sz="4" w:space="0" w:color="auto"/>
            </w:tcBorders>
          </w:tcPr>
          <w:p w:rsidR="00BC496A" w:rsidRPr="00C77E93" w:rsidRDefault="00BC496A" w:rsidP="007372A1">
            <w:pPr>
              <w:widowControl w:val="0"/>
              <w:tabs>
                <w:tab w:val="decimal" w:pos="278"/>
              </w:tabs>
              <w:adjustRightInd w:val="0"/>
              <w:spacing w:before="60" w:after="60"/>
              <w:ind w:left="-26" w:right="-108" w:firstLine="0"/>
              <w:jc w:val="left"/>
              <w:textAlignment w:val="baseline"/>
              <w:rPr>
                <w:bCs/>
                <w:sz w:val="22"/>
                <w:szCs w:val="22"/>
              </w:rPr>
            </w:pPr>
            <w:r w:rsidRPr="00C77E93">
              <w:rPr>
                <w:bCs/>
                <w:sz w:val="22"/>
                <w:szCs w:val="22"/>
              </w:rPr>
              <w:t>11.5</w:t>
            </w:r>
            <w:r>
              <w:rPr>
                <w:bCs/>
                <w:sz w:val="22"/>
                <w:szCs w:val="22"/>
              </w:rPr>
              <w:t>6</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80"/>
              </w:tabs>
              <w:spacing w:before="60" w:after="60" w:line="240" w:lineRule="auto"/>
              <w:ind w:left="26" w:right="-84"/>
              <w:jc w:val="left"/>
              <w:rPr>
                <w:rFonts w:ascii="Times New Roman" w:hAnsi="Times New Roman"/>
                <w:sz w:val="22"/>
                <w:szCs w:val="22"/>
              </w:rPr>
            </w:pPr>
            <w:r>
              <w:rPr>
                <w:rFonts w:ascii="Times New Roman" w:hAnsi="Times New Roman"/>
                <w:sz w:val="22"/>
                <w:szCs w:val="22"/>
              </w:rPr>
              <w:tab/>
              <w:t>7</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Chungcheongnam-do</w:t>
            </w:r>
          </w:p>
        </w:tc>
        <w:tc>
          <w:tcPr>
            <w:tcW w:w="1040" w:type="dxa"/>
            <w:tcBorders>
              <w:top w:val="single" w:sz="4" w:space="0" w:color="auto"/>
              <w:left w:val="single" w:sz="4" w:space="0" w:color="auto"/>
              <w:bottom w:val="single" w:sz="4" w:space="0" w:color="auto"/>
              <w:right w:val="single" w:sz="4" w:space="0" w:color="auto"/>
            </w:tcBorders>
          </w:tcPr>
          <w:p w:rsidR="00BC496A" w:rsidRPr="00CE2864" w:rsidRDefault="00BC496A" w:rsidP="007372A1">
            <w:pPr>
              <w:widowControl w:val="0"/>
              <w:tabs>
                <w:tab w:val="decimal" w:pos="419"/>
              </w:tabs>
              <w:adjustRightInd w:val="0"/>
              <w:spacing w:before="60" w:after="60"/>
              <w:ind w:left="-44" w:right="-108" w:firstLine="0"/>
              <w:jc w:val="left"/>
              <w:textAlignment w:val="baseline"/>
              <w:rPr>
                <w:bCs/>
                <w:sz w:val="22"/>
                <w:szCs w:val="22"/>
              </w:rPr>
            </w:pPr>
            <w:r>
              <w:rPr>
                <w:bCs/>
                <w:sz w:val="22"/>
                <w:szCs w:val="22"/>
              </w:rPr>
              <w:t>15.94</w:t>
            </w:r>
          </w:p>
        </w:tc>
        <w:tc>
          <w:tcPr>
            <w:tcW w:w="1086" w:type="dxa"/>
            <w:tcBorders>
              <w:top w:val="single" w:sz="4" w:space="0" w:color="auto"/>
              <w:left w:val="single" w:sz="4" w:space="0" w:color="auto"/>
              <w:bottom w:val="single" w:sz="4" w:space="0" w:color="auto"/>
              <w:right w:val="single" w:sz="4" w:space="0" w:color="auto"/>
            </w:tcBorders>
          </w:tcPr>
          <w:p w:rsidR="00BC496A" w:rsidRPr="00CE2864" w:rsidRDefault="00BC496A" w:rsidP="007372A1">
            <w:pPr>
              <w:widowControl w:val="0"/>
              <w:tabs>
                <w:tab w:val="decimal" w:pos="419"/>
              </w:tabs>
              <w:adjustRightInd w:val="0"/>
              <w:spacing w:before="60" w:after="60"/>
              <w:ind w:left="-44" w:right="-108" w:firstLine="0"/>
              <w:jc w:val="left"/>
              <w:textAlignment w:val="baseline"/>
              <w:rPr>
                <w:bCs/>
                <w:sz w:val="22"/>
                <w:szCs w:val="22"/>
              </w:rPr>
            </w:pPr>
            <w:r>
              <w:rPr>
                <w:bCs/>
                <w:sz w:val="22"/>
                <w:szCs w:val="22"/>
              </w:rPr>
              <w:t>13.28</w:t>
            </w:r>
          </w:p>
        </w:tc>
        <w:tc>
          <w:tcPr>
            <w:tcW w:w="992" w:type="dxa"/>
            <w:tcBorders>
              <w:top w:val="single" w:sz="4" w:space="0" w:color="auto"/>
              <w:left w:val="single" w:sz="4" w:space="0" w:color="auto"/>
              <w:bottom w:val="single" w:sz="4" w:space="0" w:color="auto"/>
              <w:right w:val="single" w:sz="4" w:space="0" w:color="auto"/>
            </w:tcBorders>
          </w:tcPr>
          <w:p w:rsidR="00BC496A" w:rsidRPr="00CE2864" w:rsidRDefault="00BC496A" w:rsidP="007372A1">
            <w:pPr>
              <w:widowControl w:val="0"/>
              <w:tabs>
                <w:tab w:val="decimal" w:pos="278"/>
              </w:tabs>
              <w:adjustRightInd w:val="0"/>
              <w:spacing w:before="60" w:after="60"/>
              <w:ind w:left="-44" w:right="-108" w:firstLine="0"/>
              <w:jc w:val="left"/>
              <w:textAlignment w:val="baseline"/>
              <w:rPr>
                <w:bCs/>
                <w:sz w:val="22"/>
                <w:szCs w:val="22"/>
              </w:rPr>
            </w:pPr>
            <w:r>
              <w:rPr>
                <w:bCs/>
                <w:sz w:val="22"/>
                <w:szCs w:val="22"/>
              </w:rPr>
              <w:t>10.55</w:t>
            </w:r>
          </w:p>
        </w:tc>
        <w:tc>
          <w:tcPr>
            <w:tcW w:w="1134" w:type="dxa"/>
            <w:tcBorders>
              <w:top w:val="single" w:sz="4" w:space="0" w:color="auto"/>
              <w:left w:val="single" w:sz="4" w:space="0" w:color="auto"/>
              <w:bottom w:val="single" w:sz="4" w:space="0" w:color="auto"/>
              <w:right w:val="single" w:sz="4" w:space="0" w:color="auto"/>
            </w:tcBorders>
          </w:tcPr>
          <w:p w:rsidR="00BC496A" w:rsidRPr="00CE2864" w:rsidRDefault="00BC496A" w:rsidP="007372A1">
            <w:pPr>
              <w:widowControl w:val="0"/>
              <w:tabs>
                <w:tab w:val="decimal" w:pos="420"/>
              </w:tabs>
              <w:adjustRightInd w:val="0"/>
              <w:spacing w:before="60" w:after="60"/>
              <w:ind w:left="-44" w:right="-108" w:firstLine="0"/>
              <w:jc w:val="left"/>
              <w:textAlignment w:val="baseline"/>
              <w:rPr>
                <w:bCs/>
                <w:sz w:val="22"/>
                <w:szCs w:val="22"/>
              </w:rPr>
            </w:pPr>
            <w:r>
              <w:rPr>
                <w:bCs/>
                <w:sz w:val="22"/>
                <w:szCs w:val="22"/>
              </w:rPr>
              <w:t>8.41</w:t>
            </w:r>
          </w:p>
        </w:tc>
        <w:tc>
          <w:tcPr>
            <w:tcW w:w="992" w:type="dxa"/>
            <w:tcBorders>
              <w:top w:val="single" w:sz="4" w:space="0" w:color="auto"/>
              <w:left w:val="single" w:sz="4" w:space="0" w:color="auto"/>
              <w:bottom w:val="single" w:sz="4" w:space="0" w:color="auto"/>
              <w:right w:val="single" w:sz="4" w:space="0" w:color="auto"/>
            </w:tcBorders>
          </w:tcPr>
          <w:p w:rsidR="00BC496A" w:rsidRPr="00CE2864" w:rsidRDefault="00BC496A" w:rsidP="007372A1">
            <w:pPr>
              <w:widowControl w:val="0"/>
              <w:tabs>
                <w:tab w:val="decimal" w:pos="278"/>
              </w:tabs>
              <w:adjustRightInd w:val="0"/>
              <w:spacing w:before="60" w:after="60"/>
              <w:ind w:left="-44" w:right="-108" w:firstLine="0"/>
              <w:jc w:val="left"/>
              <w:textAlignment w:val="baseline"/>
              <w:rPr>
                <w:bCs/>
                <w:sz w:val="22"/>
                <w:szCs w:val="22"/>
              </w:rPr>
            </w:pPr>
            <w:r>
              <w:rPr>
                <w:bCs/>
                <w:sz w:val="22"/>
                <w:szCs w:val="22"/>
              </w:rPr>
              <w:t>7.09</w:t>
            </w:r>
          </w:p>
        </w:tc>
        <w:tc>
          <w:tcPr>
            <w:tcW w:w="960" w:type="dxa"/>
            <w:tcBorders>
              <w:top w:val="single" w:sz="4" w:space="0" w:color="auto"/>
              <w:left w:val="single" w:sz="4" w:space="0" w:color="auto"/>
              <w:bottom w:val="single" w:sz="4" w:space="0" w:color="auto"/>
              <w:right w:val="single" w:sz="4" w:space="0" w:color="auto"/>
            </w:tcBorders>
          </w:tcPr>
          <w:p w:rsidR="00BC496A" w:rsidRPr="00F30D57" w:rsidRDefault="00BC496A" w:rsidP="007372A1">
            <w:pPr>
              <w:widowControl w:val="0"/>
              <w:tabs>
                <w:tab w:val="decimal" w:pos="278"/>
              </w:tabs>
              <w:adjustRightInd w:val="0"/>
              <w:spacing w:before="60" w:after="60"/>
              <w:ind w:left="-44" w:right="-108" w:firstLine="0"/>
              <w:jc w:val="left"/>
              <w:textAlignment w:val="baseline"/>
              <w:rPr>
                <w:b/>
                <w:bCs/>
                <w:sz w:val="22"/>
                <w:szCs w:val="22"/>
              </w:rPr>
            </w:pPr>
            <w:r w:rsidRPr="00F30D57">
              <w:rPr>
                <w:b/>
                <w:bCs/>
                <w:sz w:val="22"/>
                <w:szCs w:val="22"/>
              </w:rPr>
              <w:t>6.65</w:t>
            </w:r>
          </w:p>
        </w:tc>
        <w:tc>
          <w:tcPr>
            <w:tcW w:w="1098" w:type="dxa"/>
            <w:tcBorders>
              <w:top w:val="single" w:sz="4" w:space="0" w:color="auto"/>
              <w:left w:val="single" w:sz="4" w:space="0" w:color="auto"/>
              <w:bottom w:val="single" w:sz="4" w:space="0" w:color="auto"/>
              <w:right w:val="double" w:sz="4" w:space="0" w:color="auto"/>
            </w:tcBorders>
          </w:tcPr>
          <w:p w:rsidR="00BC496A" w:rsidRPr="00C77E93" w:rsidRDefault="00BC496A" w:rsidP="007372A1">
            <w:pPr>
              <w:widowControl w:val="0"/>
              <w:tabs>
                <w:tab w:val="decimal" w:pos="278"/>
              </w:tabs>
              <w:adjustRightInd w:val="0"/>
              <w:spacing w:before="60" w:after="60"/>
              <w:ind w:left="-44" w:right="-108" w:firstLine="0"/>
              <w:jc w:val="left"/>
              <w:textAlignment w:val="baseline"/>
              <w:rPr>
                <w:bCs/>
                <w:sz w:val="22"/>
                <w:szCs w:val="22"/>
              </w:rPr>
            </w:pPr>
            <w:r w:rsidRPr="00C77E93">
              <w:rPr>
                <w:bCs/>
                <w:sz w:val="22"/>
                <w:szCs w:val="22"/>
              </w:rPr>
              <w:t>6.6</w:t>
            </w:r>
            <w:r>
              <w:rPr>
                <w:bCs/>
                <w:sz w:val="22"/>
                <w:szCs w:val="22"/>
              </w:rPr>
              <w:t>6</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left="26" w:right="-84"/>
              <w:jc w:val="left"/>
              <w:rPr>
                <w:rFonts w:ascii="Times New Roman" w:hAnsi="Times New Roman"/>
                <w:sz w:val="22"/>
                <w:szCs w:val="22"/>
              </w:rPr>
            </w:pPr>
            <w:r>
              <w:rPr>
                <w:rFonts w:ascii="Times New Roman" w:hAnsi="Times New Roman"/>
                <w:sz w:val="22"/>
                <w:szCs w:val="22"/>
              </w:rPr>
              <w:tab/>
              <w:t>8</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Incheon</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16.54</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12.93</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9.50</w:t>
            </w:r>
          </w:p>
        </w:tc>
        <w:tc>
          <w:tcPr>
            <w:tcW w:w="1134"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20"/>
              </w:tabs>
              <w:adjustRightInd w:val="0"/>
              <w:spacing w:before="60" w:after="60"/>
              <w:ind w:left="-26" w:right="-108" w:firstLine="0"/>
              <w:jc w:val="left"/>
              <w:textAlignment w:val="baseline"/>
              <w:rPr>
                <w:bCs/>
                <w:sz w:val="22"/>
                <w:szCs w:val="22"/>
              </w:rPr>
            </w:pPr>
            <w:r>
              <w:rPr>
                <w:bCs/>
                <w:sz w:val="22"/>
                <w:szCs w:val="22"/>
              </w:rPr>
              <w:t>7.34</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5.95</w:t>
            </w:r>
          </w:p>
        </w:tc>
        <w:tc>
          <w:tcPr>
            <w:tcW w:w="960" w:type="dxa"/>
            <w:tcBorders>
              <w:top w:val="single" w:sz="4" w:space="0" w:color="auto"/>
              <w:left w:val="single" w:sz="4" w:space="0" w:color="auto"/>
              <w:bottom w:val="single" w:sz="4" w:space="0" w:color="auto"/>
              <w:right w:val="single" w:sz="4" w:space="0" w:color="auto"/>
            </w:tcBorders>
          </w:tcPr>
          <w:p w:rsidR="00BC496A" w:rsidRPr="00F30D57" w:rsidRDefault="00BC496A" w:rsidP="007372A1">
            <w:pPr>
              <w:widowControl w:val="0"/>
              <w:tabs>
                <w:tab w:val="decimal" w:pos="278"/>
              </w:tabs>
              <w:adjustRightInd w:val="0"/>
              <w:spacing w:before="60" w:after="60"/>
              <w:ind w:left="-26" w:right="-108" w:firstLine="0"/>
              <w:jc w:val="left"/>
              <w:textAlignment w:val="baseline"/>
              <w:rPr>
                <w:b/>
                <w:bCs/>
                <w:sz w:val="22"/>
                <w:szCs w:val="22"/>
              </w:rPr>
            </w:pPr>
            <w:r w:rsidRPr="00F30D57">
              <w:rPr>
                <w:b/>
                <w:bCs/>
                <w:sz w:val="22"/>
                <w:szCs w:val="22"/>
              </w:rPr>
              <w:t>5.40</w:t>
            </w:r>
          </w:p>
        </w:tc>
        <w:tc>
          <w:tcPr>
            <w:tcW w:w="1098" w:type="dxa"/>
            <w:tcBorders>
              <w:top w:val="single" w:sz="4" w:space="0" w:color="auto"/>
              <w:left w:val="single" w:sz="4" w:space="0" w:color="auto"/>
              <w:bottom w:val="single" w:sz="4" w:space="0" w:color="auto"/>
              <w:right w:val="double" w:sz="4" w:space="0" w:color="auto"/>
            </w:tcBorders>
          </w:tcPr>
          <w:p w:rsidR="00BC496A" w:rsidRPr="00C77E93" w:rsidRDefault="00BC496A" w:rsidP="007372A1">
            <w:pPr>
              <w:widowControl w:val="0"/>
              <w:tabs>
                <w:tab w:val="decimal" w:pos="278"/>
              </w:tabs>
              <w:adjustRightInd w:val="0"/>
              <w:spacing w:before="60" w:after="60"/>
              <w:ind w:left="-26" w:right="-108" w:firstLine="0"/>
              <w:jc w:val="left"/>
              <w:textAlignment w:val="baseline"/>
              <w:rPr>
                <w:bCs/>
                <w:sz w:val="22"/>
                <w:szCs w:val="22"/>
              </w:rPr>
            </w:pPr>
            <w:r w:rsidRPr="00C77E93">
              <w:rPr>
                <w:bCs/>
                <w:sz w:val="22"/>
                <w:szCs w:val="22"/>
              </w:rPr>
              <w:t>5.</w:t>
            </w:r>
            <w:r>
              <w:rPr>
                <w:bCs/>
                <w:sz w:val="22"/>
                <w:szCs w:val="22"/>
              </w:rPr>
              <w:t>71</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left="26" w:right="-84"/>
              <w:jc w:val="left"/>
              <w:rPr>
                <w:rFonts w:ascii="Times New Roman" w:hAnsi="Times New Roman"/>
                <w:sz w:val="22"/>
                <w:szCs w:val="22"/>
              </w:rPr>
            </w:pPr>
            <w:r>
              <w:rPr>
                <w:rFonts w:ascii="Times New Roman" w:hAnsi="Times New Roman"/>
                <w:sz w:val="22"/>
                <w:szCs w:val="22"/>
              </w:rPr>
              <w:tab/>
              <w:t>9</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Busan</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right="-108" w:firstLine="0"/>
              <w:jc w:val="left"/>
              <w:textAlignment w:val="baseline"/>
              <w:rPr>
                <w:bCs/>
                <w:sz w:val="22"/>
                <w:szCs w:val="22"/>
              </w:rPr>
            </w:pPr>
            <w:r>
              <w:rPr>
                <w:bCs/>
                <w:sz w:val="22"/>
                <w:szCs w:val="22"/>
              </w:rPr>
              <w:t>8.89</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right="-108" w:firstLine="0"/>
              <w:jc w:val="left"/>
              <w:textAlignment w:val="baseline"/>
              <w:rPr>
                <w:bCs/>
                <w:sz w:val="22"/>
                <w:szCs w:val="22"/>
              </w:rPr>
            </w:pPr>
            <w:r>
              <w:rPr>
                <w:bCs/>
                <w:sz w:val="22"/>
                <w:szCs w:val="22"/>
              </w:rPr>
              <w:t>6.83</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right="-108" w:firstLine="0"/>
              <w:jc w:val="left"/>
              <w:textAlignment w:val="baseline"/>
              <w:rPr>
                <w:bCs/>
                <w:sz w:val="22"/>
                <w:szCs w:val="22"/>
              </w:rPr>
            </w:pPr>
            <w:r>
              <w:rPr>
                <w:bCs/>
                <w:sz w:val="22"/>
                <w:szCs w:val="22"/>
              </w:rPr>
              <w:t>6.21</w:t>
            </w:r>
          </w:p>
        </w:tc>
        <w:tc>
          <w:tcPr>
            <w:tcW w:w="1134" w:type="dxa"/>
            <w:tcBorders>
              <w:top w:val="single" w:sz="4" w:space="0" w:color="auto"/>
              <w:left w:val="single" w:sz="4" w:space="0" w:color="auto"/>
              <w:bottom w:val="single" w:sz="4" w:space="0" w:color="auto"/>
              <w:right w:val="single" w:sz="4" w:space="0" w:color="auto"/>
            </w:tcBorders>
          </w:tcPr>
          <w:p w:rsidR="00BC496A" w:rsidRPr="003944FC" w:rsidRDefault="00BC496A" w:rsidP="007372A1">
            <w:pPr>
              <w:widowControl w:val="0"/>
              <w:tabs>
                <w:tab w:val="decimal" w:pos="420"/>
              </w:tabs>
              <w:adjustRightInd w:val="0"/>
              <w:spacing w:before="60" w:after="60"/>
              <w:ind w:right="-108" w:firstLine="0"/>
              <w:jc w:val="left"/>
              <w:textAlignment w:val="baseline"/>
              <w:rPr>
                <w:b/>
                <w:bCs/>
                <w:sz w:val="22"/>
                <w:szCs w:val="22"/>
              </w:rPr>
            </w:pPr>
            <w:r w:rsidRPr="003944FC">
              <w:rPr>
                <w:b/>
                <w:bCs/>
                <w:sz w:val="22"/>
                <w:szCs w:val="22"/>
              </w:rPr>
              <w:t>6.05</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right="-108" w:firstLine="0"/>
              <w:jc w:val="left"/>
              <w:textAlignment w:val="baseline"/>
              <w:rPr>
                <w:bCs/>
                <w:sz w:val="22"/>
                <w:szCs w:val="22"/>
              </w:rPr>
            </w:pPr>
            <w:r>
              <w:rPr>
                <w:bCs/>
                <w:sz w:val="22"/>
                <w:szCs w:val="22"/>
              </w:rPr>
              <w:t>6.82</w:t>
            </w:r>
          </w:p>
        </w:tc>
        <w:tc>
          <w:tcPr>
            <w:tcW w:w="96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right="-108" w:firstLine="0"/>
              <w:jc w:val="left"/>
              <w:textAlignment w:val="baseline"/>
              <w:rPr>
                <w:bCs/>
                <w:sz w:val="22"/>
                <w:szCs w:val="22"/>
              </w:rPr>
            </w:pPr>
            <w:r>
              <w:rPr>
                <w:bCs/>
                <w:sz w:val="22"/>
                <w:szCs w:val="22"/>
              </w:rPr>
              <w:t>7.98</w:t>
            </w:r>
          </w:p>
        </w:tc>
        <w:tc>
          <w:tcPr>
            <w:tcW w:w="1098"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278"/>
              </w:tabs>
              <w:adjustRightInd w:val="0"/>
              <w:spacing w:before="60" w:after="60"/>
              <w:ind w:right="-108" w:firstLine="0"/>
              <w:jc w:val="left"/>
              <w:textAlignment w:val="baseline"/>
              <w:rPr>
                <w:bCs/>
                <w:sz w:val="22"/>
                <w:szCs w:val="22"/>
              </w:rPr>
            </w:pPr>
            <w:r>
              <w:rPr>
                <w:bCs/>
                <w:sz w:val="22"/>
                <w:szCs w:val="22"/>
              </w:rPr>
              <w:t>9.18</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70"/>
              </w:tabs>
              <w:spacing w:before="60" w:after="60" w:line="240" w:lineRule="auto"/>
              <w:ind w:left="-9" w:right="-84"/>
              <w:jc w:val="left"/>
              <w:rPr>
                <w:rFonts w:ascii="Times New Roman" w:hAnsi="Times New Roman"/>
                <w:sz w:val="22"/>
                <w:szCs w:val="22"/>
              </w:rPr>
            </w:pPr>
            <w:r>
              <w:rPr>
                <w:rFonts w:ascii="Times New Roman" w:hAnsi="Times New Roman"/>
                <w:sz w:val="22"/>
                <w:szCs w:val="22"/>
              </w:rPr>
              <w:tab/>
              <w:t>10</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Chungcheongsbuk-do</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9.72</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8.51</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7.72</w:t>
            </w:r>
          </w:p>
        </w:tc>
        <w:tc>
          <w:tcPr>
            <w:tcW w:w="1134" w:type="dxa"/>
            <w:tcBorders>
              <w:top w:val="single" w:sz="4" w:space="0" w:color="auto"/>
              <w:left w:val="single" w:sz="4" w:space="0" w:color="auto"/>
              <w:bottom w:val="single" w:sz="4" w:space="0" w:color="auto"/>
              <w:right w:val="single" w:sz="4" w:space="0" w:color="auto"/>
            </w:tcBorders>
          </w:tcPr>
          <w:p w:rsidR="00BC496A" w:rsidRPr="003944FC" w:rsidRDefault="00BC496A" w:rsidP="007372A1">
            <w:pPr>
              <w:widowControl w:val="0"/>
              <w:tabs>
                <w:tab w:val="decimal" w:pos="420"/>
              </w:tabs>
              <w:adjustRightInd w:val="0"/>
              <w:spacing w:before="60" w:after="60"/>
              <w:ind w:left="-26" w:right="-108" w:firstLine="0"/>
              <w:jc w:val="left"/>
              <w:textAlignment w:val="baseline"/>
              <w:rPr>
                <w:b/>
                <w:bCs/>
                <w:sz w:val="22"/>
                <w:szCs w:val="22"/>
              </w:rPr>
            </w:pPr>
            <w:r w:rsidRPr="003944FC">
              <w:rPr>
                <w:b/>
                <w:bCs/>
                <w:sz w:val="22"/>
                <w:szCs w:val="22"/>
              </w:rPr>
              <w:t>7.59</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7.80</w:t>
            </w:r>
          </w:p>
        </w:tc>
        <w:tc>
          <w:tcPr>
            <w:tcW w:w="96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8.65</w:t>
            </w:r>
          </w:p>
        </w:tc>
        <w:tc>
          <w:tcPr>
            <w:tcW w:w="1098"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9.97</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11</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Daegu</w:t>
            </w:r>
          </w:p>
        </w:tc>
        <w:tc>
          <w:tcPr>
            <w:tcW w:w="1040"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8.03</w:t>
            </w:r>
          </w:p>
        </w:tc>
        <w:tc>
          <w:tcPr>
            <w:tcW w:w="108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6.59</w:t>
            </w:r>
          </w:p>
        </w:tc>
        <w:tc>
          <w:tcPr>
            <w:tcW w:w="992" w:type="dxa"/>
            <w:tcBorders>
              <w:top w:val="single" w:sz="4" w:space="0" w:color="auto"/>
              <w:left w:val="single" w:sz="4" w:space="0" w:color="auto"/>
              <w:bottom w:val="single" w:sz="4" w:space="0" w:color="auto"/>
              <w:right w:val="single" w:sz="4" w:space="0" w:color="auto"/>
            </w:tcBorders>
            <w:vAlign w:val="bottom"/>
          </w:tcPr>
          <w:p w:rsidR="00BC496A" w:rsidRPr="00EF4543" w:rsidRDefault="00BC496A" w:rsidP="007372A1">
            <w:pPr>
              <w:widowControl w:val="0"/>
              <w:tabs>
                <w:tab w:val="decimal" w:pos="278"/>
              </w:tabs>
              <w:adjustRightInd w:val="0"/>
              <w:spacing w:before="60" w:after="60"/>
              <w:ind w:left="-26" w:right="-108" w:firstLine="0"/>
              <w:jc w:val="left"/>
              <w:textAlignment w:val="baseline"/>
              <w:rPr>
                <w:b/>
                <w:bCs/>
                <w:sz w:val="22"/>
                <w:szCs w:val="22"/>
              </w:rPr>
            </w:pPr>
            <w:r w:rsidRPr="00EF4543">
              <w:rPr>
                <w:b/>
                <w:bCs/>
                <w:sz w:val="22"/>
                <w:szCs w:val="22"/>
              </w:rPr>
              <w:t>6.14</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Pr="00E8719C" w:rsidRDefault="00BC496A" w:rsidP="007372A1">
            <w:pPr>
              <w:widowControl w:val="0"/>
              <w:tabs>
                <w:tab w:val="decimal" w:pos="420"/>
              </w:tabs>
              <w:adjustRightInd w:val="0"/>
              <w:spacing w:before="60" w:after="60"/>
              <w:ind w:left="-26" w:right="-108" w:firstLine="0"/>
              <w:jc w:val="left"/>
              <w:textAlignment w:val="baseline"/>
              <w:rPr>
                <w:bCs/>
                <w:sz w:val="22"/>
                <w:szCs w:val="22"/>
              </w:rPr>
            </w:pPr>
            <w:r w:rsidRPr="00E8719C">
              <w:rPr>
                <w:bCs/>
                <w:sz w:val="22"/>
                <w:szCs w:val="22"/>
              </w:rPr>
              <w:t>6.</w:t>
            </w:r>
            <w:r>
              <w:rPr>
                <w:bCs/>
                <w:sz w:val="22"/>
                <w:szCs w:val="22"/>
              </w:rPr>
              <w:t>65</w:t>
            </w:r>
          </w:p>
        </w:tc>
        <w:tc>
          <w:tcPr>
            <w:tcW w:w="992" w:type="dxa"/>
            <w:tcBorders>
              <w:top w:val="single" w:sz="4" w:space="0" w:color="auto"/>
              <w:left w:val="single" w:sz="4" w:space="0" w:color="auto"/>
              <w:bottom w:val="single" w:sz="4" w:space="0" w:color="auto"/>
              <w:right w:val="single" w:sz="4" w:space="0" w:color="auto"/>
            </w:tcBorders>
            <w:vAlign w:val="bottom"/>
          </w:tcPr>
          <w:p w:rsidR="00BC496A" w:rsidRPr="00E8719C"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7</w:t>
            </w:r>
            <w:r w:rsidRPr="00E8719C">
              <w:rPr>
                <w:bCs/>
                <w:sz w:val="22"/>
                <w:szCs w:val="22"/>
              </w:rPr>
              <w:t>.</w:t>
            </w:r>
            <w:r>
              <w:rPr>
                <w:bCs/>
                <w:sz w:val="22"/>
                <w:szCs w:val="22"/>
              </w:rPr>
              <w:t>79</w:t>
            </w:r>
          </w:p>
        </w:tc>
        <w:tc>
          <w:tcPr>
            <w:tcW w:w="960" w:type="dxa"/>
            <w:tcBorders>
              <w:top w:val="single" w:sz="4" w:space="0" w:color="auto"/>
              <w:left w:val="single" w:sz="4" w:space="0" w:color="auto"/>
              <w:bottom w:val="single" w:sz="4" w:space="0" w:color="auto"/>
              <w:right w:val="single" w:sz="4" w:space="0" w:color="auto"/>
            </w:tcBorders>
            <w:vAlign w:val="bottom"/>
          </w:tcPr>
          <w:p w:rsidR="00BC496A" w:rsidRPr="00E8719C"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9</w:t>
            </w:r>
            <w:r w:rsidRPr="00E8719C">
              <w:rPr>
                <w:bCs/>
                <w:sz w:val="22"/>
                <w:szCs w:val="22"/>
              </w:rPr>
              <w:t>.</w:t>
            </w:r>
            <w:r>
              <w:rPr>
                <w:bCs/>
                <w:sz w:val="22"/>
                <w:szCs w:val="22"/>
              </w:rPr>
              <w:t>03</w:t>
            </w:r>
          </w:p>
        </w:tc>
        <w:tc>
          <w:tcPr>
            <w:tcW w:w="1098" w:type="dxa"/>
            <w:tcBorders>
              <w:top w:val="single" w:sz="4" w:space="0" w:color="auto"/>
              <w:left w:val="single" w:sz="4" w:space="0" w:color="auto"/>
              <w:bottom w:val="single" w:sz="4" w:space="0" w:color="auto"/>
              <w:right w:val="double" w:sz="4" w:space="0" w:color="auto"/>
            </w:tcBorders>
            <w:vAlign w:val="bottom"/>
          </w:tcPr>
          <w:p w:rsidR="00BC496A" w:rsidRPr="00E8719C"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10.10</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12</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Jeollabuk-do</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11.82</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10.38</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9.59</w:t>
            </w:r>
          </w:p>
        </w:tc>
        <w:tc>
          <w:tcPr>
            <w:tcW w:w="1134"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20"/>
              </w:tabs>
              <w:adjustRightInd w:val="0"/>
              <w:spacing w:before="60" w:after="60"/>
              <w:ind w:left="-26" w:right="-108" w:firstLine="0"/>
              <w:jc w:val="left"/>
              <w:textAlignment w:val="baseline"/>
              <w:rPr>
                <w:bCs/>
                <w:sz w:val="22"/>
                <w:szCs w:val="22"/>
              </w:rPr>
            </w:pPr>
            <w:r>
              <w:rPr>
                <w:bCs/>
                <w:sz w:val="22"/>
                <w:szCs w:val="22"/>
              </w:rPr>
              <w:t>9.18</w:t>
            </w:r>
          </w:p>
        </w:tc>
        <w:tc>
          <w:tcPr>
            <w:tcW w:w="992" w:type="dxa"/>
            <w:tcBorders>
              <w:top w:val="single" w:sz="4" w:space="0" w:color="auto"/>
              <w:left w:val="single" w:sz="4" w:space="0" w:color="auto"/>
              <w:bottom w:val="single" w:sz="4" w:space="0" w:color="auto"/>
              <w:right w:val="single" w:sz="4" w:space="0" w:color="auto"/>
            </w:tcBorders>
          </w:tcPr>
          <w:p w:rsidR="00BC496A" w:rsidRPr="00986DB8" w:rsidRDefault="00BC496A" w:rsidP="007372A1">
            <w:pPr>
              <w:widowControl w:val="0"/>
              <w:tabs>
                <w:tab w:val="decimal" w:pos="278"/>
              </w:tabs>
              <w:adjustRightInd w:val="0"/>
              <w:spacing w:before="60" w:after="60"/>
              <w:ind w:left="-26" w:right="-108" w:firstLine="0"/>
              <w:jc w:val="left"/>
              <w:textAlignment w:val="baseline"/>
              <w:rPr>
                <w:b/>
                <w:bCs/>
                <w:sz w:val="22"/>
                <w:szCs w:val="22"/>
              </w:rPr>
            </w:pPr>
            <w:r w:rsidRPr="00986DB8">
              <w:rPr>
                <w:b/>
                <w:bCs/>
                <w:sz w:val="22"/>
                <w:szCs w:val="22"/>
              </w:rPr>
              <w:t>9.15</w:t>
            </w:r>
          </w:p>
        </w:tc>
        <w:tc>
          <w:tcPr>
            <w:tcW w:w="960" w:type="dxa"/>
            <w:tcBorders>
              <w:top w:val="single" w:sz="4" w:space="0" w:color="auto"/>
              <w:left w:val="single" w:sz="4" w:space="0" w:color="auto"/>
              <w:bottom w:val="single" w:sz="4" w:space="0" w:color="auto"/>
              <w:right w:val="single" w:sz="4" w:space="0" w:color="auto"/>
            </w:tcBorders>
          </w:tcPr>
          <w:p w:rsidR="00BC496A" w:rsidRPr="00392A7B" w:rsidRDefault="00BC496A" w:rsidP="007372A1">
            <w:pPr>
              <w:widowControl w:val="0"/>
              <w:tabs>
                <w:tab w:val="decimal" w:pos="278"/>
              </w:tabs>
              <w:adjustRightInd w:val="0"/>
              <w:spacing w:before="60" w:after="60"/>
              <w:ind w:left="-26" w:right="-108" w:firstLine="0"/>
              <w:jc w:val="left"/>
              <w:textAlignment w:val="baseline"/>
              <w:rPr>
                <w:bCs/>
                <w:sz w:val="22"/>
                <w:szCs w:val="22"/>
              </w:rPr>
            </w:pPr>
            <w:r w:rsidRPr="00392A7B">
              <w:rPr>
                <w:bCs/>
                <w:sz w:val="22"/>
                <w:szCs w:val="22"/>
              </w:rPr>
              <w:t>9.</w:t>
            </w:r>
            <w:r>
              <w:rPr>
                <w:bCs/>
                <w:sz w:val="22"/>
                <w:szCs w:val="22"/>
              </w:rPr>
              <w:t>33</w:t>
            </w:r>
          </w:p>
        </w:tc>
        <w:tc>
          <w:tcPr>
            <w:tcW w:w="1098" w:type="dxa"/>
            <w:tcBorders>
              <w:top w:val="single" w:sz="4" w:space="0" w:color="auto"/>
              <w:left w:val="single" w:sz="4" w:space="0" w:color="auto"/>
              <w:bottom w:val="single" w:sz="4" w:space="0" w:color="auto"/>
              <w:right w:val="double" w:sz="4" w:space="0" w:color="auto"/>
            </w:tcBorders>
          </w:tcPr>
          <w:p w:rsidR="00BC496A" w:rsidRPr="00392A7B"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9</w:t>
            </w:r>
            <w:r w:rsidRPr="00392A7B">
              <w:rPr>
                <w:bCs/>
                <w:sz w:val="22"/>
                <w:szCs w:val="22"/>
              </w:rPr>
              <w:t>.</w:t>
            </w:r>
            <w:r>
              <w:rPr>
                <w:bCs/>
                <w:sz w:val="22"/>
                <w:szCs w:val="22"/>
              </w:rPr>
              <w:t>90</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13</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Gangwon-do</w:t>
            </w:r>
          </w:p>
        </w:tc>
        <w:tc>
          <w:tcPr>
            <w:tcW w:w="1040" w:type="dxa"/>
            <w:tcBorders>
              <w:top w:val="single" w:sz="4" w:space="0" w:color="auto"/>
              <w:left w:val="single" w:sz="4" w:space="0" w:color="auto"/>
              <w:bottom w:val="single" w:sz="4" w:space="0" w:color="auto"/>
              <w:right w:val="single" w:sz="4" w:space="0" w:color="auto"/>
            </w:tcBorders>
          </w:tcPr>
          <w:p w:rsidR="00BC496A" w:rsidRPr="00A078E4" w:rsidRDefault="00BC496A" w:rsidP="007372A1">
            <w:pPr>
              <w:widowControl w:val="0"/>
              <w:tabs>
                <w:tab w:val="decimal" w:pos="419"/>
              </w:tabs>
              <w:adjustRightInd w:val="0"/>
              <w:spacing w:before="60" w:after="60"/>
              <w:ind w:left="-26" w:right="-108" w:firstLine="0"/>
              <w:jc w:val="left"/>
              <w:textAlignment w:val="baseline"/>
              <w:rPr>
                <w:b/>
                <w:bCs/>
                <w:sz w:val="22"/>
                <w:szCs w:val="22"/>
              </w:rPr>
            </w:pPr>
            <w:r w:rsidRPr="00A078E4">
              <w:rPr>
                <w:b/>
                <w:bCs/>
                <w:sz w:val="22"/>
                <w:szCs w:val="22"/>
              </w:rPr>
              <w:t>8.94</w:t>
            </w:r>
          </w:p>
        </w:tc>
        <w:tc>
          <w:tcPr>
            <w:tcW w:w="1086"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9</w:t>
            </w:r>
            <w:r w:rsidRPr="00DE551F">
              <w:rPr>
                <w:bCs/>
                <w:sz w:val="22"/>
                <w:szCs w:val="22"/>
              </w:rPr>
              <w:t>.</w:t>
            </w:r>
            <w:r>
              <w:rPr>
                <w:bCs/>
                <w:sz w:val="22"/>
                <w:szCs w:val="22"/>
              </w:rPr>
              <w:t>17</w:t>
            </w:r>
          </w:p>
        </w:tc>
        <w:tc>
          <w:tcPr>
            <w:tcW w:w="992"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9</w:t>
            </w:r>
            <w:r w:rsidRPr="00DE551F">
              <w:rPr>
                <w:bCs/>
                <w:sz w:val="22"/>
                <w:szCs w:val="22"/>
              </w:rPr>
              <w:t>.</w:t>
            </w:r>
            <w:r>
              <w:rPr>
                <w:bCs/>
                <w:sz w:val="22"/>
                <w:szCs w:val="22"/>
              </w:rPr>
              <w:t>74</w:t>
            </w:r>
          </w:p>
        </w:tc>
        <w:tc>
          <w:tcPr>
            <w:tcW w:w="1134"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420"/>
              </w:tabs>
              <w:adjustRightInd w:val="0"/>
              <w:spacing w:before="60" w:after="60"/>
              <w:ind w:left="-26" w:right="-108" w:firstLine="0"/>
              <w:jc w:val="left"/>
              <w:textAlignment w:val="baseline"/>
              <w:rPr>
                <w:bCs/>
                <w:sz w:val="22"/>
                <w:szCs w:val="22"/>
              </w:rPr>
            </w:pPr>
            <w:r>
              <w:rPr>
                <w:bCs/>
                <w:sz w:val="22"/>
                <w:szCs w:val="22"/>
              </w:rPr>
              <w:t>10</w:t>
            </w:r>
            <w:r w:rsidRPr="00DE551F">
              <w:rPr>
                <w:bCs/>
                <w:sz w:val="22"/>
                <w:szCs w:val="22"/>
              </w:rPr>
              <w:t>.</w:t>
            </w:r>
            <w:r>
              <w:rPr>
                <w:bCs/>
                <w:sz w:val="22"/>
                <w:szCs w:val="22"/>
              </w:rPr>
              <w:t>50</w:t>
            </w:r>
          </w:p>
        </w:tc>
        <w:tc>
          <w:tcPr>
            <w:tcW w:w="992"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11</w:t>
            </w:r>
            <w:r w:rsidRPr="00DE551F">
              <w:rPr>
                <w:bCs/>
                <w:sz w:val="22"/>
                <w:szCs w:val="22"/>
              </w:rPr>
              <w:t>.</w:t>
            </w:r>
            <w:r>
              <w:rPr>
                <w:bCs/>
                <w:sz w:val="22"/>
                <w:szCs w:val="22"/>
              </w:rPr>
              <w:t>26</w:t>
            </w:r>
          </w:p>
        </w:tc>
        <w:tc>
          <w:tcPr>
            <w:tcW w:w="960"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12</w:t>
            </w:r>
            <w:r w:rsidRPr="00DE551F">
              <w:rPr>
                <w:bCs/>
                <w:sz w:val="22"/>
                <w:szCs w:val="22"/>
              </w:rPr>
              <w:t>.</w:t>
            </w:r>
            <w:r>
              <w:rPr>
                <w:bCs/>
                <w:sz w:val="22"/>
                <w:szCs w:val="22"/>
              </w:rPr>
              <w:t>08</w:t>
            </w:r>
          </w:p>
        </w:tc>
        <w:tc>
          <w:tcPr>
            <w:tcW w:w="1098" w:type="dxa"/>
            <w:tcBorders>
              <w:top w:val="single" w:sz="4" w:space="0" w:color="auto"/>
              <w:left w:val="single" w:sz="4" w:space="0" w:color="auto"/>
              <w:bottom w:val="single" w:sz="4" w:space="0" w:color="auto"/>
              <w:right w:val="double" w:sz="4" w:space="0" w:color="auto"/>
            </w:tcBorders>
          </w:tcPr>
          <w:p w:rsidR="00BC496A" w:rsidRPr="00DE551F"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12</w:t>
            </w:r>
            <w:r w:rsidRPr="00DE551F">
              <w:rPr>
                <w:bCs/>
                <w:sz w:val="22"/>
                <w:szCs w:val="22"/>
              </w:rPr>
              <w:t>.</w:t>
            </w:r>
            <w:r>
              <w:rPr>
                <w:bCs/>
                <w:sz w:val="22"/>
                <w:szCs w:val="22"/>
              </w:rPr>
              <w:t>74</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14</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Gwangju</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10.36</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8.17</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7.06</w:t>
            </w:r>
          </w:p>
        </w:tc>
        <w:tc>
          <w:tcPr>
            <w:tcW w:w="1134" w:type="dxa"/>
            <w:tcBorders>
              <w:top w:val="single" w:sz="4" w:space="0" w:color="auto"/>
              <w:left w:val="single" w:sz="4" w:space="0" w:color="auto"/>
              <w:bottom w:val="single" w:sz="4" w:space="0" w:color="auto"/>
              <w:right w:val="single" w:sz="4" w:space="0" w:color="auto"/>
            </w:tcBorders>
          </w:tcPr>
          <w:p w:rsidR="00BC496A" w:rsidRPr="003944FC" w:rsidRDefault="00BC496A" w:rsidP="007372A1">
            <w:pPr>
              <w:widowControl w:val="0"/>
              <w:tabs>
                <w:tab w:val="decimal" w:pos="420"/>
              </w:tabs>
              <w:adjustRightInd w:val="0"/>
              <w:spacing w:before="60" w:after="60"/>
              <w:ind w:left="-26" w:right="-108" w:firstLine="0"/>
              <w:jc w:val="left"/>
              <w:textAlignment w:val="baseline"/>
              <w:rPr>
                <w:b/>
                <w:bCs/>
                <w:sz w:val="22"/>
                <w:szCs w:val="22"/>
              </w:rPr>
            </w:pPr>
            <w:r w:rsidRPr="003944FC">
              <w:rPr>
                <w:b/>
                <w:bCs/>
                <w:sz w:val="22"/>
                <w:szCs w:val="22"/>
              </w:rPr>
              <w:t>6.74</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6.98</w:t>
            </w:r>
          </w:p>
        </w:tc>
        <w:tc>
          <w:tcPr>
            <w:tcW w:w="96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7.73</w:t>
            </w:r>
          </w:p>
        </w:tc>
        <w:tc>
          <w:tcPr>
            <w:tcW w:w="1098"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8.44</w:t>
            </w:r>
          </w:p>
        </w:tc>
      </w:tr>
      <w:tr w:rsidR="00BC496A" w:rsidTr="007372A1">
        <w:trPr>
          <w:jc w:val="center"/>
        </w:trPr>
        <w:tc>
          <w:tcPr>
            <w:tcW w:w="673" w:type="dxa"/>
            <w:tcBorders>
              <w:left w:val="double" w:sz="4" w:space="0" w:color="auto"/>
              <w:right w:val="single" w:sz="4" w:space="0" w:color="auto"/>
            </w:tcBorders>
          </w:tcPr>
          <w:p w:rsidR="00BC496A" w:rsidRPr="0056310B" w:rsidRDefault="00BC496A" w:rsidP="007372A1">
            <w:pPr>
              <w:pStyle w:val="Normaali1"/>
              <w:tabs>
                <w:tab w:val="right" w:pos="274"/>
              </w:tabs>
              <w:spacing w:before="60" w:after="60" w:line="240" w:lineRule="auto"/>
              <w:ind w:right="-84" w:firstLine="6"/>
              <w:jc w:val="left"/>
              <w:rPr>
                <w:rFonts w:ascii="Times New Roman" w:hAnsi="Times New Roman"/>
                <w:sz w:val="22"/>
                <w:szCs w:val="22"/>
              </w:rPr>
            </w:pPr>
            <w:r>
              <w:rPr>
                <w:rFonts w:ascii="Times New Roman" w:hAnsi="Times New Roman"/>
                <w:sz w:val="22"/>
                <w:szCs w:val="22"/>
              </w:rPr>
              <w:tab/>
              <w:t>15</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Daejeon</w:t>
            </w:r>
          </w:p>
        </w:tc>
        <w:tc>
          <w:tcPr>
            <w:tcW w:w="104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12.92</w:t>
            </w:r>
          </w:p>
        </w:tc>
        <w:tc>
          <w:tcPr>
            <w:tcW w:w="108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11.02</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9.78</w:t>
            </w:r>
          </w:p>
        </w:tc>
        <w:tc>
          <w:tcPr>
            <w:tcW w:w="1134"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20"/>
              </w:tabs>
              <w:adjustRightInd w:val="0"/>
              <w:spacing w:before="60" w:after="60"/>
              <w:ind w:left="-26" w:right="-108" w:firstLine="0"/>
              <w:jc w:val="left"/>
              <w:textAlignment w:val="baseline"/>
              <w:rPr>
                <w:bCs/>
                <w:sz w:val="22"/>
                <w:szCs w:val="22"/>
              </w:rPr>
            </w:pPr>
            <w:r>
              <w:rPr>
                <w:bCs/>
                <w:sz w:val="22"/>
                <w:szCs w:val="22"/>
              </w:rPr>
              <w:t>9.00</w:t>
            </w:r>
          </w:p>
        </w:tc>
        <w:tc>
          <w:tcPr>
            <w:tcW w:w="992"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8.34</w:t>
            </w:r>
          </w:p>
        </w:tc>
        <w:tc>
          <w:tcPr>
            <w:tcW w:w="960"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7.82</w:t>
            </w:r>
          </w:p>
        </w:tc>
        <w:tc>
          <w:tcPr>
            <w:tcW w:w="1098" w:type="dxa"/>
            <w:tcBorders>
              <w:top w:val="single" w:sz="4" w:space="0" w:color="auto"/>
              <w:left w:val="single" w:sz="4" w:space="0" w:color="auto"/>
              <w:bottom w:val="single" w:sz="4" w:space="0" w:color="auto"/>
              <w:right w:val="double" w:sz="4" w:space="0" w:color="auto"/>
            </w:tcBorders>
          </w:tcPr>
          <w:p w:rsidR="00BC496A" w:rsidRPr="00AD6F0A" w:rsidRDefault="00BC496A" w:rsidP="007372A1">
            <w:pPr>
              <w:widowControl w:val="0"/>
              <w:tabs>
                <w:tab w:val="decimal" w:pos="278"/>
              </w:tabs>
              <w:adjustRightInd w:val="0"/>
              <w:spacing w:before="60" w:after="60"/>
              <w:ind w:left="-26" w:right="-108" w:firstLine="0"/>
              <w:jc w:val="left"/>
              <w:textAlignment w:val="baseline"/>
              <w:rPr>
                <w:b/>
                <w:bCs/>
                <w:sz w:val="22"/>
                <w:szCs w:val="22"/>
              </w:rPr>
            </w:pPr>
            <w:r w:rsidRPr="00AD6F0A">
              <w:rPr>
                <w:b/>
                <w:bCs/>
                <w:sz w:val="22"/>
                <w:szCs w:val="22"/>
              </w:rPr>
              <w:t>7.57</w:t>
            </w:r>
          </w:p>
        </w:tc>
      </w:tr>
      <w:tr w:rsidR="00BC496A" w:rsidTr="007372A1">
        <w:trPr>
          <w:jc w:val="center"/>
        </w:trPr>
        <w:tc>
          <w:tcPr>
            <w:tcW w:w="673" w:type="dxa"/>
            <w:tcBorders>
              <w:left w:val="double" w:sz="4" w:space="0" w:color="auto"/>
              <w:right w:val="single" w:sz="4" w:space="0" w:color="auto"/>
            </w:tcBorders>
          </w:tcPr>
          <w:p w:rsidR="00BC496A" w:rsidRDefault="00BC496A" w:rsidP="007372A1">
            <w:pPr>
              <w:pStyle w:val="Normaali1"/>
              <w:tabs>
                <w:tab w:val="right" w:pos="274"/>
              </w:tabs>
              <w:spacing w:before="60" w:after="60" w:line="240" w:lineRule="auto"/>
              <w:ind w:right="-84" w:hanging="9"/>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16</w:t>
            </w:r>
          </w:p>
        </w:tc>
        <w:tc>
          <w:tcPr>
            <w:tcW w:w="2206" w:type="dxa"/>
            <w:tcBorders>
              <w:top w:val="single" w:sz="4" w:space="0" w:color="auto"/>
              <w:left w:val="sing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Jeju-do</w:t>
            </w:r>
          </w:p>
        </w:tc>
        <w:tc>
          <w:tcPr>
            <w:tcW w:w="1040" w:type="dxa"/>
            <w:tcBorders>
              <w:top w:val="single" w:sz="4" w:space="0" w:color="auto"/>
              <w:left w:val="single" w:sz="4" w:space="0" w:color="auto"/>
              <w:bottom w:val="single" w:sz="4" w:space="0" w:color="auto"/>
              <w:right w:val="single" w:sz="4" w:space="0" w:color="auto"/>
            </w:tcBorders>
          </w:tcPr>
          <w:p w:rsidR="00BC496A" w:rsidRPr="00A078E4" w:rsidRDefault="00BC496A" w:rsidP="007372A1">
            <w:pPr>
              <w:widowControl w:val="0"/>
              <w:tabs>
                <w:tab w:val="decimal" w:pos="419"/>
              </w:tabs>
              <w:adjustRightInd w:val="0"/>
              <w:spacing w:before="60" w:after="60"/>
              <w:ind w:left="-26" w:right="-108" w:firstLine="0"/>
              <w:jc w:val="left"/>
              <w:textAlignment w:val="baseline"/>
              <w:rPr>
                <w:b/>
                <w:bCs/>
                <w:sz w:val="22"/>
                <w:szCs w:val="22"/>
              </w:rPr>
            </w:pPr>
            <w:r w:rsidRPr="00A078E4">
              <w:rPr>
                <w:b/>
                <w:bCs/>
                <w:sz w:val="22"/>
                <w:szCs w:val="22"/>
              </w:rPr>
              <w:t>10.28</w:t>
            </w:r>
          </w:p>
        </w:tc>
        <w:tc>
          <w:tcPr>
            <w:tcW w:w="1086"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419"/>
              </w:tabs>
              <w:adjustRightInd w:val="0"/>
              <w:spacing w:before="60" w:after="60"/>
              <w:ind w:left="-26" w:right="-108" w:firstLine="0"/>
              <w:jc w:val="left"/>
              <w:textAlignment w:val="baseline"/>
              <w:rPr>
                <w:bCs/>
                <w:sz w:val="22"/>
                <w:szCs w:val="22"/>
              </w:rPr>
            </w:pPr>
            <w:r w:rsidRPr="00DE551F">
              <w:rPr>
                <w:bCs/>
                <w:sz w:val="22"/>
                <w:szCs w:val="22"/>
              </w:rPr>
              <w:t>10.</w:t>
            </w:r>
            <w:r>
              <w:rPr>
                <w:bCs/>
                <w:sz w:val="22"/>
                <w:szCs w:val="22"/>
              </w:rPr>
              <w:t>69</w:t>
            </w:r>
          </w:p>
        </w:tc>
        <w:tc>
          <w:tcPr>
            <w:tcW w:w="992"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278"/>
              </w:tabs>
              <w:adjustRightInd w:val="0"/>
              <w:spacing w:before="60" w:after="60"/>
              <w:ind w:left="-26" w:right="-108" w:firstLine="0"/>
              <w:jc w:val="left"/>
              <w:textAlignment w:val="baseline"/>
              <w:rPr>
                <w:bCs/>
                <w:sz w:val="22"/>
                <w:szCs w:val="22"/>
              </w:rPr>
            </w:pPr>
            <w:r w:rsidRPr="00DE551F">
              <w:rPr>
                <w:bCs/>
                <w:sz w:val="22"/>
                <w:szCs w:val="22"/>
              </w:rPr>
              <w:t>1</w:t>
            </w:r>
            <w:r>
              <w:rPr>
                <w:bCs/>
                <w:sz w:val="22"/>
                <w:szCs w:val="22"/>
              </w:rPr>
              <w:t>1</w:t>
            </w:r>
            <w:r w:rsidRPr="00DE551F">
              <w:rPr>
                <w:bCs/>
                <w:sz w:val="22"/>
                <w:szCs w:val="22"/>
              </w:rPr>
              <w:t>.</w:t>
            </w:r>
            <w:r>
              <w:rPr>
                <w:bCs/>
                <w:sz w:val="22"/>
                <w:szCs w:val="22"/>
              </w:rPr>
              <w:t>17</w:t>
            </w:r>
          </w:p>
        </w:tc>
        <w:tc>
          <w:tcPr>
            <w:tcW w:w="1134"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420"/>
              </w:tabs>
              <w:adjustRightInd w:val="0"/>
              <w:spacing w:before="60" w:after="60"/>
              <w:ind w:left="-26" w:right="-108" w:firstLine="0"/>
              <w:jc w:val="left"/>
              <w:textAlignment w:val="baseline"/>
              <w:rPr>
                <w:bCs/>
                <w:sz w:val="22"/>
                <w:szCs w:val="22"/>
              </w:rPr>
            </w:pPr>
            <w:r w:rsidRPr="00DE551F">
              <w:rPr>
                <w:bCs/>
                <w:sz w:val="22"/>
                <w:szCs w:val="22"/>
              </w:rPr>
              <w:t>1</w:t>
            </w:r>
            <w:r>
              <w:rPr>
                <w:bCs/>
                <w:sz w:val="22"/>
                <w:szCs w:val="22"/>
              </w:rPr>
              <w:t>1</w:t>
            </w:r>
            <w:r w:rsidRPr="00DE551F">
              <w:rPr>
                <w:bCs/>
                <w:sz w:val="22"/>
                <w:szCs w:val="22"/>
              </w:rPr>
              <w:t>.</w:t>
            </w:r>
            <w:r>
              <w:rPr>
                <w:bCs/>
                <w:sz w:val="22"/>
                <w:szCs w:val="22"/>
              </w:rPr>
              <w:t>64</w:t>
            </w:r>
          </w:p>
        </w:tc>
        <w:tc>
          <w:tcPr>
            <w:tcW w:w="992"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278"/>
              </w:tabs>
              <w:adjustRightInd w:val="0"/>
              <w:spacing w:before="60" w:after="60"/>
              <w:ind w:left="-26" w:right="-108" w:firstLine="0"/>
              <w:jc w:val="left"/>
              <w:textAlignment w:val="baseline"/>
              <w:rPr>
                <w:bCs/>
                <w:sz w:val="22"/>
                <w:szCs w:val="22"/>
              </w:rPr>
            </w:pPr>
            <w:r w:rsidRPr="00DE551F">
              <w:rPr>
                <w:bCs/>
                <w:sz w:val="22"/>
                <w:szCs w:val="22"/>
              </w:rPr>
              <w:t>1</w:t>
            </w:r>
            <w:r>
              <w:rPr>
                <w:bCs/>
                <w:sz w:val="22"/>
                <w:szCs w:val="22"/>
              </w:rPr>
              <w:t>1</w:t>
            </w:r>
            <w:r w:rsidRPr="00DE551F">
              <w:rPr>
                <w:bCs/>
                <w:sz w:val="22"/>
                <w:szCs w:val="22"/>
              </w:rPr>
              <w:t>.</w:t>
            </w:r>
            <w:r>
              <w:rPr>
                <w:bCs/>
                <w:sz w:val="22"/>
                <w:szCs w:val="22"/>
              </w:rPr>
              <w:t>99</w:t>
            </w:r>
          </w:p>
        </w:tc>
        <w:tc>
          <w:tcPr>
            <w:tcW w:w="960" w:type="dxa"/>
            <w:tcBorders>
              <w:top w:val="single" w:sz="4" w:space="0" w:color="auto"/>
              <w:left w:val="single" w:sz="4" w:space="0" w:color="auto"/>
              <w:bottom w:val="single" w:sz="4" w:space="0" w:color="auto"/>
              <w:right w:val="single" w:sz="4" w:space="0" w:color="auto"/>
            </w:tcBorders>
          </w:tcPr>
          <w:p w:rsidR="00BC496A" w:rsidRPr="00DE551F" w:rsidRDefault="00BC496A" w:rsidP="007372A1">
            <w:pPr>
              <w:widowControl w:val="0"/>
              <w:tabs>
                <w:tab w:val="decimal" w:pos="278"/>
              </w:tabs>
              <w:adjustRightInd w:val="0"/>
              <w:spacing w:before="60" w:after="60"/>
              <w:ind w:left="-26" w:right="-108" w:firstLine="0"/>
              <w:jc w:val="left"/>
              <w:textAlignment w:val="baseline"/>
              <w:rPr>
                <w:bCs/>
                <w:sz w:val="22"/>
                <w:szCs w:val="22"/>
              </w:rPr>
            </w:pPr>
            <w:r w:rsidRPr="00DE551F">
              <w:rPr>
                <w:bCs/>
                <w:sz w:val="22"/>
                <w:szCs w:val="22"/>
              </w:rPr>
              <w:t>1</w:t>
            </w:r>
            <w:r>
              <w:rPr>
                <w:bCs/>
                <w:sz w:val="22"/>
                <w:szCs w:val="22"/>
              </w:rPr>
              <w:t>2</w:t>
            </w:r>
            <w:r w:rsidRPr="00DE551F">
              <w:rPr>
                <w:bCs/>
                <w:sz w:val="22"/>
                <w:szCs w:val="22"/>
              </w:rPr>
              <w:t>.</w:t>
            </w:r>
            <w:r>
              <w:rPr>
                <w:bCs/>
                <w:sz w:val="22"/>
                <w:szCs w:val="22"/>
              </w:rPr>
              <w:t>41</w:t>
            </w:r>
          </w:p>
        </w:tc>
        <w:tc>
          <w:tcPr>
            <w:tcW w:w="1098" w:type="dxa"/>
            <w:tcBorders>
              <w:top w:val="single" w:sz="4" w:space="0" w:color="auto"/>
              <w:left w:val="single" w:sz="4" w:space="0" w:color="auto"/>
              <w:bottom w:val="single" w:sz="4" w:space="0" w:color="auto"/>
              <w:right w:val="double" w:sz="4" w:space="0" w:color="auto"/>
            </w:tcBorders>
          </w:tcPr>
          <w:p w:rsidR="00BC496A" w:rsidRPr="00DE551F" w:rsidRDefault="00BC496A" w:rsidP="007372A1">
            <w:pPr>
              <w:widowControl w:val="0"/>
              <w:tabs>
                <w:tab w:val="decimal" w:pos="278"/>
              </w:tabs>
              <w:adjustRightInd w:val="0"/>
              <w:spacing w:before="60" w:after="60"/>
              <w:ind w:left="-26" w:right="-108" w:firstLine="0"/>
              <w:jc w:val="left"/>
              <w:textAlignment w:val="baseline"/>
              <w:rPr>
                <w:bCs/>
                <w:sz w:val="22"/>
                <w:szCs w:val="22"/>
              </w:rPr>
            </w:pPr>
            <w:r w:rsidRPr="00DE551F">
              <w:rPr>
                <w:bCs/>
                <w:sz w:val="22"/>
                <w:szCs w:val="22"/>
              </w:rPr>
              <w:t>1</w:t>
            </w:r>
            <w:r>
              <w:rPr>
                <w:bCs/>
                <w:sz w:val="22"/>
                <w:szCs w:val="22"/>
              </w:rPr>
              <w:t>2</w:t>
            </w:r>
            <w:r w:rsidRPr="00DE551F">
              <w:rPr>
                <w:bCs/>
                <w:sz w:val="22"/>
                <w:szCs w:val="22"/>
              </w:rPr>
              <w:t>.</w:t>
            </w:r>
            <w:r>
              <w:rPr>
                <w:bCs/>
                <w:sz w:val="22"/>
                <w:szCs w:val="22"/>
              </w:rPr>
              <w:t>73</w:t>
            </w:r>
          </w:p>
        </w:tc>
      </w:tr>
      <w:tr w:rsidR="00BC496A" w:rsidTr="007372A1">
        <w:trPr>
          <w:jc w:val="center"/>
        </w:trPr>
        <w:tc>
          <w:tcPr>
            <w:tcW w:w="673" w:type="dxa"/>
            <w:tcBorders>
              <w:left w:val="double" w:sz="4" w:space="0" w:color="auto"/>
              <w:bottom w:val="double" w:sz="4" w:space="0" w:color="auto"/>
              <w:right w:val="single" w:sz="4" w:space="0" w:color="auto"/>
            </w:tcBorders>
          </w:tcPr>
          <w:p w:rsidR="00BC496A" w:rsidRDefault="00BC496A" w:rsidP="007372A1">
            <w:pPr>
              <w:pStyle w:val="Normaali1"/>
              <w:spacing w:before="60" w:after="60" w:line="240" w:lineRule="auto"/>
              <w:ind w:left="-9" w:right="-84"/>
              <w:jc w:val="left"/>
              <w:rPr>
                <w:rFonts w:ascii="Times New Roman" w:hAnsi="Times New Roman"/>
                <w:sz w:val="22"/>
                <w:szCs w:val="22"/>
              </w:rPr>
            </w:pPr>
            <w:r>
              <w:rPr>
                <w:rFonts w:ascii="Times New Roman" w:hAnsi="Times New Roman"/>
                <w:sz w:val="22"/>
                <w:szCs w:val="22"/>
              </w:rPr>
              <w:t>Mean</w:t>
            </w:r>
          </w:p>
        </w:tc>
        <w:tc>
          <w:tcPr>
            <w:tcW w:w="2206" w:type="dxa"/>
            <w:tcBorders>
              <w:top w:val="single" w:sz="4" w:space="0" w:color="auto"/>
              <w:left w:val="single" w:sz="4" w:space="0" w:color="auto"/>
              <w:bottom w:val="double" w:sz="4" w:space="0" w:color="auto"/>
              <w:right w:val="single" w:sz="4" w:space="0" w:color="auto"/>
            </w:tcBorders>
          </w:tcPr>
          <w:p w:rsidR="00BC496A" w:rsidRPr="00DB14E1" w:rsidRDefault="00BC496A" w:rsidP="007372A1">
            <w:pPr>
              <w:pStyle w:val="Normaali1"/>
              <w:spacing w:before="60" w:after="60" w:line="240" w:lineRule="auto"/>
              <w:ind w:right="-84" w:firstLine="6"/>
              <w:jc w:val="left"/>
              <w:rPr>
                <w:rFonts w:ascii="Times New Roman" w:hAnsi="Times New Roman"/>
                <w:sz w:val="22"/>
                <w:szCs w:val="22"/>
              </w:rPr>
            </w:pPr>
          </w:p>
        </w:tc>
        <w:tc>
          <w:tcPr>
            <w:tcW w:w="1040" w:type="dxa"/>
            <w:tcBorders>
              <w:top w:val="single" w:sz="4" w:space="0" w:color="auto"/>
              <w:left w:val="single" w:sz="4" w:space="0" w:color="auto"/>
              <w:bottom w:val="doub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11.41</w:t>
            </w:r>
          </w:p>
        </w:tc>
        <w:tc>
          <w:tcPr>
            <w:tcW w:w="1086" w:type="dxa"/>
            <w:tcBorders>
              <w:top w:val="single" w:sz="4" w:space="0" w:color="auto"/>
              <w:left w:val="single" w:sz="4" w:space="0" w:color="auto"/>
              <w:bottom w:val="double" w:sz="4" w:space="0" w:color="auto"/>
              <w:right w:val="single" w:sz="4" w:space="0" w:color="auto"/>
            </w:tcBorders>
          </w:tcPr>
          <w:p w:rsidR="00BC496A" w:rsidRDefault="00BC496A" w:rsidP="007372A1">
            <w:pPr>
              <w:widowControl w:val="0"/>
              <w:tabs>
                <w:tab w:val="decimal" w:pos="419"/>
              </w:tabs>
              <w:adjustRightInd w:val="0"/>
              <w:spacing w:before="60" w:after="60"/>
              <w:ind w:left="-26" w:right="-108" w:firstLine="0"/>
              <w:jc w:val="left"/>
              <w:textAlignment w:val="baseline"/>
              <w:rPr>
                <w:bCs/>
                <w:sz w:val="22"/>
                <w:szCs w:val="22"/>
              </w:rPr>
            </w:pPr>
            <w:r>
              <w:rPr>
                <w:bCs/>
                <w:sz w:val="22"/>
                <w:szCs w:val="22"/>
              </w:rPr>
              <w:t>9.84</w:t>
            </w:r>
          </w:p>
        </w:tc>
        <w:tc>
          <w:tcPr>
            <w:tcW w:w="992" w:type="dxa"/>
            <w:tcBorders>
              <w:top w:val="single" w:sz="4" w:space="0" w:color="auto"/>
              <w:left w:val="single" w:sz="4" w:space="0" w:color="auto"/>
              <w:bottom w:val="doub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8.77</w:t>
            </w:r>
          </w:p>
        </w:tc>
        <w:tc>
          <w:tcPr>
            <w:tcW w:w="1134" w:type="dxa"/>
            <w:tcBorders>
              <w:top w:val="single" w:sz="4" w:space="0" w:color="auto"/>
              <w:left w:val="single" w:sz="4" w:space="0" w:color="auto"/>
              <w:bottom w:val="double" w:sz="4" w:space="0" w:color="auto"/>
              <w:right w:val="single" w:sz="4" w:space="0" w:color="auto"/>
            </w:tcBorders>
          </w:tcPr>
          <w:p w:rsidR="00BC496A" w:rsidRDefault="00BC496A" w:rsidP="007372A1">
            <w:pPr>
              <w:widowControl w:val="0"/>
              <w:tabs>
                <w:tab w:val="decimal" w:pos="420"/>
              </w:tabs>
              <w:adjustRightInd w:val="0"/>
              <w:spacing w:before="60" w:after="60"/>
              <w:ind w:left="-26" w:right="-108" w:firstLine="0"/>
              <w:jc w:val="left"/>
              <w:textAlignment w:val="baseline"/>
              <w:rPr>
                <w:bCs/>
                <w:sz w:val="22"/>
                <w:szCs w:val="22"/>
              </w:rPr>
            </w:pPr>
            <w:r>
              <w:rPr>
                <w:bCs/>
                <w:sz w:val="22"/>
                <w:szCs w:val="22"/>
              </w:rPr>
              <w:t>8.16</w:t>
            </w:r>
          </w:p>
        </w:tc>
        <w:tc>
          <w:tcPr>
            <w:tcW w:w="992" w:type="dxa"/>
            <w:tcBorders>
              <w:top w:val="single" w:sz="4" w:space="0" w:color="auto"/>
              <w:left w:val="single" w:sz="4" w:space="0" w:color="auto"/>
              <w:bottom w:val="double" w:sz="4" w:space="0" w:color="auto"/>
              <w:right w:val="single" w:sz="4" w:space="0" w:color="auto"/>
            </w:tcBorders>
          </w:tcPr>
          <w:p w:rsidR="00BC496A" w:rsidRPr="00BF7D11" w:rsidRDefault="00BC496A" w:rsidP="007372A1">
            <w:pPr>
              <w:widowControl w:val="0"/>
              <w:tabs>
                <w:tab w:val="decimal" w:pos="278"/>
              </w:tabs>
              <w:adjustRightInd w:val="0"/>
              <w:spacing w:before="60" w:after="60"/>
              <w:ind w:left="-26" w:right="-108" w:firstLine="0"/>
              <w:jc w:val="left"/>
              <w:textAlignment w:val="baseline"/>
              <w:rPr>
                <w:b/>
                <w:bCs/>
                <w:sz w:val="22"/>
                <w:szCs w:val="22"/>
              </w:rPr>
            </w:pPr>
            <w:r w:rsidRPr="00BF7D11">
              <w:rPr>
                <w:b/>
                <w:bCs/>
                <w:sz w:val="22"/>
                <w:szCs w:val="22"/>
              </w:rPr>
              <w:t>7.98</w:t>
            </w:r>
          </w:p>
        </w:tc>
        <w:tc>
          <w:tcPr>
            <w:tcW w:w="960" w:type="dxa"/>
            <w:tcBorders>
              <w:top w:val="single" w:sz="4" w:space="0" w:color="auto"/>
              <w:left w:val="single" w:sz="4" w:space="0" w:color="auto"/>
              <w:bottom w:val="double" w:sz="4" w:space="0" w:color="auto"/>
              <w:right w:val="sing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8.18</w:t>
            </w:r>
          </w:p>
        </w:tc>
        <w:tc>
          <w:tcPr>
            <w:tcW w:w="1098" w:type="dxa"/>
            <w:tcBorders>
              <w:top w:val="single" w:sz="4" w:space="0" w:color="auto"/>
              <w:left w:val="single" w:sz="4" w:space="0" w:color="auto"/>
              <w:bottom w:val="double" w:sz="4" w:space="0" w:color="auto"/>
              <w:right w:val="double" w:sz="4" w:space="0" w:color="auto"/>
            </w:tcBorders>
          </w:tcPr>
          <w:p w:rsidR="00BC496A" w:rsidRDefault="00BC496A" w:rsidP="007372A1">
            <w:pPr>
              <w:widowControl w:val="0"/>
              <w:tabs>
                <w:tab w:val="decimal" w:pos="278"/>
              </w:tabs>
              <w:adjustRightInd w:val="0"/>
              <w:spacing w:before="60" w:after="60"/>
              <w:ind w:left="-26" w:right="-108" w:firstLine="0"/>
              <w:jc w:val="left"/>
              <w:textAlignment w:val="baseline"/>
              <w:rPr>
                <w:bCs/>
                <w:sz w:val="22"/>
                <w:szCs w:val="22"/>
              </w:rPr>
            </w:pPr>
            <w:r>
              <w:rPr>
                <w:bCs/>
                <w:sz w:val="22"/>
                <w:szCs w:val="22"/>
              </w:rPr>
              <w:t>8.60</w:t>
            </w:r>
          </w:p>
        </w:tc>
      </w:tr>
    </w:tbl>
    <w:p w:rsidR="00BC496A" w:rsidRDefault="00BC496A" w:rsidP="00BC496A">
      <w:pPr>
        <w:spacing w:before="120" w:after="0"/>
        <w:ind w:left="851" w:right="522" w:hanging="1418"/>
        <w:rPr>
          <w:sz w:val="22"/>
          <w:szCs w:val="22"/>
          <w:lang w:val="en-US"/>
        </w:rPr>
      </w:pPr>
      <w:r w:rsidRPr="00600ED0">
        <w:rPr>
          <w:i/>
          <w:sz w:val="22"/>
          <w:szCs w:val="22"/>
          <w:lang w:val="en-US"/>
        </w:rPr>
        <w:t xml:space="preserve">Source: </w:t>
      </w:r>
      <w:r w:rsidRPr="00600ED0">
        <w:rPr>
          <w:sz w:val="22"/>
          <w:szCs w:val="22"/>
          <w:lang w:val="en-US"/>
        </w:rPr>
        <w:t>Authors’ own calculations</w:t>
      </w:r>
    </w:p>
    <w:p w:rsidR="00BC496A" w:rsidRPr="00AD6F0A" w:rsidRDefault="00BC496A" w:rsidP="00BC496A">
      <w:pPr>
        <w:spacing w:before="120" w:after="0"/>
        <w:ind w:left="851" w:right="522" w:hanging="1418"/>
        <w:rPr>
          <w:sz w:val="22"/>
          <w:szCs w:val="22"/>
          <w:lang w:val="en-US"/>
        </w:rPr>
      </w:pPr>
      <w:r>
        <w:rPr>
          <w:sz w:val="22"/>
          <w:szCs w:val="22"/>
          <w:lang w:val="en-US"/>
        </w:rPr>
        <w:t xml:space="preserve">* For these regions, the optimum actually occurs at </w:t>
      </w:r>
      <w:r w:rsidRPr="00D66853">
        <w:rPr>
          <w:i/>
          <w:sz w:val="22"/>
          <w:szCs w:val="22"/>
        </w:rPr>
        <w:t>δ</w:t>
      </w:r>
      <w:r>
        <w:rPr>
          <w:sz w:val="22"/>
          <w:szCs w:val="22"/>
        </w:rPr>
        <w:t xml:space="preserve"> &gt; 0.5</w:t>
      </w:r>
    </w:p>
    <w:p w:rsidR="00BC496A" w:rsidRDefault="00BC496A" w:rsidP="00BC496A">
      <w:pPr>
        <w:spacing w:after="0"/>
        <w:ind w:firstLine="0"/>
        <w:jc w:val="left"/>
        <w:rPr>
          <w:sz w:val="22"/>
          <w:szCs w:val="22"/>
          <w:lang w:val="en-US"/>
        </w:rPr>
      </w:pPr>
      <w:r>
        <w:rPr>
          <w:sz w:val="22"/>
          <w:szCs w:val="22"/>
          <w:lang w:val="en-US"/>
        </w:rPr>
        <w:br w:type="page"/>
      </w:r>
    </w:p>
    <w:p w:rsidR="00BC496A" w:rsidRDefault="00BC496A" w:rsidP="00BC496A">
      <w:pPr>
        <w:ind w:left="426" w:right="379" w:firstLine="0"/>
        <w:jc w:val="left"/>
        <w:rPr>
          <w:color w:val="000000"/>
          <w:szCs w:val="26"/>
        </w:rPr>
      </w:pPr>
      <w:r>
        <w:rPr>
          <w:b/>
          <w:color w:val="000000"/>
          <w:szCs w:val="26"/>
        </w:rPr>
        <w:t>Table 12</w:t>
      </w:r>
      <w:r>
        <w:rPr>
          <w:color w:val="000000"/>
          <w:szCs w:val="26"/>
        </w:rPr>
        <w:t xml:space="preserve">  </w:t>
      </w:r>
      <w:r w:rsidRPr="005C4B7A">
        <w:rPr>
          <w:color w:val="000000"/>
          <w:szCs w:val="26"/>
        </w:rPr>
        <w:t>Accuracy</w:t>
      </w:r>
      <w:r>
        <w:rPr>
          <w:color w:val="000000"/>
          <w:szCs w:val="26"/>
        </w:rPr>
        <w:t xml:space="preserve"> of estimated type I output</w:t>
      </w:r>
      <w:r w:rsidRPr="005C4B7A">
        <w:rPr>
          <w:color w:val="000000"/>
          <w:szCs w:val="26"/>
        </w:rPr>
        <w:t xml:space="preserve"> </w:t>
      </w:r>
      <w:r>
        <w:rPr>
          <w:color w:val="000000"/>
          <w:szCs w:val="26"/>
        </w:rPr>
        <w:t>multipliers for South Korean regions</w:t>
      </w:r>
      <w:r>
        <w:rPr>
          <w:b/>
          <w:lang w:val="en-US"/>
        </w:rPr>
        <w:t xml:space="preserve"> </w:t>
      </w:r>
      <w:r w:rsidRPr="005C4B7A">
        <w:rPr>
          <w:color w:val="000000"/>
          <w:szCs w:val="26"/>
        </w:rPr>
        <w:t>in 200</w:t>
      </w:r>
      <w:r>
        <w:rPr>
          <w:color w:val="000000"/>
          <w:szCs w:val="26"/>
        </w:rPr>
        <w:t>5 based on different methods and criteria (based on 28 sectors in 16 regions)</w:t>
      </w:r>
    </w:p>
    <w:tbl>
      <w:tblPr>
        <w:tblW w:w="8281" w:type="dxa"/>
        <w:jc w:val="center"/>
        <w:tblInd w:w="-18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239"/>
        <w:gridCol w:w="1275"/>
        <w:gridCol w:w="1276"/>
        <w:gridCol w:w="1276"/>
        <w:gridCol w:w="1134"/>
        <w:gridCol w:w="1081"/>
      </w:tblGrid>
      <w:tr w:rsidR="00BC496A" w:rsidTr="007372A1">
        <w:trPr>
          <w:trHeight w:val="183"/>
          <w:jc w:val="center"/>
        </w:trPr>
        <w:tc>
          <w:tcPr>
            <w:tcW w:w="2239" w:type="dxa"/>
            <w:vMerge w:val="restart"/>
            <w:tcBorders>
              <w:top w:val="double" w:sz="4" w:space="0" w:color="auto"/>
              <w:left w:val="double" w:sz="4" w:space="0" w:color="auto"/>
              <w:bottom w:val="single" w:sz="4" w:space="0" w:color="auto"/>
              <w:right w:val="single" w:sz="4" w:space="0" w:color="auto"/>
            </w:tcBorders>
          </w:tcPr>
          <w:p w:rsidR="00BC496A" w:rsidRDefault="00BC496A" w:rsidP="007372A1">
            <w:pPr>
              <w:pStyle w:val="Normaali1"/>
              <w:spacing w:after="60" w:line="240" w:lineRule="auto"/>
              <w:ind w:right="125"/>
              <w:rPr>
                <w:rFonts w:ascii="Times New Roman" w:hAnsi="Times New Roman"/>
                <w:sz w:val="22"/>
                <w:szCs w:val="22"/>
              </w:rPr>
            </w:pPr>
          </w:p>
          <w:p w:rsidR="00BC496A" w:rsidRDefault="00BC496A" w:rsidP="007372A1">
            <w:pPr>
              <w:pStyle w:val="Normaali1"/>
              <w:spacing w:before="180" w:after="60" w:line="240" w:lineRule="auto"/>
              <w:ind w:right="125"/>
              <w:rPr>
                <w:rFonts w:ascii="Times New Roman" w:hAnsi="Times New Roman"/>
                <w:sz w:val="22"/>
                <w:szCs w:val="22"/>
              </w:rPr>
            </w:pPr>
            <w:r>
              <w:rPr>
                <w:rFonts w:ascii="Times New Roman" w:hAnsi="Times New Roman"/>
                <w:sz w:val="22"/>
                <w:szCs w:val="22"/>
              </w:rPr>
              <w:t>Method</w:t>
            </w:r>
          </w:p>
        </w:tc>
        <w:tc>
          <w:tcPr>
            <w:tcW w:w="6042" w:type="dxa"/>
            <w:gridSpan w:val="5"/>
            <w:tcBorders>
              <w:top w:val="double" w:sz="4" w:space="0" w:color="auto"/>
              <w:left w:val="single" w:sz="4" w:space="0" w:color="auto"/>
              <w:bottom w:val="single" w:sz="4" w:space="0" w:color="auto"/>
              <w:right w:val="double" w:sz="4" w:space="0" w:color="auto"/>
            </w:tcBorders>
          </w:tcPr>
          <w:p w:rsidR="00BC496A" w:rsidRDefault="00BC496A" w:rsidP="007372A1">
            <w:pPr>
              <w:pStyle w:val="Normaali1"/>
              <w:spacing w:before="60" w:after="60" w:line="240" w:lineRule="auto"/>
              <w:ind w:left="-40"/>
              <w:jc w:val="center"/>
              <w:rPr>
                <w:rFonts w:ascii="Times New Roman" w:hAnsi="Times New Roman"/>
                <w:sz w:val="22"/>
                <w:szCs w:val="22"/>
              </w:rPr>
            </w:pPr>
            <w:r>
              <w:rPr>
                <w:rFonts w:ascii="Times New Roman" w:hAnsi="Times New Roman"/>
                <w:sz w:val="22"/>
                <w:szCs w:val="22"/>
              </w:rPr>
              <w:t>Criterion</w:t>
            </w:r>
          </w:p>
        </w:tc>
      </w:tr>
      <w:tr w:rsidR="00BC496A" w:rsidTr="007372A1">
        <w:trPr>
          <w:trHeight w:val="335"/>
          <w:jc w:val="center"/>
        </w:trPr>
        <w:tc>
          <w:tcPr>
            <w:tcW w:w="2239" w:type="dxa"/>
            <w:vMerge/>
            <w:tcBorders>
              <w:top w:val="single" w:sz="4" w:space="0" w:color="auto"/>
              <w:left w:val="double" w:sz="4" w:space="0" w:color="auto"/>
              <w:bottom w:val="single" w:sz="4" w:space="0" w:color="auto"/>
              <w:right w:val="single" w:sz="4" w:space="0" w:color="auto"/>
            </w:tcBorders>
          </w:tcPr>
          <w:p w:rsidR="00BC496A" w:rsidRDefault="00BC496A" w:rsidP="007372A1">
            <w:pPr>
              <w:pStyle w:val="Normaali1"/>
              <w:spacing w:before="240" w:after="60" w:line="240" w:lineRule="auto"/>
              <w:ind w:right="125"/>
              <w:rPr>
                <w:rFonts w:ascii="Times New Roman" w:hAnsi="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spacing w:before="60" w:after="60" w:line="240" w:lineRule="auto"/>
              <w:ind w:left="-40"/>
              <w:jc w:val="center"/>
              <w:rPr>
                <w:rFonts w:ascii="Times New Roman" w:hAnsi="Times New Roman"/>
                <w:sz w:val="22"/>
                <w:szCs w:val="22"/>
              </w:rPr>
            </w:pPr>
            <w:r>
              <w:rPr>
                <w:rFonts w:ascii="Times New Roman" w:hAnsi="Times New Roman"/>
                <w:sz w:val="22"/>
                <w:szCs w:val="22"/>
              </w:rPr>
              <w:t>MAPE</w:t>
            </w:r>
          </w:p>
        </w:tc>
        <w:tc>
          <w:tcPr>
            <w:tcW w:w="1276" w:type="dxa"/>
            <w:tcBorders>
              <w:top w:val="single" w:sz="4" w:space="0" w:color="auto"/>
              <w:left w:val="single" w:sz="4" w:space="0" w:color="auto"/>
              <w:bottom w:val="single" w:sz="4" w:space="0" w:color="auto"/>
              <w:right w:val="single" w:sz="4" w:space="0" w:color="auto"/>
            </w:tcBorders>
          </w:tcPr>
          <w:p w:rsidR="00BC496A" w:rsidRPr="00533B21" w:rsidRDefault="00BC496A" w:rsidP="007372A1">
            <w:pPr>
              <w:pStyle w:val="Normaali1"/>
              <w:spacing w:before="60" w:after="60" w:line="240" w:lineRule="auto"/>
              <w:ind w:left="-40"/>
              <w:jc w:val="center"/>
              <w:rPr>
                <w:rFonts w:ascii="Times New Roman" w:hAnsi="Times New Roman"/>
                <w:sz w:val="22"/>
                <w:szCs w:val="22"/>
              </w:rPr>
            </w:pPr>
            <w:r>
              <w:rPr>
                <w:rFonts w:ascii="Times New Roman" w:hAnsi="Times New Roman"/>
                <w:sz w:val="22"/>
                <w:szCs w:val="22"/>
              </w:rPr>
              <w:t>MPE</w:t>
            </w:r>
          </w:p>
        </w:tc>
        <w:tc>
          <w:tcPr>
            <w:tcW w:w="1276" w:type="dxa"/>
            <w:tcBorders>
              <w:top w:val="single" w:sz="4" w:space="0" w:color="auto"/>
              <w:left w:val="single" w:sz="4" w:space="0" w:color="auto"/>
              <w:bottom w:val="single" w:sz="4" w:space="0" w:color="auto"/>
              <w:right w:val="single" w:sz="4" w:space="0" w:color="auto"/>
            </w:tcBorders>
          </w:tcPr>
          <w:p w:rsidR="00BC496A" w:rsidRPr="00533B21" w:rsidRDefault="00BC496A" w:rsidP="007372A1">
            <w:pPr>
              <w:pStyle w:val="Normaali1"/>
              <w:spacing w:before="60" w:after="60" w:line="240" w:lineRule="auto"/>
              <w:ind w:left="-40"/>
              <w:jc w:val="center"/>
              <w:rPr>
                <w:rFonts w:ascii="Times New Roman" w:hAnsi="Times New Roman"/>
                <w:sz w:val="22"/>
                <w:szCs w:val="22"/>
              </w:rPr>
            </w:pPr>
            <w:r>
              <w:rPr>
                <w:rFonts w:ascii="Times New Roman" w:hAnsi="Times New Roman"/>
                <w:sz w:val="22"/>
                <w:szCs w:val="22"/>
              </w:rPr>
              <w:t>WMPE</w:t>
            </w:r>
          </w:p>
        </w:tc>
        <w:tc>
          <w:tcPr>
            <w:tcW w:w="1134" w:type="dxa"/>
            <w:tcBorders>
              <w:top w:val="single" w:sz="4" w:space="0" w:color="auto"/>
              <w:left w:val="single" w:sz="4" w:space="0" w:color="auto"/>
              <w:bottom w:val="single" w:sz="4" w:space="0" w:color="auto"/>
              <w:right w:val="single" w:sz="4" w:space="0" w:color="auto"/>
            </w:tcBorders>
          </w:tcPr>
          <w:p w:rsidR="00BC496A" w:rsidRPr="00533B21" w:rsidRDefault="00BC496A" w:rsidP="007372A1">
            <w:pPr>
              <w:pStyle w:val="Normaali1"/>
              <w:spacing w:before="60" w:after="60" w:line="240" w:lineRule="auto"/>
              <w:ind w:left="-40"/>
              <w:jc w:val="center"/>
              <w:rPr>
                <w:rFonts w:ascii="Times New Roman" w:hAnsi="Times New Roman"/>
                <w:sz w:val="22"/>
                <w:szCs w:val="22"/>
              </w:rPr>
            </w:pPr>
            <w:r>
              <w:rPr>
                <w:rFonts w:ascii="Times New Roman" w:hAnsi="Times New Roman"/>
                <w:sz w:val="22"/>
                <w:szCs w:val="22"/>
              </w:rPr>
              <w:t>SDSD × 1000</w:t>
            </w:r>
          </w:p>
        </w:tc>
        <w:tc>
          <w:tcPr>
            <w:tcW w:w="1081" w:type="dxa"/>
            <w:tcBorders>
              <w:top w:val="single" w:sz="4" w:space="0" w:color="auto"/>
              <w:left w:val="single" w:sz="4" w:space="0" w:color="auto"/>
              <w:bottom w:val="single" w:sz="4" w:space="0" w:color="auto"/>
              <w:right w:val="double" w:sz="4" w:space="0" w:color="auto"/>
            </w:tcBorders>
          </w:tcPr>
          <w:p w:rsidR="00BC496A" w:rsidRPr="0074262F" w:rsidRDefault="00BC496A" w:rsidP="007372A1">
            <w:pPr>
              <w:pStyle w:val="Normaali1"/>
              <w:spacing w:before="60" w:after="60" w:line="240" w:lineRule="auto"/>
              <w:ind w:left="-40"/>
              <w:jc w:val="center"/>
              <w:rPr>
                <w:rFonts w:ascii="Times New Roman" w:hAnsi="Times New Roman"/>
                <w:i/>
                <w:sz w:val="22"/>
                <w:szCs w:val="22"/>
              </w:rPr>
            </w:pPr>
            <w:r w:rsidRPr="0074262F">
              <w:rPr>
                <w:rFonts w:ascii="Times New Roman" w:hAnsi="Times New Roman"/>
                <w:i/>
                <w:sz w:val="22"/>
                <w:szCs w:val="22"/>
              </w:rPr>
              <w:t>U</w:t>
            </w:r>
          </w:p>
        </w:tc>
      </w:tr>
      <w:tr w:rsidR="00BC496A" w:rsidTr="007372A1">
        <w:trPr>
          <w:trHeight w:val="375"/>
          <w:jc w:val="center"/>
        </w:trPr>
        <w:tc>
          <w:tcPr>
            <w:tcW w:w="2239"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Pr>
                <w:color w:val="000000"/>
                <w:sz w:val="22"/>
                <w:szCs w:val="22"/>
              </w:rPr>
              <w:t>SLQ</w:t>
            </w:r>
          </w:p>
        </w:tc>
        <w:tc>
          <w:tcPr>
            <w:tcW w:w="1275"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452"/>
              </w:tabs>
              <w:spacing w:before="60" w:after="60" w:line="240" w:lineRule="auto"/>
              <w:ind w:right="-34" w:hanging="6"/>
              <w:jc w:val="left"/>
              <w:rPr>
                <w:rFonts w:ascii="Times New Roman" w:hAnsi="Times New Roman"/>
                <w:sz w:val="22"/>
                <w:szCs w:val="22"/>
              </w:rPr>
            </w:pPr>
            <w:r>
              <w:rPr>
                <w:rFonts w:ascii="Times New Roman" w:hAnsi="Times New Roman"/>
                <w:sz w:val="22"/>
                <w:szCs w:val="22"/>
              </w:rPr>
              <w:t>22.224</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452"/>
              </w:tabs>
              <w:spacing w:before="60" w:after="60" w:line="240" w:lineRule="auto"/>
              <w:ind w:right="28" w:hanging="6"/>
              <w:jc w:val="left"/>
              <w:rPr>
                <w:rFonts w:ascii="Times New Roman" w:hAnsi="Times New Roman"/>
                <w:sz w:val="22"/>
                <w:szCs w:val="22"/>
              </w:rPr>
            </w:pPr>
            <w:r>
              <w:rPr>
                <w:sz w:val="22"/>
                <w:szCs w:val="22"/>
              </w:rPr>
              <w:sym w:font="Symbol" w:char="F02D"/>
            </w:r>
            <w:r>
              <w:rPr>
                <w:sz w:val="22"/>
                <w:szCs w:val="22"/>
              </w:rPr>
              <w:t>21.210</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452"/>
              </w:tabs>
              <w:spacing w:before="60" w:after="60" w:line="240" w:lineRule="auto"/>
              <w:ind w:right="-34" w:hanging="6"/>
              <w:jc w:val="left"/>
              <w:rPr>
                <w:rFonts w:ascii="Times New Roman" w:hAnsi="Times New Roman"/>
                <w:sz w:val="22"/>
                <w:szCs w:val="22"/>
              </w:rPr>
            </w:pPr>
            <w:r>
              <w:rPr>
                <w:rFonts w:ascii="Times New Roman" w:hAnsi="Times New Roman"/>
                <w:sz w:val="22"/>
                <w:szCs w:val="22"/>
              </w:rPr>
              <w:t>24.374</w:t>
            </w:r>
          </w:p>
        </w:tc>
        <w:tc>
          <w:tcPr>
            <w:tcW w:w="1134" w:type="dxa"/>
            <w:tcBorders>
              <w:top w:val="single" w:sz="4" w:space="0" w:color="auto"/>
              <w:left w:val="single" w:sz="4" w:space="0" w:color="auto"/>
              <w:bottom w:val="single" w:sz="4" w:space="0" w:color="auto"/>
              <w:right w:val="single" w:sz="4" w:space="0" w:color="auto"/>
            </w:tcBorders>
          </w:tcPr>
          <w:p w:rsidR="00BC496A" w:rsidRDefault="00BC496A" w:rsidP="007372A1">
            <w:pPr>
              <w:pStyle w:val="Normaali1"/>
              <w:tabs>
                <w:tab w:val="decimal" w:pos="310"/>
              </w:tabs>
              <w:spacing w:before="60" w:after="60" w:line="240" w:lineRule="auto"/>
              <w:ind w:right="28"/>
              <w:jc w:val="left"/>
              <w:rPr>
                <w:rFonts w:ascii="Times New Roman" w:hAnsi="Times New Roman"/>
                <w:sz w:val="22"/>
                <w:szCs w:val="22"/>
              </w:rPr>
            </w:pPr>
            <w:r>
              <w:rPr>
                <w:rFonts w:ascii="Times New Roman" w:hAnsi="Times New Roman"/>
                <w:sz w:val="22"/>
                <w:szCs w:val="22"/>
              </w:rPr>
              <w:t>20.078</w:t>
            </w:r>
          </w:p>
        </w:tc>
        <w:tc>
          <w:tcPr>
            <w:tcW w:w="1081" w:type="dxa"/>
            <w:tcBorders>
              <w:top w:val="single" w:sz="4" w:space="0" w:color="auto"/>
              <w:left w:val="single" w:sz="4" w:space="0" w:color="auto"/>
              <w:bottom w:val="single" w:sz="4" w:space="0" w:color="auto"/>
              <w:right w:val="double" w:sz="4" w:space="0" w:color="auto"/>
            </w:tcBorders>
          </w:tcPr>
          <w:p w:rsidR="00BC496A" w:rsidRDefault="00BC496A" w:rsidP="007372A1">
            <w:pPr>
              <w:pStyle w:val="Normaali1"/>
              <w:tabs>
                <w:tab w:val="decimal" w:pos="310"/>
              </w:tabs>
              <w:spacing w:before="60" w:after="60" w:line="240" w:lineRule="auto"/>
              <w:ind w:right="-34" w:hanging="6"/>
              <w:jc w:val="left"/>
              <w:rPr>
                <w:rFonts w:ascii="Times New Roman" w:hAnsi="Times New Roman"/>
                <w:sz w:val="22"/>
                <w:szCs w:val="22"/>
              </w:rPr>
            </w:pPr>
            <w:r>
              <w:rPr>
                <w:rFonts w:ascii="Times New Roman" w:hAnsi="Times New Roman"/>
                <w:sz w:val="22"/>
                <w:szCs w:val="22"/>
              </w:rPr>
              <w:t>26.529</w:t>
            </w:r>
          </w:p>
        </w:tc>
      </w:tr>
      <w:tr w:rsidR="00BC496A" w:rsidTr="007372A1">
        <w:trPr>
          <w:jc w:val="center"/>
        </w:trPr>
        <w:tc>
          <w:tcPr>
            <w:tcW w:w="2239"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Pr>
                <w:color w:val="000000"/>
                <w:sz w:val="22"/>
                <w:szCs w:val="22"/>
              </w:rPr>
              <w:t>CILQ</w:t>
            </w:r>
          </w:p>
        </w:tc>
        <w:tc>
          <w:tcPr>
            <w:tcW w:w="1275"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right="-108" w:firstLine="0"/>
              <w:jc w:val="left"/>
              <w:textAlignment w:val="baseline"/>
              <w:rPr>
                <w:bCs/>
                <w:sz w:val="22"/>
                <w:szCs w:val="22"/>
              </w:rPr>
            </w:pPr>
            <w:r>
              <w:rPr>
                <w:bCs/>
                <w:sz w:val="22"/>
                <w:szCs w:val="22"/>
              </w:rPr>
              <w:t>23.541</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sz w:val="22"/>
                <w:szCs w:val="22"/>
              </w:rPr>
              <w:sym w:font="Symbol" w:char="F02D"/>
            </w:r>
            <w:r>
              <w:rPr>
                <w:sz w:val="22"/>
                <w:szCs w:val="22"/>
              </w:rPr>
              <w:t>22.386</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right="-108" w:firstLine="0"/>
              <w:jc w:val="left"/>
              <w:textAlignment w:val="baseline"/>
              <w:rPr>
                <w:bCs/>
                <w:sz w:val="22"/>
                <w:szCs w:val="22"/>
              </w:rPr>
            </w:pPr>
            <w:r>
              <w:rPr>
                <w:bCs/>
                <w:sz w:val="22"/>
                <w:szCs w:val="22"/>
              </w:rPr>
              <w:t>19.136</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310"/>
              </w:tabs>
              <w:adjustRightInd w:val="0"/>
              <w:spacing w:before="60" w:after="60"/>
              <w:ind w:left="-28" w:right="-108" w:firstLine="0"/>
              <w:jc w:val="left"/>
              <w:textAlignment w:val="baseline"/>
              <w:rPr>
                <w:bCs/>
                <w:sz w:val="22"/>
                <w:szCs w:val="22"/>
              </w:rPr>
            </w:pPr>
            <w:r>
              <w:rPr>
                <w:bCs/>
                <w:sz w:val="22"/>
                <w:szCs w:val="22"/>
              </w:rPr>
              <w:t>14.837</w:t>
            </w:r>
          </w:p>
        </w:tc>
        <w:tc>
          <w:tcPr>
            <w:tcW w:w="1081"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310"/>
              </w:tabs>
              <w:adjustRightInd w:val="0"/>
              <w:spacing w:before="60" w:after="60"/>
              <w:ind w:right="-108" w:firstLine="0"/>
              <w:jc w:val="left"/>
              <w:textAlignment w:val="baseline"/>
              <w:rPr>
                <w:bCs/>
                <w:sz w:val="22"/>
                <w:szCs w:val="22"/>
              </w:rPr>
            </w:pPr>
            <w:r>
              <w:rPr>
                <w:bCs/>
                <w:sz w:val="22"/>
                <w:szCs w:val="22"/>
              </w:rPr>
              <w:t>26.706</w:t>
            </w:r>
          </w:p>
        </w:tc>
      </w:tr>
      <w:tr w:rsidR="00BC496A" w:rsidTr="007372A1">
        <w:trPr>
          <w:jc w:val="center"/>
        </w:trPr>
        <w:tc>
          <w:tcPr>
            <w:tcW w:w="2239" w:type="dxa"/>
            <w:tcBorders>
              <w:top w:val="single" w:sz="4" w:space="0" w:color="auto"/>
              <w:left w:val="double" w:sz="4" w:space="0" w:color="auto"/>
              <w:bottom w:val="single" w:sz="4" w:space="0" w:color="auto"/>
              <w:right w:val="single" w:sz="4" w:space="0" w:color="auto"/>
            </w:tcBorders>
            <w:vAlign w:val="bottom"/>
          </w:tcPr>
          <w:p w:rsidR="00BC496A" w:rsidRPr="00A401CA" w:rsidRDefault="00BC496A" w:rsidP="007372A1">
            <w:pPr>
              <w:spacing w:before="60" w:after="60"/>
              <w:ind w:left="28" w:firstLine="0"/>
              <w:jc w:val="left"/>
              <w:rPr>
                <w:color w:val="000000"/>
                <w:sz w:val="22"/>
                <w:szCs w:val="22"/>
              </w:rPr>
            </w:pPr>
            <w:r>
              <w:rPr>
                <w:color w:val="000000"/>
                <w:sz w:val="22"/>
                <w:szCs w:val="22"/>
              </w:rPr>
              <w:t>FLQ (</w:t>
            </w:r>
            <w:r w:rsidRPr="00D66853">
              <w:rPr>
                <w:i/>
                <w:sz w:val="22"/>
                <w:szCs w:val="22"/>
              </w:rPr>
              <w:t>δ</w:t>
            </w:r>
            <w:r>
              <w:rPr>
                <w:sz w:val="22"/>
                <w:szCs w:val="22"/>
              </w:rPr>
              <w:t xml:space="preserve"> = 0.2)</w:t>
            </w:r>
          </w:p>
        </w:tc>
        <w:tc>
          <w:tcPr>
            <w:tcW w:w="1275"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bCs/>
                <w:sz w:val="22"/>
                <w:szCs w:val="22"/>
              </w:rPr>
              <w:t>11.411</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sz w:val="22"/>
                <w:szCs w:val="22"/>
              </w:rPr>
              <w:sym w:font="Symbol" w:char="F02D"/>
            </w:r>
            <w:r>
              <w:rPr>
                <w:sz w:val="22"/>
                <w:szCs w:val="22"/>
              </w:rPr>
              <w:t>8.767</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bCs/>
                <w:sz w:val="22"/>
                <w:szCs w:val="22"/>
              </w:rPr>
              <w:t>5.780</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310"/>
              </w:tabs>
              <w:adjustRightInd w:val="0"/>
              <w:spacing w:before="60" w:after="60"/>
              <w:ind w:left="-28" w:right="-108" w:firstLine="0"/>
              <w:jc w:val="left"/>
              <w:textAlignment w:val="baseline"/>
              <w:rPr>
                <w:bCs/>
                <w:sz w:val="22"/>
                <w:szCs w:val="22"/>
              </w:rPr>
            </w:pPr>
            <w:r>
              <w:rPr>
                <w:bCs/>
                <w:sz w:val="22"/>
                <w:szCs w:val="22"/>
              </w:rPr>
              <w:t>2.316</w:t>
            </w:r>
          </w:p>
        </w:tc>
        <w:tc>
          <w:tcPr>
            <w:tcW w:w="1081"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310"/>
              </w:tabs>
              <w:adjustRightInd w:val="0"/>
              <w:spacing w:before="60" w:after="60"/>
              <w:ind w:left="-28" w:right="-108" w:firstLine="0"/>
              <w:jc w:val="left"/>
              <w:textAlignment w:val="baseline"/>
              <w:rPr>
                <w:bCs/>
                <w:sz w:val="22"/>
                <w:szCs w:val="22"/>
              </w:rPr>
            </w:pPr>
            <w:r>
              <w:rPr>
                <w:bCs/>
                <w:sz w:val="22"/>
                <w:szCs w:val="22"/>
              </w:rPr>
              <w:t>13.911</w:t>
            </w:r>
          </w:p>
        </w:tc>
      </w:tr>
      <w:tr w:rsidR="00BC496A" w:rsidTr="007372A1">
        <w:trPr>
          <w:jc w:val="center"/>
        </w:trPr>
        <w:tc>
          <w:tcPr>
            <w:tcW w:w="2239"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Pr>
                <w:color w:val="000000"/>
                <w:sz w:val="22"/>
                <w:szCs w:val="22"/>
              </w:rPr>
              <w:t>FLQ (</w:t>
            </w:r>
            <w:r w:rsidRPr="00D66853">
              <w:rPr>
                <w:i/>
                <w:sz w:val="22"/>
                <w:szCs w:val="22"/>
              </w:rPr>
              <w:t>δ</w:t>
            </w:r>
            <w:r>
              <w:rPr>
                <w:sz w:val="22"/>
                <w:szCs w:val="22"/>
              </w:rPr>
              <w:t xml:space="preserve"> = 0.25)</w:t>
            </w:r>
          </w:p>
        </w:tc>
        <w:tc>
          <w:tcPr>
            <w:tcW w:w="1275"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bCs/>
                <w:sz w:val="22"/>
                <w:szCs w:val="22"/>
              </w:rPr>
              <w:t>9.836</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sz w:val="22"/>
                <w:szCs w:val="22"/>
              </w:rPr>
              <w:sym w:font="Symbol" w:char="F02D"/>
            </w:r>
            <w:r>
              <w:rPr>
                <w:sz w:val="22"/>
                <w:szCs w:val="22"/>
              </w:rPr>
              <w:t>5.998</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bCs/>
                <w:sz w:val="22"/>
                <w:szCs w:val="22"/>
              </w:rPr>
              <w:t>3.007</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310"/>
              </w:tabs>
              <w:adjustRightInd w:val="0"/>
              <w:spacing w:before="60" w:after="60"/>
              <w:ind w:left="-28" w:right="-108" w:firstLine="0"/>
              <w:jc w:val="left"/>
              <w:textAlignment w:val="baseline"/>
              <w:rPr>
                <w:bCs/>
                <w:sz w:val="22"/>
                <w:szCs w:val="22"/>
              </w:rPr>
            </w:pPr>
            <w:r>
              <w:rPr>
                <w:bCs/>
                <w:sz w:val="22"/>
                <w:szCs w:val="22"/>
              </w:rPr>
              <w:t>1.298</w:t>
            </w:r>
          </w:p>
        </w:tc>
        <w:tc>
          <w:tcPr>
            <w:tcW w:w="1081"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310"/>
              </w:tabs>
              <w:adjustRightInd w:val="0"/>
              <w:spacing w:before="60" w:after="60"/>
              <w:ind w:left="-28" w:right="-108" w:firstLine="0"/>
              <w:jc w:val="left"/>
              <w:textAlignment w:val="baseline"/>
              <w:rPr>
                <w:bCs/>
                <w:sz w:val="22"/>
                <w:szCs w:val="22"/>
              </w:rPr>
            </w:pPr>
            <w:r>
              <w:rPr>
                <w:bCs/>
                <w:sz w:val="22"/>
                <w:szCs w:val="22"/>
              </w:rPr>
              <w:t>12.114</w:t>
            </w:r>
          </w:p>
        </w:tc>
      </w:tr>
      <w:tr w:rsidR="00BC496A" w:rsidTr="007372A1">
        <w:trPr>
          <w:jc w:val="center"/>
        </w:trPr>
        <w:tc>
          <w:tcPr>
            <w:tcW w:w="2239" w:type="dxa"/>
            <w:tcBorders>
              <w:top w:val="single" w:sz="4" w:space="0" w:color="auto"/>
              <w:left w:val="double" w:sz="4" w:space="0" w:color="auto"/>
              <w:bottom w:val="single" w:sz="4" w:space="0" w:color="auto"/>
              <w:right w:val="single" w:sz="4" w:space="0" w:color="auto"/>
            </w:tcBorders>
            <w:vAlign w:val="bottom"/>
          </w:tcPr>
          <w:p w:rsidR="00BC496A" w:rsidRPr="00A401CA" w:rsidRDefault="00BC496A" w:rsidP="007372A1">
            <w:pPr>
              <w:spacing w:before="60" w:after="60"/>
              <w:ind w:left="28" w:firstLine="0"/>
              <w:jc w:val="left"/>
              <w:rPr>
                <w:color w:val="000000"/>
                <w:sz w:val="22"/>
                <w:szCs w:val="22"/>
              </w:rPr>
            </w:pPr>
            <w:r>
              <w:rPr>
                <w:color w:val="000000"/>
                <w:sz w:val="22"/>
                <w:szCs w:val="22"/>
              </w:rPr>
              <w:t>FLQ (</w:t>
            </w:r>
            <w:r w:rsidRPr="00D66853">
              <w:rPr>
                <w:i/>
                <w:sz w:val="22"/>
                <w:szCs w:val="22"/>
              </w:rPr>
              <w:t>δ</w:t>
            </w:r>
            <w:r>
              <w:rPr>
                <w:sz w:val="22"/>
                <w:szCs w:val="22"/>
              </w:rPr>
              <w:t xml:space="preserve"> = 0.3)</w:t>
            </w:r>
          </w:p>
        </w:tc>
        <w:tc>
          <w:tcPr>
            <w:tcW w:w="1275"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bCs/>
                <w:sz w:val="22"/>
                <w:szCs w:val="22"/>
              </w:rPr>
              <w:t>8.768</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sz w:val="22"/>
                <w:szCs w:val="22"/>
              </w:rPr>
              <w:sym w:font="Symbol" w:char="F02D"/>
            </w:r>
            <w:r>
              <w:rPr>
                <w:sz w:val="22"/>
                <w:szCs w:val="22"/>
              </w:rPr>
              <w:t>3.463</w:t>
            </w:r>
          </w:p>
        </w:tc>
        <w:tc>
          <w:tcPr>
            <w:tcW w:w="1276" w:type="dxa"/>
            <w:tcBorders>
              <w:top w:val="single" w:sz="4" w:space="0" w:color="auto"/>
              <w:left w:val="single" w:sz="4" w:space="0" w:color="auto"/>
              <w:bottom w:val="single" w:sz="4" w:space="0" w:color="auto"/>
              <w:right w:val="single" w:sz="4" w:space="0" w:color="auto"/>
            </w:tcBorders>
          </w:tcPr>
          <w:p w:rsidR="00BC496A" w:rsidRPr="00540FD9" w:rsidRDefault="00BC496A" w:rsidP="007372A1">
            <w:pPr>
              <w:widowControl w:val="0"/>
              <w:tabs>
                <w:tab w:val="decimal" w:pos="452"/>
              </w:tabs>
              <w:adjustRightInd w:val="0"/>
              <w:spacing w:before="60" w:after="60"/>
              <w:ind w:left="-28" w:right="-108" w:firstLine="0"/>
              <w:jc w:val="left"/>
              <w:textAlignment w:val="baseline"/>
              <w:rPr>
                <w:b/>
                <w:bCs/>
                <w:sz w:val="22"/>
                <w:szCs w:val="22"/>
              </w:rPr>
            </w:pPr>
            <w:r w:rsidRPr="00540FD9">
              <w:rPr>
                <w:b/>
                <w:bCs/>
                <w:sz w:val="22"/>
                <w:szCs w:val="22"/>
              </w:rPr>
              <w:t>0.500</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310"/>
              </w:tabs>
              <w:adjustRightInd w:val="0"/>
              <w:spacing w:before="60" w:after="60"/>
              <w:ind w:left="-28" w:right="-108" w:firstLine="0"/>
              <w:jc w:val="left"/>
              <w:textAlignment w:val="baseline"/>
              <w:rPr>
                <w:bCs/>
                <w:sz w:val="22"/>
                <w:szCs w:val="22"/>
              </w:rPr>
            </w:pPr>
            <w:r>
              <w:rPr>
                <w:bCs/>
                <w:sz w:val="22"/>
                <w:szCs w:val="22"/>
              </w:rPr>
              <w:t>0.701</w:t>
            </w:r>
          </w:p>
        </w:tc>
        <w:tc>
          <w:tcPr>
            <w:tcW w:w="1081"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310"/>
              </w:tabs>
              <w:adjustRightInd w:val="0"/>
              <w:spacing w:before="60" w:after="60"/>
              <w:ind w:left="-28" w:right="-108" w:firstLine="0"/>
              <w:jc w:val="left"/>
              <w:textAlignment w:val="baseline"/>
              <w:rPr>
                <w:bCs/>
                <w:sz w:val="22"/>
                <w:szCs w:val="22"/>
              </w:rPr>
            </w:pPr>
            <w:r>
              <w:rPr>
                <w:bCs/>
                <w:sz w:val="22"/>
                <w:szCs w:val="22"/>
              </w:rPr>
              <w:t>10.903</w:t>
            </w:r>
          </w:p>
        </w:tc>
      </w:tr>
      <w:tr w:rsidR="00BC496A" w:rsidTr="007372A1">
        <w:trPr>
          <w:jc w:val="center"/>
        </w:trPr>
        <w:tc>
          <w:tcPr>
            <w:tcW w:w="2239" w:type="dxa"/>
            <w:tcBorders>
              <w:top w:val="single" w:sz="4" w:space="0" w:color="auto"/>
              <w:left w:val="double" w:sz="4" w:space="0" w:color="auto"/>
              <w:bottom w:val="single" w:sz="4" w:space="0" w:color="auto"/>
              <w:right w:val="single" w:sz="4" w:space="0" w:color="auto"/>
            </w:tcBorders>
            <w:vAlign w:val="bottom"/>
          </w:tcPr>
          <w:p w:rsidR="00BC496A" w:rsidRDefault="00BC496A" w:rsidP="007372A1">
            <w:pPr>
              <w:spacing w:before="60" w:after="60"/>
              <w:ind w:left="28" w:firstLine="0"/>
              <w:jc w:val="left"/>
              <w:rPr>
                <w:color w:val="000000"/>
                <w:sz w:val="22"/>
                <w:szCs w:val="22"/>
              </w:rPr>
            </w:pPr>
            <w:r>
              <w:rPr>
                <w:color w:val="000000"/>
                <w:sz w:val="22"/>
                <w:szCs w:val="22"/>
              </w:rPr>
              <w:t>FLQ (</w:t>
            </w:r>
            <w:r w:rsidRPr="00D66853">
              <w:rPr>
                <w:i/>
                <w:sz w:val="22"/>
                <w:szCs w:val="22"/>
              </w:rPr>
              <w:t>δ</w:t>
            </w:r>
            <w:r>
              <w:rPr>
                <w:sz w:val="22"/>
                <w:szCs w:val="22"/>
              </w:rPr>
              <w:t xml:space="preserve"> = 0.325)</w:t>
            </w:r>
          </w:p>
        </w:tc>
        <w:tc>
          <w:tcPr>
            <w:tcW w:w="1275"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bCs/>
                <w:sz w:val="22"/>
                <w:szCs w:val="22"/>
              </w:rPr>
              <w:t>8.424</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sz w:val="22"/>
                <w:szCs w:val="22"/>
              </w:rPr>
              <w:sym w:font="Symbol" w:char="F02D"/>
            </w:r>
            <w:r>
              <w:rPr>
                <w:sz w:val="22"/>
                <w:szCs w:val="22"/>
              </w:rPr>
              <w:t>2.297</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sz w:val="22"/>
                <w:szCs w:val="22"/>
              </w:rPr>
              <w:sym w:font="Symbol" w:char="F02D"/>
            </w:r>
            <w:r>
              <w:rPr>
                <w:sz w:val="22"/>
                <w:szCs w:val="22"/>
              </w:rPr>
              <w:t>0.642</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310"/>
              </w:tabs>
              <w:adjustRightInd w:val="0"/>
              <w:spacing w:before="60" w:after="60"/>
              <w:ind w:left="-28" w:right="-108" w:firstLine="0"/>
              <w:jc w:val="left"/>
              <w:textAlignment w:val="baseline"/>
              <w:rPr>
                <w:bCs/>
                <w:sz w:val="22"/>
                <w:szCs w:val="22"/>
              </w:rPr>
            </w:pPr>
            <w:r>
              <w:rPr>
                <w:bCs/>
                <w:sz w:val="22"/>
                <w:szCs w:val="22"/>
              </w:rPr>
              <w:t>0.552</w:t>
            </w:r>
          </w:p>
        </w:tc>
        <w:tc>
          <w:tcPr>
            <w:tcW w:w="1081"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310"/>
              </w:tabs>
              <w:adjustRightInd w:val="0"/>
              <w:spacing w:before="60" w:after="60"/>
              <w:ind w:left="-28" w:right="-108" w:firstLine="0"/>
              <w:jc w:val="left"/>
              <w:textAlignment w:val="baseline"/>
              <w:rPr>
                <w:bCs/>
                <w:sz w:val="22"/>
                <w:szCs w:val="22"/>
              </w:rPr>
            </w:pPr>
            <w:r>
              <w:rPr>
                <w:bCs/>
                <w:sz w:val="22"/>
                <w:szCs w:val="22"/>
              </w:rPr>
              <w:t>10.538</w:t>
            </w:r>
          </w:p>
        </w:tc>
      </w:tr>
      <w:tr w:rsidR="00BC496A" w:rsidTr="007372A1">
        <w:trPr>
          <w:jc w:val="center"/>
        </w:trPr>
        <w:tc>
          <w:tcPr>
            <w:tcW w:w="2239"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Pr>
                <w:color w:val="000000"/>
                <w:sz w:val="22"/>
                <w:szCs w:val="22"/>
              </w:rPr>
              <w:t>FLQ (</w:t>
            </w:r>
            <w:r w:rsidRPr="00D66853">
              <w:rPr>
                <w:i/>
                <w:sz w:val="22"/>
                <w:szCs w:val="22"/>
              </w:rPr>
              <w:t>δ</w:t>
            </w:r>
            <w:r>
              <w:rPr>
                <w:sz w:val="22"/>
                <w:szCs w:val="22"/>
              </w:rPr>
              <w:t xml:space="preserve"> = 0.35)</w:t>
            </w:r>
          </w:p>
        </w:tc>
        <w:tc>
          <w:tcPr>
            <w:tcW w:w="1275"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bCs/>
                <w:sz w:val="22"/>
                <w:szCs w:val="22"/>
              </w:rPr>
              <w:t>8.164</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sz w:val="22"/>
                <w:szCs w:val="22"/>
              </w:rPr>
              <w:sym w:font="Symbol" w:char="F02D"/>
            </w:r>
            <w:r>
              <w:rPr>
                <w:sz w:val="22"/>
                <w:szCs w:val="22"/>
              </w:rPr>
              <w:t>1.190</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sz w:val="22"/>
                <w:szCs w:val="22"/>
              </w:rPr>
              <w:sym w:font="Symbol" w:char="F02D"/>
            </w:r>
            <w:r>
              <w:rPr>
                <w:sz w:val="22"/>
                <w:szCs w:val="22"/>
              </w:rPr>
              <w:t>1.710</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310"/>
              </w:tabs>
              <w:adjustRightInd w:val="0"/>
              <w:spacing w:before="60" w:after="60"/>
              <w:ind w:left="-26" w:right="-108" w:firstLine="0"/>
              <w:jc w:val="left"/>
              <w:textAlignment w:val="baseline"/>
              <w:rPr>
                <w:bCs/>
                <w:sz w:val="22"/>
                <w:szCs w:val="22"/>
              </w:rPr>
            </w:pPr>
            <w:r>
              <w:rPr>
                <w:bCs/>
                <w:sz w:val="22"/>
                <w:szCs w:val="22"/>
              </w:rPr>
              <w:t>0.461</w:t>
            </w:r>
          </w:p>
        </w:tc>
        <w:tc>
          <w:tcPr>
            <w:tcW w:w="1081"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310"/>
              </w:tabs>
              <w:adjustRightInd w:val="0"/>
              <w:spacing w:before="60" w:after="60"/>
              <w:ind w:left="-26" w:right="-108" w:firstLine="0"/>
              <w:jc w:val="left"/>
              <w:textAlignment w:val="baseline"/>
              <w:rPr>
                <w:bCs/>
                <w:sz w:val="22"/>
                <w:szCs w:val="22"/>
              </w:rPr>
            </w:pPr>
            <w:r>
              <w:rPr>
                <w:bCs/>
                <w:sz w:val="22"/>
                <w:szCs w:val="22"/>
              </w:rPr>
              <w:t>10.322</w:t>
            </w:r>
          </w:p>
        </w:tc>
      </w:tr>
      <w:tr w:rsidR="00BC496A" w:rsidTr="007372A1">
        <w:trPr>
          <w:jc w:val="center"/>
        </w:trPr>
        <w:tc>
          <w:tcPr>
            <w:tcW w:w="2239" w:type="dxa"/>
            <w:tcBorders>
              <w:top w:val="single" w:sz="4" w:space="0" w:color="auto"/>
              <w:left w:val="double" w:sz="4" w:space="0" w:color="auto"/>
              <w:bottom w:val="single" w:sz="4" w:space="0" w:color="auto"/>
              <w:right w:val="single" w:sz="4" w:space="0" w:color="auto"/>
            </w:tcBorders>
            <w:vAlign w:val="bottom"/>
          </w:tcPr>
          <w:p w:rsidR="00BC496A" w:rsidRDefault="00BC496A" w:rsidP="007372A1">
            <w:pPr>
              <w:spacing w:before="60" w:after="60"/>
              <w:ind w:left="28" w:firstLine="0"/>
              <w:jc w:val="left"/>
              <w:rPr>
                <w:color w:val="000000"/>
                <w:sz w:val="22"/>
                <w:szCs w:val="22"/>
              </w:rPr>
            </w:pPr>
            <w:r>
              <w:rPr>
                <w:color w:val="000000"/>
                <w:sz w:val="22"/>
                <w:szCs w:val="22"/>
              </w:rPr>
              <w:t>FLQ (</w:t>
            </w:r>
            <w:r w:rsidRPr="00D66853">
              <w:rPr>
                <w:i/>
                <w:sz w:val="22"/>
                <w:szCs w:val="22"/>
              </w:rPr>
              <w:t>δ</w:t>
            </w:r>
            <w:r>
              <w:rPr>
                <w:sz w:val="22"/>
                <w:szCs w:val="22"/>
              </w:rPr>
              <w:t xml:space="preserve"> = 0.375)</w:t>
            </w:r>
          </w:p>
        </w:tc>
        <w:tc>
          <w:tcPr>
            <w:tcW w:w="1275"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bCs/>
                <w:sz w:val="22"/>
                <w:szCs w:val="22"/>
              </w:rPr>
              <w:t>8.022</w:t>
            </w:r>
          </w:p>
        </w:tc>
        <w:tc>
          <w:tcPr>
            <w:tcW w:w="1276" w:type="dxa"/>
            <w:tcBorders>
              <w:top w:val="single" w:sz="4" w:space="0" w:color="auto"/>
              <w:left w:val="single" w:sz="4" w:space="0" w:color="auto"/>
              <w:bottom w:val="single" w:sz="4" w:space="0" w:color="auto"/>
              <w:right w:val="single" w:sz="4" w:space="0" w:color="auto"/>
            </w:tcBorders>
          </w:tcPr>
          <w:p w:rsidR="00BC496A" w:rsidRPr="00540FD9" w:rsidRDefault="00BC496A" w:rsidP="007372A1">
            <w:pPr>
              <w:widowControl w:val="0"/>
              <w:tabs>
                <w:tab w:val="decimal" w:pos="452"/>
              </w:tabs>
              <w:adjustRightInd w:val="0"/>
              <w:spacing w:before="60" w:after="60"/>
              <w:ind w:left="-26" w:right="-108" w:firstLine="0"/>
              <w:jc w:val="left"/>
              <w:textAlignment w:val="baseline"/>
              <w:rPr>
                <w:b/>
                <w:bCs/>
                <w:sz w:val="22"/>
                <w:szCs w:val="22"/>
              </w:rPr>
            </w:pPr>
            <w:r w:rsidRPr="00540FD9">
              <w:rPr>
                <w:b/>
                <w:sz w:val="22"/>
                <w:szCs w:val="22"/>
              </w:rPr>
              <w:sym w:font="Symbol" w:char="F02D"/>
            </w:r>
            <w:r w:rsidRPr="00540FD9">
              <w:rPr>
                <w:b/>
                <w:sz w:val="22"/>
                <w:szCs w:val="22"/>
              </w:rPr>
              <w:t>0.143</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sz w:val="22"/>
                <w:szCs w:val="22"/>
              </w:rPr>
              <w:sym w:font="Symbol" w:char="F02D"/>
            </w:r>
            <w:r>
              <w:rPr>
                <w:sz w:val="22"/>
                <w:szCs w:val="22"/>
              </w:rPr>
              <w:t>2.699</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Pr="009C1F32" w:rsidRDefault="00BC496A" w:rsidP="007372A1">
            <w:pPr>
              <w:widowControl w:val="0"/>
              <w:tabs>
                <w:tab w:val="decimal" w:pos="310"/>
              </w:tabs>
              <w:adjustRightInd w:val="0"/>
              <w:spacing w:before="60" w:after="60"/>
              <w:ind w:left="-26" w:right="-108" w:firstLine="0"/>
              <w:jc w:val="left"/>
              <w:textAlignment w:val="baseline"/>
              <w:rPr>
                <w:b/>
                <w:bCs/>
                <w:sz w:val="22"/>
                <w:szCs w:val="22"/>
              </w:rPr>
            </w:pPr>
            <w:r w:rsidRPr="009C1F32">
              <w:rPr>
                <w:b/>
                <w:bCs/>
                <w:sz w:val="22"/>
                <w:szCs w:val="22"/>
              </w:rPr>
              <w:t>0.428</w:t>
            </w:r>
          </w:p>
        </w:tc>
        <w:tc>
          <w:tcPr>
            <w:tcW w:w="1081" w:type="dxa"/>
            <w:tcBorders>
              <w:top w:val="single" w:sz="4" w:space="0" w:color="auto"/>
              <w:left w:val="single" w:sz="4" w:space="0" w:color="auto"/>
              <w:bottom w:val="single" w:sz="4" w:space="0" w:color="auto"/>
              <w:right w:val="double" w:sz="4" w:space="0" w:color="auto"/>
            </w:tcBorders>
          </w:tcPr>
          <w:p w:rsidR="00BC496A" w:rsidRPr="00540FD9" w:rsidRDefault="00BC496A" w:rsidP="007372A1">
            <w:pPr>
              <w:widowControl w:val="0"/>
              <w:tabs>
                <w:tab w:val="decimal" w:pos="310"/>
              </w:tabs>
              <w:adjustRightInd w:val="0"/>
              <w:spacing w:before="60" w:after="60"/>
              <w:ind w:left="-26" w:right="-108" w:firstLine="0"/>
              <w:jc w:val="left"/>
              <w:textAlignment w:val="baseline"/>
              <w:rPr>
                <w:b/>
                <w:bCs/>
                <w:sz w:val="22"/>
                <w:szCs w:val="22"/>
              </w:rPr>
            </w:pPr>
            <w:r w:rsidRPr="00540FD9">
              <w:rPr>
                <w:b/>
                <w:bCs/>
                <w:sz w:val="22"/>
                <w:szCs w:val="22"/>
              </w:rPr>
              <w:t>10.237</w:t>
            </w:r>
          </w:p>
        </w:tc>
      </w:tr>
      <w:tr w:rsidR="00BC496A" w:rsidTr="007372A1">
        <w:trPr>
          <w:jc w:val="center"/>
        </w:trPr>
        <w:tc>
          <w:tcPr>
            <w:tcW w:w="2239" w:type="dxa"/>
            <w:tcBorders>
              <w:top w:val="single" w:sz="4" w:space="0" w:color="auto"/>
              <w:left w:val="double" w:sz="4" w:space="0" w:color="auto"/>
              <w:bottom w:val="single" w:sz="4" w:space="0" w:color="auto"/>
              <w:right w:val="single" w:sz="4" w:space="0" w:color="auto"/>
            </w:tcBorders>
          </w:tcPr>
          <w:p w:rsidR="00BC496A" w:rsidRPr="00DB14E1" w:rsidRDefault="00BC496A" w:rsidP="007372A1">
            <w:pPr>
              <w:pStyle w:val="Normaali1"/>
              <w:spacing w:before="60" w:after="60" w:line="240" w:lineRule="auto"/>
              <w:ind w:right="-84" w:firstLine="6"/>
              <w:jc w:val="left"/>
              <w:rPr>
                <w:rFonts w:ascii="Times New Roman" w:hAnsi="Times New Roman"/>
                <w:sz w:val="22"/>
                <w:szCs w:val="22"/>
              </w:rPr>
            </w:pPr>
            <w:r>
              <w:rPr>
                <w:color w:val="000000"/>
                <w:sz w:val="22"/>
                <w:szCs w:val="22"/>
              </w:rPr>
              <w:t>FLQ (</w:t>
            </w:r>
            <w:r w:rsidRPr="00D66853">
              <w:rPr>
                <w:rFonts w:ascii="Times New Roman" w:hAnsi="Times New Roman"/>
                <w:i/>
                <w:sz w:val="22"/>
                <w:szCs w:val="22"/>
              </w:rPr>
              <w:t>δ</w:t>
            </w:r>
            <w:r>
              <w:rPr>
                <w:sz w:val="22"/>
                <w:szCs w:val="22"/>
              </w:rPr>
              <w:t xml:space="preserve"> = 0.4)</w:t>
            </w:r>
          </w:p>
        </w:tc>
        <w:tc>
          <w:tcPr>
            <w:tcW w:w="1275" w:type="dxa"/>
            <w:tcBorders>
              <w:top w:val="single" w:sz="4" w:space="0" w:color="auto"/>
              <w:left w:val="single" w:sz="4" w:space="0" w:color="auto"/>
              <w:bottom w:val="single" w:sz="4" w:space="0" w:color="auto"/>
              <w:right w:val="single" w:sz="4" w:space="0" w:color="auto"/>
            </w:tcBorders>
          </w:tcPr>
          <w:p w:rsidR="00BC496A" w:rsidRPr="00540FD9" w:rsidRDefault="00BC496A" w:rsidP="007372A1">
            <w:pPr>
              <w:widowControl w:val="0"/>
              <w:tabs>
                <w:tab w:val="decimal" w:pos="452"/>
              </w:tabs>
              <w:adjustRightInd w:val="0"/>
              <w:spacing w:before="60" w:after="60"/>
              <w:ind w:left="-26" w:right="-108" w:firstLine="0"/>
              <w:jc w:val="left"/>
              <w:textAlignment w:val="baseline"/>
              <w:rPr>
                <w:b/>
                <w:bCs/>
                <w:sz w:val="22"/>
                <w:szCs w:val="22"/>
              </w:rPr>
            </w:pPr>
            <w:r w:rsidRPr="00540FD9">
              <w:rPr>
                <w:b/>
                <w:bCs/>
                <w:sz w:val="22"/>
                <w:szCs w:val="22"/>
              </w:rPr>
              <w:t>7.984</w:t>
            </w:r>
          </w:p>
        </w:tc>
        <w:tc>
          <w:tcPr>
            <w:tcW w:w="1276" w:type="dxa"/>
            <w:tcBorders>
              <w:top w:val="single" w:sz="4" w:space="0" w:color="auto"/>
              <w:left w:val="single" w:sz="4" w:space="0" w:color="auto"/>
              <w:bottom w:val="single" w:sz="4" w:space="0" w:color="auto"/>
              <w:right w:val="single" w:sz="4" w:space="0" w:color="auto"/>
            </w:tcBorders>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bCs/>
                <w:sz w:val="22"/>
                <w:szCs w:val="22"/>
              </w:rPr>
              <w:t>0.848</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sz w:val="22"/>
                <w:szCs w:val="22"/>
              </w:rPr>
              <w:sym w:font="Symbol" w:char="F02D"/>
            </w:r>
            <w:r>
              <w:rPr>
                <w:sz w:val="22"/>
                <w:szCs w:val="22"/>
              </w:rPr>
              <w:t>3.615</w:t>
            </w:r>
          </w:p>
        </w:tc>
        <w:tc>
          <w:tcPr>
            <w:tcW w:w="1134"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310"/>
              </w:tabs>
              <w:adjustRightInd w:val="0"/>
              <w:spacing w:before="60" w:after="60"/>
              <w:ind w:left="-26" w:right="-108" w:firstLine="0"/>
              <w:jc w:val="left"/>
              <w:textAlignment w:val="baseline"/>
              <w:rPr>
                <w:bCs/>
                <w:sz w:val="22"/>
                <w:szCs w:val="22"/>
              </w:rPr>
            </w:pPr>
            <w:r>
              <w:rPr>
                <w:bCs/>
                <w:sz w:val="22"/>
                <w:szCs w:val="22"/>
              </w:rPr>
              <w:t>0.435</w:t>
            </w:r>
          </w:p>
        </w:tc>
        <w:tc>
          <w:tcPr>
            <w:tcW w:w="1081" w:type="dxa"/>
            <w:tcBorders>
              <w:top w:val="single" w:sz="4" w:space="0" w:color="auto"/>
              <w:left w:val="single" w:sz="4" w:space="0" w:color="auto"/>
              <w:bottom w:val="single" w:sz="4" w:space="0" w:color="auto"/>
              <w:right w:val="double" w:sz="4" w:space="0" w:color="auto"/>
            </w:tcBorders>
          </w:tcPr>
          <w:p w:rsidR="00BC496A" w:rsidRDefault="00BC496A" w:rsidP="007372A1">
            <w:pPr>
              <w:widowControl w:val="0"/>
              <w:tabs>
                <w:tab w:val="decimal" w:pos="310"/>
              </w:tabs>
              <w:adjustRightInd w:val="0"/>
              <w:spacing w:before="60" w:after="60"/>
              <w:ind w:left="-26" w:right="-108" w:firstLine="0"/>
              <w:jc w:val="left"/>
              <w:textAlignment w:val="baseline"/>
              <w:rPr>
                <w:bCs/>
                <w:sz w:val="22"/>
                <w:szCs w:val="22"/>
              </w:rPr>
            </w:pPr>
            <w:r>
              <w:rPr>
                <w:bCs/>
                <w:sz w:val="22"/>
                <w:szCs w:val="22"/>
              </w:rPr>
              <w:t>10.256</w:t>
            </w:r>
          </w:p>
        </w:tc>
      </w:tr>
      <w:tr w:rsidR="00BC496A" w:rsidTr="007372A1">
        <w:trPr>
          <w:jc w:val="center"/>
        </w:trPr>
        <w:tc>
          <w:tcPr>
            <w:tcW w:w="2239" w:type="dxa"/>
            <w:tcBorders>
              <w:top w:val="single" w:sz="4" w:space="0" w:color="auto"/>
              <w:left w:val="double" w:sz="4" w:space="0" w:color="auto"/>
              <w:bottom w:val="double" w:sz="4" w:space="0" w:color="auto"/>
              <w:right w:val="single" w:sz="4" w:space="0" w:color="auto"/>
            </w:tcBorders>
          </w:tcPr>
          <w:p w:rsidR="00BC496A" w:rsidRDefault="00BC496A" w:rsidP="007372A1">
            <w:pPr>
              <w:pStyle w:val="Normaali1"/>
              <w:spacing w:before="60" w:after="60" w:line="240" w:lineRule="auto"/>
              <w:ind w:right="-84" w:firstLine="6"/>
              <w:jc w:val="left"/>
              <w:rPr>
                <w:color w:val="000000"/>
                <w:sz w:val="22"/>
                <w:szCs w:val="22"/>
              </w:rPr>
            </w:pPr>
            <w:r>
              <w:rPr>
                <w:color w:val="000000"/>
                <w:sz w:val="22"/>
                <w:szCs w:val="22"/>
              </w:rPr>
              <w:t>FLQ (</w:t>
            </w:r>
            <w:r w:rsidRPr="00D66853">
              <w:rPr>
                <w:i/>
                <w:sz w:val="22"/>
                <w:szCs w:val="22"/>
              </w:rPr>
              <w:t>δ</w:t>
            </w:r>
            <w:r>
              <w:rPr>
                <w:sz w:val="22"/>
                <w:szCs w:val="22"/>
              </w:rPr>
              <w:t xml:space="preserve"> = 0.425)</w:t>
            </w:r>
          </w:p>
        </w:tc>
        <w:tc>
          <w:tcPr>
            <w:tcW w:w="1275" w:type="dxa"/>
            <w:tcBorders>
              <w:top w:val="single" w:sz="4" w:space="0" w:color="auto"/>
              <w:left w:val="single" w:sz="4" w:space="0" w:color="auto"/>
              <w:bottom w:val="double" w:sz="4" w:space="0" w:color="auto"/>
              <w:right w:val="single" w:sz="4" w:space="0" w:color="auto"/>
            </w:tcBorders>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bCs/>
                <w:sz w:val="22"/>
                <w:szCs w:val="22"/>
              </w:rPr>
              <w:t>8.038</w:t>
            </w:r>
          </w:p>
        </w:tc>
        <w:tc>
          <w:tcPr>
            <w:tcW w:w="1276" w:type="dxa"/>
            <w:tcBorders>
              <w:top w:val="single" w:sz="4" w:space="0" w:color="auto"/>
              <w:left w:val="single" w:sz="4" w:space="0" w:color="auto"/>
              <w:bottom w:val="double" w:sz="4" w:space="0" w:color="auto"/>
              <w:right w:val="single" w:sz="4" w:space="0" w:color="auto"/>
            </w:tcBorders>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bCs/>
                <w:sz w:val="22"/>
                <w:szCs w:val="22"/>
              </w:rPr>
              <w:t>1.788</w:t>
            </w:r>
          </w:p>
        </w:tc>
        <w:tc>
          <w:tcPr>
            <w:tcW w:w="1276"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decimal" w:pos="452"/>
              </w:tabs>
              <w:adjustRightInd w:val="0"/>
              <w:spacing w:before="60" w:after="60"/>
              <w:ind w:left="-26" w:right="-108" w:firstLine="0"/>
              <w:jc w:val="left"/>
              <w:textAlignment w:val="baseline"/>
              <w:rPr>
                <w:bCs/>
                <w:sz w:val="22"/>
                <w:szCs w:val="22"/>
              </w:rPr>
            </w:pPr>
            <w:r>
              <w:rPr>
                <w:sz w:val="22"/>
                <w:szCs w:val="22"/>
              </w:rPr>
              <w:sym w:font="Symbol" w:char="F02D"/>
            </w:r>
            <w:r>
              <w:rPr>
                <w:sz w:val="22"/>
                <w:szCs w:val="22"/>
              </w:rPr>
              <w:t>4.471</w:t>
            </w:r>
          </w:p>
        </w:tc>
        <w:tc>
          <w:tcPr>
            <w:tcW w:w="1134"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decimal" w:pos="310"/>
              </w:tabs>
              <w:adjustRightInd w:val="0"/>
              <w:spacing w:before="60" w:after="60"/>
              <w:ind w:left="-26" w:right="-108" w:firstLine="0"/>
              <w:jc w:val="left"/>
              <w:textAlignment w:val="baseline"/>
              <w:rPr>
                <w:bCs/>
                <w:sz w:val="22"/>
                <w:szCs w:val="22"/>
              </w:rPr>
            </w:pPr>
            <w:r>
              <w:rPr>
                <w:bCs/>
                <w:sz w:val="22"/>
                <w:szCs w:val="22"/>
              </w:rPr>
              <w:t>0.483</w:t>
            </w:r>
          </w:p>
        </w:tc>
        <w:tc>
          <w:tcPr>
            <w:tcW w:w="1081" w:type="dxa"/>
            <w:tcBorders>
              <w:top w:val="single" w:sz="4" w:space="0" w:color="auto"/>
              <w:left w:val="single" w:sz="4" w:space="0" w:color="auto"/>
              <w:bottom w:val="double" w:sz="4" w:space="0" w:color="auto"/>
              <w:right w:val="double" w:sz="4" w:space="0" w:color="auto"/>
            </w:tcBorders>
            <w:vAlign w:val="bottom"/>
          </w:tcPr>
          <w:p w:rsidR="00BC496A" w:rsidRDefault="00BC496A" w:rsidP="007372A1">
            <w:pPr>
              <w:widowControl w:val="0"/>
              <w:tabs>
                <w:tab w:val="decimal" w:pos="310"/>
              </w:tabs>
              <w:adjustRightInd w:val="0"/>
              <w:spacing w:before="60" w:after="60"/>
              <w:ind w:left="-26" w:right="-108" w:firstLine="0"/>
              <w:jc w:val="left"/>
              <w:textAlignment w:val="baseline"/>
              <w:rPr>
                <w:bCs/>
                <w:sz w:val="22"/>
                <w:szCs w:val="22"/>
              </w:rPr>
            </w:pPr>
            <w:r>
              <w:rPr>
                <w:bCs/>
                <w:sz w:val="22"/>
                <w:szCs w:val="22"/>
              </w:rPr>
              <w:t>10.370</w:t>
            </w:r>
          </w:p>
        </w:tc>
      </w:tr>
    </w:tbl>
    <w:p w:rsidR="00BC496A" w:rsidRDefault="00BC496A" w:rsidP="00BC496A">
      <w:pPr>
        <w:spacing w:before="120" w:after="0"/>
        <w:ind w:left="567" w:right="522" w:hanging="141"/>
        <w:rPr>
          <w:sz w:val="22"/>
          <w:szCs w:val="22"/>
          <w:lang w:val="en-US"/>
        </w:rPr>
      </w:pPr>
      <w:r w:rsidRPr="00600ED0">
        <w:rPr>
          <w:i/>
          <w:sz w:val="22"/>
          <w:szCs w:val="22"/>
          <w:lang w:val="en-US"/>
        </w:rPr>
        <w:t xml:space="preserve">Source: </w:t>
      </w:r>
      <w:r w:rsidRPr="00600ED0">
        <w:rPr>
          <w:sz w:val="22"/>
          <w:szCs w:val="22"/>
          <w:lang w:val="en-US"/>
        </w:rPr>
        <w:t>Authors’ own calculations</w:t>
      </w:r>
      <w:r>
        <w:rPr>
          <w:sz w:val="22"/>
          <w:szCs w:val="22"/>
          <w:lang w:val="en-US"/>
        </w:rPr>
        <w:t xml:space="preserve"> based on the unweighted mean of results for 16 regions</w:t>
      </w:r>
    </w:p>
    <w:p w:rsidR="00BC496A" w:rsidRDefault="00BC496A" w:rsidP="00BC496A">
      <w:pPr>
        <w:pStyle w:val="Normaali1"/>
        <w:spacing w:line="240" w:lineRule="auto"/>
        <w:ind w:left="-40"/>
        <w:rPr>
          <w:rFonts w:ascii="Times New Roman" w:hAnsi="Times New Roman"/>
          <w:sz w:val="22"/>
          <w:szCs w:val="22"/>
        </w:rPr>
      </w:pPr>
    </w:p>
    <w:p w:rsidR="00BC496A" w:rsidRPr="00FB0119" w:rsidRDefault="00BC496A" w:rsidP="00BC496A">
      <w:pPr>
        <w:pStyle w:val="Normaali1"/>
        <w:tabs>
          <w:tab w:val="left" w:pos="567"/>
        </w:tabs>
        <w:spacing w:line="240" w:lineRule="auto"/>
        <w:ind w:left="-40"/>
        <w:rPr>
          <w:rFonts w:ascii="Times New Roman" w:hAnsi="Times New Roman"/>
          <w:sz w:val="22"/>
          <w:szCs w:val="22"/>
        </w:rPr>
      </w:pPr>
    </w:p>
    <w:p w:rsidR="00BC496A" w:rsidRDefault="00BC496A" w:rsidP="00BC496A">
      <w:pPr>
        <w:ind w:left="1134" w:right="1229" w:hanging="425"/>
        <w:jc w:val="left"/>
        <w:rPr>
          <w:b/>
          <w:color w:val="000000"/>
          <w:szCs w:val="26"/>
        </w:rPr>
      </w:pPr>
    </w:p>
    <w:p w:rsidR="00BC496A" w:rsidRDefault="00BC496A" w:rsidP="00BC496A">
      <w:pPr>
        <w:spacing w:after="0"/>
        <w:ind w:firstLine="0"/>
        <w:jc w:val="left"/>
        <w:rPr>
          <w:b/>
          <w:color w:val="000000"/>
          <w:szCs w:val="26"/>
        </w:rPr>
      </w:pPr>
      <w:r>
        <w:rPr>
          <w:b/>
          <w:color w:val="000000"/>
          <w:szCs w:val="26"/>
        </w:rPr>
        <w:br w:type="page"/>
      </w:r>
    </w:p>
    <w:p w:rsidR="00BC496A" w:rsidRPr="00A2695D" w:rsidRDefault="00BC496A" w:rsidP="00BC496A">
      <w:pPr>
        <w:ind w:left="709" w:right="687" w:firstLine="0"/>
        <w:jc w:val="left"/>
        <w:rPr>
          <w:color w:val="000000"/>
        </w:rPr>
      </w:pPr>
      <w:r>
        <w:rPr>
          <w:b/>
          <w:color w:val="000000"/>
          <w:szCs w:val="26"/>
        </w:rPr>
        <w:t>Table 13</w:t>
      </w:r>
      <w:r>
        <w:rPr>
          <w:color w:val="000000"/>
          <w:szCs w:val="26"/>
        </w:rPr>
        <w:t xml:space="preserve">  Alternative regression models to estimate </w:t>
      </w:r>
      <w:r w:rsidRPr="00D70838">
        <w:rPr>
          <w:i/>
        </w:rPr>
        <w:t>δ</w:t>
      </w:r>
      <w:r>
        <w:t xml:space="preserve"> using data for 16 South Korean regions in 2005</w:t>
      </w:r>
    </w:p>
    <w:tbl>
      <w:tblPr>
        <w:tblW w:w="7890" w:type="dxa"/>
        <w:jc w:val="center"/>
        <w:tblInd w:w="-18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26"/>
        <w:gridCol w:w="1276"/>
        <w:gridCol w:w="1417"/>
        <w:gridCol w:w="1418"/>
        <w:gridCol w:w="1453"/>
      </w:tblGrid>
      <w:tr w:rsidR="00BC496A" w:rsidTr="007372A1">
        <w:trPr>
          <w:trHeight w:val="207"/>
          <w:jc w:val="center"/>
        </w:trPr>
        <w:tc>
          <w:tcPr>
            <w:tcW w:w="2326" w:type="dxa"/>
            <w:tcBorders>
              <w:top w:val="double" w:sz="4" w:space="0" w:color="auto"/>
              <w:left w:val="double" w:sz="4" w:space="0" w:color="auto"/>
              <w:bottom w:val="single" w:sz="4" w:space="0" w:color="auto"/>
              <w:right w:val="single" w:sz="4" w:space="0" w:color="auto"/>
            </w:tcBorders>
          </w:tcPr>
          <w:p w:rsidR="00BC496A" w:rsidRDefault="00BC496A" w:rsidP="007372A1">
            <w:pPr>
              <w:pStyle w:val="Normaali1"/>
              <w:spacing w:before="60" w:after="60" w:line="240" w:lineRule="auto"/>
              <w:ind w:left="-4" w:right="125"/>
              <w:rPr>
                <w:rFonts w:ascii="Times New Roman" w:hAnsi="Times New Roman"/>
                <w:sz w:val="22"/>
                <w:szCs w:val="22"/>
              </w:rPr>
            </w:pPr>
          </w:p>
        </w:tc>
        <w:tc>
          <w:tcPr>
            <w:tcW w:w="1276"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after="60" w:line="240" w:lineRule="auto"/>
              <w:ind w:left="-37" w:right="26"/>
              <w:jc w:val="center"/>
              <w:rPr>
                <w:rFonts w:ascii="Times New Roman" w:hAnsi="Times New Roman"/>
                <w:sz w:val="22"/>
                <w:szCs w:val="22"/>
              </w:rPr>
            </w:pPr>
            <w:r>
              <w:rPr>
                <w:rFonts w:ascii="Times New Roman" w:hAnsi="Times New Roman"/>
                <w:sz w:val="22"/>
                <w:szCs w:val="22"/>
              </w:rPr>
              <w:t>(1)</w:t>
            </w:r>
          </w:p>
        </w:tc>
        <w:tc>
          <w:tcPr>
            <w:tcW w:w="1417"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after="60" w:line="240" w:lineRule="auto"/>
              <w:ind w:left="-37" w:right="-116"/>
              <w:jc w:val="center"/>
              <w:rPr>
                <w:rFonts w:ascii="Times New Roman" w:hAnsi="Times New Roman"/>
                <w:sz w:val="22"/>
                <w:szCs w:val="22"/>
              </w:rPr>
            </w:pPr>
            <w:r>
              <w:rPr>
                <w:rFonts w:ascii="Times New Roman" w:hAnsi="Times New Roman"/>
                <w:sz w:val="22"/>
                <w:szCs w:val="22"/>
              </w:rPr>
              <w:t>(2)</w:t>
            </w:r>
          </w:p>
        </w:tc>
        <w:tc>
          <w:tcPr>
            <w:tcW w:w="1418"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after="60" w:line="240" w:lineRule="auto"/>
              <w:ind w:left="-37" w:right="-21"/>
              <w:jc w:val="center"/>
              <w:rPr>
                <w:rFonts w:ascii="Times New Roman" w:hAnsi="Times New Roman"/>
                <w:sz w:val="22"/>
                <w:szCs w:val="22"/>
              </w:rPr>
            </w:pPr>
            <w:r>
              <w:rPr>
                <w:rFonts w:ascii="Times New Roman" w:hAnsi="Times New Roman"/>
                <w:sz w:val="22"/>
                <w:szCs w:val="22"/>
              </w:rPr>
              <w:t>(3)</w:t>
            </w:r>
          </w:p>
        </w:tc>
        <w:tc>
          <w:tcPr>
            <w:tcW w:w="1453" w:type="dxa"/>
            <w:tcBorders>
              <w:top w:val="double" w:sz="4" w:space="0" w:color="auto"/>
              <w:left w:val="single" w:sz="4" w:space="0" w:color="auto"/>
              <w:bottom w:val="single" w:sz="4" w:space="0" w:color="auto"/>
              <w:right w:val="double" w:sz="4" w:space="0" w:color="auto"/>
            </w:tcBorders>
          </w:tcPr>
          <w:p w:rsidR="00BC496A" w:rsidRDefault="00BC496A" w:rsidP="007372A1">
            <w:pPr>
              <w:pStyle w:val="Normaali1"/>
              <w:spacing w:before="60" w:after="60" w:line="240" w:lineRule="auto"/>
              <w:ind w:left="-37" w:right="-21"/>
              <w:jc w:val="center"/>
              <w:rPr>
                <w:rFonts w:ascii="Times New Roman" w:hAnsi="Times New Roman"/>
                <w:sz w:val="22"/>
                <w:szCs w:val="22"/>
              </w:rPr>
            </w:pPr>
            <w:r>
              <w:rPr>
                <w:rFonts w:ascii="Times New Roman" w:hAnsi="Times New Roman"/>
                <w:sz w:val="22"/>
                <w:szCs w:val="22"/>
              </w:rPr>
              <w:t>(4)</w:t>
            </w:r>
          </w:p>
        </w:tc>
      </w:tr>
      <w:tr w:rsidR="00BC496A" w:rsidTr="007372A1">
        <w:trPr>
          <w:trHeight w:val="375"/>
          <w:jc w:val="center"/>
        </w:trPr>
        <w:tc>
          <w:tcPr>
            <w:tcW w:w="2326"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tabs>
                <w:tab w:val="left" w:pos="360"/>
                <w:tab w:val="left" w:pos="972"/>
              </w:tabs>
              <w:spacing w:before="60" w:after="60" w:line="240" w:lineRule="auto"/>
              <w:ind w:right="284"/>
              <w:jc w:val="left"/>
              <w:rPr>
                <w:rFonts w:ascii="Times New Roman" w:hAnsi="Times New Roman"/>
                <w:sz w:val="22"/>
                <w:szCs w:val="22"/>
              </w:rPr>
            </w:pPr>
            <w:r>
              <w:rPr>
                <w:rFonts w:ascii="Times New Roman" w:hAnsi="Times New Roman"/>
                <w:sz w:val="22"/>
                <w:szCs w:val="22"/>
              </w:rPr>
              <w:t>Intercept</w:t>
            </w:r>
          </w:p>
        </w:tc>
        <w:tc>
          <w:tcPr>
            <w:tcW w:w="1276"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1.290</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9.85)</w:t>
            </w:r>
          </w:p>
        </w:tc>
        <w:tc>
          <w:tcPr>
            <w:tcW w:w="1417"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1.143</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9.26)</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1.227</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19.1)</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1.226</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20.1)</w:t>
            </w:r>
          </w:p>
        </w:tc>
      </w:tr>
      <w:tr w:rsidR="00BC496A" w:rsidTr="007372A1">
        <w:trPr>
          <w:jc w:val="center"/>
        </w:trPr>
        <w:tc>
          <w:tcPr>
            <w:tcW w:w="2326"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tabs>
                <w:tab w:val="left" w:pos="360"/>
                <w:tab w:val="left" w:pos="972"/>
              </w:tabs>
              <w:spacing w:before="60" w:after="60" w:line="240" w:lineRule="auto"/>
              <w:ind w:left="403" w:right="288" w:hanging="397"/>
              <w:jc w:val="left"/>
              <w:rPr>
                <w:rFonts w:ascii="Times New Roman" w:hAnsi="Times New Roman"/>
                <w:sz w:val="22"/>
                <w:szCs w:val="22"/>
              </w:rPr>
            </w:pPr>
            <w:r w:rsidRPr="004C4483">
              <w:rPr>
                <w:color w:val="000000"/>
              </w:rPr>
              <w:t>ln</w:t>
            </w:r>
            <w:r>
              <w:rPr>
                <w:i/>
                <w:color w:val="000000"/>
                <w:vertAlign w:val="subscript"/>
              </w:rPr>
              <w:t xml:space="preserve"> </w:t>
            </w:r>
            <w:r w:rsidRPr="006D7679">
              <w:rPr>
                <w:i/>
                <w:color w:val="000000"/>
              </w:rPr>
              <w:t>R</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0.261</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(3.65)</w:t>
            </w:r>
          </w:p>
        </w:tc>
        <w:tc>
          <w:tcPr>
            <w:tcW w:w="141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0.112</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(1.34)</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0.169</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(3.87)</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0.168</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(4.80)</w:t>
            </w:r>
          </w:p>
        </w:tc>
      </w:tr>
      <w:tr w:rsidR="00BC496A" w:rsidTr="007372A1">
        <w:trPr>
          <w:jc w:val="center"/>
        </w:trPr>
        <w:tc>
          <w:tcPr>
            <w:tcW w:w="2326" w:type="dxa"/>
            <w:tcBorders>
              <w:top w:val="single" w:sz="4" w:space="0" w:color="auto"/>
              <w:left w:val="double" w:sz="4" w:space="0" w:color="auto"/>
              <w:bottom w:val="single" w:sz="4" w:space="0" w:color="auto"/>
              <w:right w:val="single" w:sz="4" w:space="0" w:color="auto"/>
            </w:tcBorders>
          </w:tcPr>
          <w:p w:rsidR="00BC496A" w:rsidRDefault="00BC496A" w:rsidP="007372A1">
            <w:pPr>
              <w:pStyle w:val="Normaali1"/>
              <w:tabs>
                <w:tab w:val="left" w:pos="360"/>
                <w:tab w:val="left" w:pos="972"/>
              </w:tabs>
              <w:spacing w:before="60" w:after="60" w:line="240" w:lineRule="auto"/>
              <w:ind w:left="403" w:right="288" w:hanging="397"/>
              <w:jc w:val="left"/>
              <w:rPr>
                <w:rFonts w:ascii="Times New Roman" w:hAnsi="Times New Roman"/>
                <w:sz w:val="22"/>
                <w:szCs w:val="22"/>
              </w:rPr>
            </w:pPr>
            <w:r w:rsidRPr="004C4483">
              <w:rPr>
                <w:color w:val="000000"/>
              </w:rPr>
              <w:t>ln</w:t>
            </w:r>
            <w:r>
              <w:rPr>
                <w:i/>
                <w:color w:val="000000"/>
                <w:vertAlign w:val="subscript"/>
              </w:rPr>
              <w:t xml:space="preserve"> </w:t>
            </w:r>
            <w:r>
              <w:rPr>
                <w:i/>
                <w:color w:val="000000"/>
              </w:rPr>
              <w:t>P</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0.462</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(1.37)</w:t>
            </w:r>
          </w:p>
        </w:tc>
        <w:tc>
          <w:tcPr>
            <w:tcW w:w="141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0.361</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(1.28)</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0.325</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(2.26)</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0.325</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(2.37)</w:t>
            </w:r>
          </w:p>
        </w:tc>
      </w:tr>
      <w:tr w:rsidR="00BC496A" w:rsidTr="007372A1">
        <w:trPr>
          <w:jc w:val="center"/>
        </w:trPr>
        <w:tc>
          <w:tcPr>
            <w:tcW w:w="2326" w:type="dxa"/>
            <w:tcBorders>
              <w:top w:val="single" w:sz="4" w:space="0" w:color="auto"/>
              <w:left w:val="double" w:sz="4" w:space="0" w:color="auto"/>
              <w:bottom w:val="single" w:sz="4" w:space="0" w:color="auto"/>
              <w:right w:val="single" w:sz="4" w:space="0" w:color="auto"/>
            </w:tcBorders>
          </w:tcPr>
          <w:p w:rsidR="00BC496A" w:rsidRDefault="00BC496A" w:rsidP="007372A1">
            <w:pPr>
              <w:pStyle w:val="Normaali1"/>
              <w:tabs>
                <w:tab w:val="left" w:pos="360"/>
                <w:tab w:val="left" w:pos="972"/>
              </w:tabs>
              <w:spacing w:before="60" w:after="60" w:line="240" w:lineRule="auto"/>
              <w:ind w:left="403" w:right="288" w:hanging="397"/>
              <w:jc w:val="left"/>
              <w:rPr>
                <w:rFonts w:ascii="Times New Roman" w:hAnsi="Times New Roman"/>
                <w:sz w:val="22"/>
                <w:szCs w:val="22"/>
              </w:rPr>
            </w:pPr>
            <w:r w:rsidRPr="004C4483">
              <w:rPr>
                <w:color w:val="000000"/>
              </w:rPr>
              <w:t>ln</w:t>
            </w:r>
            <w:r>
              <w:rPr>
                <w:i/>
                <w:color w:val="000000"/>
                <w:vertAlign w:val="subscript"/>
              </w:rPr>
              <w:t xml:space="preserve"> </w:t>
            </w:r>
            <w:r>
              <w:rPr>
                <w:i/>
                <w:color w:val="000000"/>
              </w:rPr>
              <w:t>I</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2.231</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1.41)</w:t>
            </w:r>
          </w:p>
        </w:tc>
        <w:tc>
          <w:tcPr>
            <w:tcW w:w="141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1.097</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(0.59)</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sym w:font="Symbol" w:char="F02D"/>
            </w:r>
            <w:r>
              <w:rPr>
                <w:sz w:val="22"/>
                <w:szCs w:val="22"/>
              </w:rPr>
              <w:t>0.024</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w:t>
            </w:r>
            <w:r>
              <w:rPr>
                <w:sz w:val="22"/>
                <w:szCs w:val="22"/>
              </w:rPr>
              <w:sym w:font="Symbol" w:char="F02D"/>
            </w:r>
            <w:r>
              <w:rPr>
                <w:sz w:val="22"/>
                <w:szCs w:val="22"/>
              </w:rPr>
              <w:t>0.02)</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p>
        </w:tc>
      </w:tr>
      <w:tr w:rsidR="00BC496A" w:rsidTr="007372A1">
        <w:trPr>
          <w:jc w:val="center"/>
        </w:trPr>
        <w:tc>
          <w:tcPr>
            <w:tcW w:w="2326" w:type="dxa"/>
            <w:tcBorders>
              <w:top w:val="single" w:sz="4" w:space="0" w:color="auto"/>
              <w:left w:val="double" w:sz="4" w:space="0" w:color="auto"/>
              <w:bottom w:val="single" w:sz="4" w:space="0" w:color="auto"/>
              <w:right w:val="single" w:sz="4" w:space="0" w:color="auto"/>
            </w:tcBorders>
          </w:tcPr>
          <w:p w:rsidR="00BC496A" w:rsidRPr="006D7679" w:rsidRDefault="00BC496A" w:rsidP="007372A1">
            <w:pPr>
              <w:pStyle w:val="Normaali1"/>
              <w:tabs>
                <w:tab w:val="left" w:pos="360"/>
                <w:tab w:val="left" w:pos="972"/>
              </w:tabs>
              <w:spacing w:before="60" w:after="60" w:line="240" w:lineRule="auto"/>
              <w:ind w:left="403" w:right="288" w:hanging="397"/>
              <w:jc w:val="left"/>
              <w:rPr>
                <w:rFonts w:ascii="Times New Roman" w:hAnsi="Times New Roman"/>
                <w:sz w:val="22"/>
                <w:szCs w:val="22"/>
              </w:rPr>
            </w:pPr>
            <w:r w:rsidRPr="004C4483">
              <w:rPr>
                <w:color w:val="000000"/>
              </w:rPr>
              <w:t>ln</w:t>
            </w:r>
            <w:r>
              <w:rPr>
                <w:i/>
                <w:color w:val="000000"/>
                <w:vertAlign w:val="subscript"/>
              </w:rPr>
              <w:t xml:space="preserve"> </w:t>
            </w:r>
            <w:r>
              <w:rPr>
                <w:i/>
                <w:color w:val="000000"/>
              </w:rPr>
              <w:t>F</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bCs/>
                <w:sz w:val="22"/>
                <w:szCs w:val="22"/>
              </w:rPr>
              <w:t>-</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0.351</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(2.52)</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0.316</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(4.45)</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0.317</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(6.64)</w:t>
            </w:r>
          </w:p>
        </w:tc>
      </w:tr>
      <w:tr w:rsidR="00BC496A" w:rsidTr="007372A1">
        <w:trPr>
          <w:jc w:val="center"/>
        </w:trPr>
        <w:tc>
          <w:tcPr>
            <w:tcW w:w="2326" w:type="dxa"/>
            <w:tcBorders>
              <w:top w:val="single" w:sz="4" w:space="0" w:color="auto"/>
              <w:left w:val="double" w:sz="4" w:space="0" w:color="auto"/>
              <w:bottom w:val="single" w:sz="4" w:space="0" w:color="auto"/>
              <w:right w:val="single" w:sz="4" w:space="0" w:color="auto"/>
            </w:tcBorders>
          </w:tcPr>
          <w:p w:rsidR="00BC496A" w:rsidRPr="00274212" w:rsidRDefault="00BC496A" w:rsidP="007372A1">
            <w:pPr>
              <w:pStyle w:val="Normaali1"/>
              <w:tabs>
                <w:tab w:val="left" w:pos="360"/>
                <w:tab w:val="left" w:pos="972"/>
              </w:tabs>
              <w:spacing w:before="60" w:after="60" w:line="240" w:lineRule="auto"/>
              <w:ind w:left="403" w:right="288" w:hanging="397"/>
              <w:jc w:val="left"/>
              <w:rPr>
                <w:rFonts w:ascii="Times New Roman" w:hAnsi="Times New Roman"/>
                <w:sz w:val="22"/>
                <w:szCs w:val="22"/>
              </w:rPr>
            </w:pPr>
            <w:r>
              <w:rPr>
                <w:i/>
              </w:rPr>
              <w:t>B</w:t>
            </w:r>
            <w:r>
              <w:rPr>
                <w:i/>
                <w:vertAlign w:val="subscript"/>
              </w:rPr>
              <w:t>15</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60" w:after="60"/>
              <w:ind w:left="-28" w:right="-108" w:firstLine="0"/>
              <w:jc w:val="left"/>
              <w:textAlignment w:val="baseline"/>
              <w:rPr>
                <w:bCs/>
                <w:sz w:val="22"/>
                <w:szCs w:val="22"/>
              </w:rPr>
            </w:pPr>
            <w:r>
              <w:rPr>
                <w:bCs/>
                <w:sz w:val="22"/>
                <w:szCs w:val="22"/>
              </w:rPr>
              <w:t>-</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p>
        </w:tc>
        <w:tc>
          <w:tcPr>
            <w:tcW w:w="141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60" w:after="60"/>
              <w:ind w:right="-108" w:firstLine="0"/>
              <w:jc w:val="left"/>
              <w:textAlignment w:val="baseline"/>
              <w:rPr>
                <w:bCs/>
                <w:sz w:val="22"/>
                <w:szCs w:val="22"/>
              </w:rPr>
            </w:pPr>
            <w:r>
              <w:rPr>
                <w:bCs/>
                <w:sz w:val="22"/>
                <w:szCs w:val="22"/>
              </w:rPr>
              <w:t>-</w:t>
            </w:r>
          </w:p>
          <w:p w:rsidR="00BC496A" w:rsidRDefault="00BC496A" w:rsidP="007372A1">
            <w:pPr>
              <w:widowControl w:val="0"/>
              <w:tabs>
                <w:tab w:val="decimal" w:pos="615"/>
              </w:tabs>
              <w:adjustRightInd w:val="0"/>
              <w:spacing w:after="60"/>
              <w:ind w:left="-28" w:right="-108" w:firstLine="0"/>
              <w:jc w:val="left"/>
              <w:textAlignment w:val="baseline"/>
              <w:rPr>
                <w:bCs/>
                <w:sz w:val="22"/>
                <w:szCs w:val="22"/>
              </w:rPr>
            </w:pP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0.577</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(5.72)</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pStyle w:val="Normaali1"/>
              <w:tabs>
                <w:tab w:val="decimal" w:pos="452"/>
              </w:tabs>
              <w:spacing w:before="60" w:line="240" w:lineRule="auto"/>
              <w:ind w:right="28" w:hanging="6"/>
              <w:jc w:val="left"/>
              <w:rPr>
                <w:sz w:val="22"/>
                <w:szCs w:val="22"/>
              </w:rPr>
            </w:pPr>
            <w:r>
              <w:rPr>
                <w:sz w:val="22"/>
                <w:szCs w:val="22"/>
              </w:rPr>
              <w:t>0.577</w:t>
            </w:r>
          </w:p>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t>(6.12)</w:t>
            </w:r>
          </w:p>
        </w:tc>
      </w:tr>
      <w:tr w:rsidR="00BC496A" w:rsidTr="007372A1">
        <w:trPr>
          <w:jc w:val="center"/>
        </w:trPr>
        <w:tc>
          <w:tcPr>
            <w:tcW w:w="2326" w:type="dxa"/>
            <w:tcBorders>
              <w:top w:val="single" w:sz="4" w:space="0" w:color="auto"/>
              <w:left w:val="double" w:sz="4" w:space="0" w:color="auto"/>
              <w:bottom w:val="single" w:sz="4" w:space="0" w:color="auto"/>
              <w:right w:val="single" w:sz="4" w:space="0" w:color="auto"/>
            </w:tcBorders>
            <w:hideMark/>
          </w:tcPr>
          <w:p w:rsidR="00BC496A" w:rsidRDefault="00BC496A" w:rsidP="007372A1">
            <w:pPr>
              <w:pStyle w:val="Normaali1"/>
              <w:spacing w:before="60" w:after="60" w:line="240" w:lineRule="auto"/>
              <w:ind w:right="-84" w:firstLine="6"/>
              <w:jc w:val="left"/>
              <w:rPr>
                <w:rFonts w:ascii="Times New Roman" w:hAnsi="Times New Roman"/>
                <w:i/>
                <w:sz w:val="22"/>
                <w:szCs w:val="22"/>
                <w:vertAlign w:val="superscript"/>
              </w:rPr>
            </w:pPr>
            <w:r>
              <w:rPr>
                <w:rFonts w:ascii="Times New Roman" w:hAnsi="Times New Roman"/>
                <w:i/>
                <w:sz w:val="22"/>
                <w:szCs w:val="22"/>
              </w:rPr>
              <w:t>R</w:t>
            </w:r>
            <w:r>
              <w:rPr>
                <w:rFonts w:ascii="Times New Roman" w:hAnsi="Times New Roman"/>
                <w:i/>
                <w:sz w:val="22"/>
                <w:szCs w:val="22"/>
                <w:vertAlign w:val="superscript"/>
              </w:rPr>
              <w:t>2</w:t>
            </w:r>
          </w:p>
        </w:tc>
        <w:tc>
          <w:tcPr>
            <w:tcW w:w="1276"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0.555</w:t>
            </w:r>
          </w:p>
        </w:tc>
        <w:tc>
          <w:tcPr>
            <w:tcW w:w="1417" w:type="dxa"/>
            <w:tcBorders>
              <w:top w:val="single" w:sz="4" w:space="0" w:color="auto"/>
              <w:left w:val="single" w:sz="4" w:space="0" w:color="auto"/>
              <w:bottom w:val="single" w:sz="4" w:space="0" w:color="auto"/>
              <w:right w:val="single" w:sz="4" w:space="0" w:color="auto"/>
            </w:tcBorders>
            <w:vAlign w:val="bottom"/>
            <w:hideMark/>
          </w:tcPr>
          <w:p w:rsidR="00BC496A" w:rsidRDefault="00BC496A" w:rsidP="007372A1">
            <w:pPr>
              <w:widowControl w:val="0"/>
              <w:tabs>
                <w:tab w:val="decimal" w:pos="452"/>
              </w:tabs>
              <w:adjustRightInd w:val="0"/>
              <w:spacing w:before="36" w:after="36"/>
              <w:ind w:left="-26" w:firstLine="0"/>
              <w:jc w:val="left"/>
              <w:textAlignment w:val="baseline"/>
              <w:rPr>
                <w:bCs/>
                <w:sz w:val="22"/>
                <w:szCs w:val="22"/>
              </w:rPr>
            </w:pPr>
            <w:r>
              <w:rPr>
                <w:bCs/>
                <w:sz w:val="22"/>
                <w:szCs w:val="22"/>
              </w:rPr>
              <w:t>0.718</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0.934</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0.934</w:t>
            </w:r>
          </w:p>
        </w:tc>
      </w:tr>
      <w:tr w:rsidR="00BC496A" w:rsidTr="007372A1">
        <w:trPr>
          <w:jc w:val="center"/>
        </w:trPr>
        <w:tc>
          <w:tcPr>
            <w:tcW w:w="2326" w:type="dxa"/>
            <w:tcBorders>
              <w:top w:val="single" w:sz="4" w:space="0" w:color="auto"/>
              <w:left w:val="double" w:sz="4" w:space="0" w:color="auto"/>
              <w:bottom w:val="single" w:sz="4" w:space="0" w:color="auto"/>
              <w:right w:val="single" w:sz="4" w:space="0" w:color="auto"/>
            </w:tcBorders>
          </w:tcPr>
          <w:p w:rsidR="00BC496A" w:rsidRPr="00790913" w:rsidRDefault="00BC496A" w:rsidP="007372A1">
            <w:pPr>
              <w:pStyle w:val="Normaali1"/>
              <w:spacing w:before="60" w:after="60" w:line="240" w:lineRule="auto"/>
              <w:ind w:right="-84" w:firstLine="6"/>
              <w:jc w:val="left"/>
              <w:rPr>
                <w:rFonts w:ascii="Times New Roman" w:hAnsi="Times New Roman"/>
                <w:sz w:val="22"/>
                <w:szCs w:val="22"/>
              </w:rPr>
            </w:pPr>
            <w:r>
              <w:rPr>
                <w:rFonts w:ascii="Times New Roman" w:hAnsi="Times New Roman"/>
                <w:sz w:val="22"/>
                <w:szCs w:val="22"/>
              </w:rPr>
              <w:t>AIC</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sz w:val="22"/>
                <w:szCs w:val="22"/>
              </w:rPr>
              <w:sym w:font="Symbol" w:char="F02D"/>
            </w:r>
            <w:r>
              <w:rPr>
                <w:sz w:val="22"/>
                <w:szCs w:val="22"/>
              </w:rPr>
              <w:t>0.058</w:t>
            </w:r>
          </w:p>
        </w:tc>
        <w:tc>
          <w:tcPr>
            <w:tcW w:w="141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sz w:val="22"/>
                <w:szCs w:val="22"/>
              </w:rPr>
              <w:t>2.595</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sz w:val="22"/>
                <w:szCs w:val="22"/>
              </w:rPr>
              <w:t>13.208</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sz w:val="22"/>
                <w:szCs w:val="22"/>
              </w:rPr>
              <w:t>14.207</w:t>
            </w:r>
          </w:p>
        </w:tc>
      </w:tr>
      <w:tr w:rsidR="00BC496A" w:rsidTr="007372A1">
        <w:trPr>
          <w:jc w:val="center"/>
        </w:trPr>
        <w:tc>
          <w:tcPr>
            <w:tcW w:w="2326" w:type="dxa"/>
            <w:tcBorders>
              <w:top w:val="single" w:sz="4" w:space="0" w:color="auto"/>
              <w:left w:val="double" w:sz="4" w:space="0" w:color="auto"/>
              <w:bottom w:val="single" w:sz="4" w:space="0" w:color="auto"/>
              <w:right w:val="single" w:sz="4" w:space="0" w:color="auto"/>
            </w:tcBorders>
          </w:tcPr>
          <w:p w:rsidR="00BC496A" w:rsidRPr="00AA5BA4" w:rsidRDefault="00BC496A" w:rsidP="007372A1">
            <w:pPr>
              <w:pStyle w:val="Normaali1"/>
              <w:spacing w:before="60" w:after="60" w:line="240" w:lineRule="auto"/>
              <w:ind w:right="-84" w:firstLine="6"/>
              <w:jc w:val="left"/>
              <w:rPr>
                <w:rFonts w:ascii="Times New Roman" w:hAnsi="Times New Roman"/>
                <w:sz w:val="22"/>
                <w:szCs w:val="22"/>
              </w:rPr>
            </w:pPr>
            <w:r w:rsidRPr="00AA5BA4">
              <w:rPr>
                <w:rFonts w:ascii="Times New Roman" w:hAnsi="Times New Roman"/>
                <w:i/>
                <w:sz w:val="22"/>
                <w:szCs w:val="22"/>
              </w:rPr>
              <w:t>χ</w:t>
            </w:r>
            <w:r w:rsidRPr="00AA5BA4">
              <w:rPr>
                <w:rFonts w:ascii="Times New Roman" w:hAnsi="Times New Roman"/>
                <w:i/>
                <w:sz w:val="22"/>
                <w:szCs w:val="22"/>
                <w:vertAlign w:val="superscript"/>
              </w:rPr>
              <w:t>2</w:t>
            </w:r>
            <w:r>
              <w:rPr>
                <w:rFonts w:ascii="Times New Roman" w:hAnsi="Times New Roman"/>
                <w:sz w:val="22"/>
                <w:szCs w:val="22"/>
              </w:rPr>
              <w:t xml:space="preserve"> (1) functional form</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1.419</w:t>
            </w:r>
          </w:p>
        </w:tc>
        <w:tc>
          <w:tcPr>
            <w:tcW w:w="141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0.867</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0.256</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0.123</w:t>
            </w:r>
          </w:p>
        </w:tc>
      </w:tr>
      <w:tr w:rsidR="00BC496A" w:rsidTr="007372A1">
        <w:trPr>
          <w:jc w:val="center"/>
        </w:trPr>
        <w:tc>
          <w:tcPr>
            <w:tcW w:w="2326" w:type="dxa"/>
            <w:tcBorders>
              <w:top w:val="single" w:sz="4" w:space="0" w:color="auto"/>
              <w:left w:val="double" w:sz="4" w:space="0" w:color="auto"/>
              <w:bottom w:val="single" w:sz="4" w:space="0" w:color="auto"/>
              <w:right w:val="single" w:sz="4" w:space="0" w:color="auto"/>
            </w:tcBorders>
          </w:tcPr>
          <w:p w:rsidR="00BC496A" w:rsidRDefault="00BC496A" w:rsidP="007372A1">
            <w:pPr>
              <w:pStyle w:val="Normaali1"/>
              <w:spacing w:before="60" w:after="60" w:line="240" w:lineRule="auto"/>
              <w:ind w:right="-84" w:firstLine="6"/>
              <w:jc w:val="left"/>
              <w:rPr>
                <w:rFonts w:ascii="Times New Roman" w:hAnsi="Times New Roman"/>
                <w:sz w:val="22"/>
                <w:szCs w:val="22"/>
              </w:rPr>
            </w:pPr>
            <w:r w:rsidRPr="00AA5BA4">
              <w:rPr>
                <w:rFonts w:ascii="Times New Roman" w:hAnsi="Times New Roman"/>
                <w:i/>
                <w:sz w:val="22"/>
                <w:szCs w:val="22"/>
              </w:rPr>
              <w:t>χ</w:t>
            </w:r>
            <w:r w:rsidRPr="00AA5BA4">
              <w:rPr>
                <w:rFonts w:ascii="Times New Roman" w:hAnsi="Times New Roman"/>
                <w:i/>
                <w:sz w:val="22"/>
                <w:szCs w:val="22"/>
                <w:vertAlign w:val="superscript"/>
              </w:rPr>
              <w:t>2</w:t>
            </w:r>
            <w:r>
              <w:rPr>
                <w:rFonts w:ascii="Times New Roman" w:hAnsi="Times New Roman"/>
                <w:sz w:val="22"/>
                <w:szCs w:val="22"/>
              </w:rPr>
              <w:t xml:space="preserve"> (2) normality</w:t>
            </w:r>
          </w:p>
        </w:tc>
        <w:tc>
          <w:tcPr>
            <w:tcW w:w="1276"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4.013</w:t>
            </w:r>
          </w:p>
        </w:tc>
        <w:tc>
          <w:tcPr>
            <w:tcW w:w="141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19.257</w:t>
            </w:r>
          </w:p>
        </w:tc>
        <w:tc>
          <w:tcPr>
            <w:tcW w:w="1418"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0.002</w:t>
            </w:r>
          </w:p>
        </w:tc>
        <w:tc>
          <w:tcPr>
            <w:tcW w:w="1453"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0.002</w:t>
            </w:r>
          </w:p>
        </w:tc>
      </w:tr>
      <w:tr w:rsidR="00BC496A" w:rsidTr="007372A1">
        <w:trPr>
          <w:jc w:val="center"/>
        </w:trPr>
        <w:tc>
          <w:tcPr>
            <w:tcW w:w="2326" w:type="dxa"/>
            <w:tcBorders>
              <w:top w:val="single" w:sz="4" w:space="0" w:color="auto"/>
              <w:left w:val="double" w:sz="4" w:space="0" w:color="auto"/>
              <w:bottom w:val="double" w:sz="4" w:space="0" w:color="auto"/>
              <w:right w:val="single" w:sz="4" w:space="0" w:color="auto"/>
            </w:tcBorders>
          </w:tcPr>
          <w:p w:rsidR="00BC496A" w:rsidRPr="00790913" w:rsidRDefault="00BC496A" w:rsidP="007372A1">
            <w:pPr>
              <w:pStyle w:val="Normaali1"/>
              <w:spacing w:before="60" w:after="60" w:line="240" w:lineRule="auto"/>
              <w:ind w:right="-84" w:firstLine="6"/>
              <w:jc w:val="left"/>
              <w:rPr>
                <w:rFonts w:ascii="Times New Roman" w:hAnsi="Times New Roman"/>
                <w:sz w:val="22"/>
                <w:szCs w:val="22"/>
              </w:rPr>
            </w:pPr>
            <w:r w:rsidRPr="00AA5BA4">
              <w:rPr>
                <w:rFonts w:ascii="Times New Roman" w:hAnsi="Times New Roman"/>
                <w:i/>
                <w:sz w:val="22"/>
                <w:szCs w:val="22"/>
              </w:rPr>
              <w:t>χ</w:t>
            </w:r>
            <w:r w:rsidRPr="00AA5BA4">
              <w:rPr>
                <w:rFonts w:ascii="Times New Roman" w:hAnsi="Times New Roman"/>
                <w:i/>
                <w:sz w:val="22"/>
                <w:szCs w:val="22"/>
                <w:vertAlign w:val="superscript"/>
              </w:rPr>
              <w:t>2</w:t>
            </w:r>
            <w:r>
              <w:rPr>
                <w:rFonts w:ascii="Times New Roman" w:hAnsi="Times New Roman"/>
                <w:sz w:val="22"/>
                <w:szCs w:val="22"/>
              </w:rPr>
              <w:t xml:space="preserve"> (1) heteroscedasticity</w:t>
            </w:r>
          </w:p>
        </w:tc>
        <w:tc>
          <w:tcPr>
            <w:tcW w:w="1276"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2.796</w:t>
            </w:r>
          </w:p>
        </w:tc>
        <w:tc>
          <w:tcPr>
            <w:tcW w:w="1417"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0.530</w:t>
            </w:r>
          </w:p>
        </w:tc>
        <w:tc>
          <w:tcPr>
            <w:tcW w:w="1418"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0.006</w:t>
            </w:r>
          </w:p>
        </w:tc>
        <w:tc>
          <w:tcPr>
            <w:tcW w:w="1453" w:type="dxa"/>
            <w:tcBorders>
              <w:top w:val="single" w:sz="4" w:space="0" w:color="auto"/>
              <w:left w:val="single" w:sz="4" w:space="0" w:color="auto"/>
              <w:bottom w:val="doub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0.006</w:t>
            </w:r>
          </w:p>
        </w:tc>
      </w:tr>
    </w:tbl>
    <w:p w:rsidR="00BC496A" w:rsidRDefault="00BC496A" w:rsidP="00BC496A">
      <w:pPr>
        <w:tabs>
          <w:tab w:val="left" w:pos="709"/>
        </w:tabs>
        <w:spacing w:before="120"/>
        <w:ind w:firstLine="0"/>
        <w:jc w:val="left"/>
        <w:rPr>
          <w:sz w:val="22"/>
          <w:szCs w:val="22"/>
        </w:rPr>
      </w:pPr>
      <w:r>
        <w:rPr>
          <w:lang w:val="en-US"/>
        </w:rPr>
        <w:tab/>
      </w:r>
      <w:r>
        <w:rPr>
          <w:i/>
          <w:lang w:val="en-US"/>
        </w:rPr>
        <w:t>Source:</w:t>
      </w:r>
      <w:r>
        <w:rPr>
          <w:lang w:val="en-US"/>
        </w:rPr>
        <w:t xml:space="preserve"> </w:t>
      </w:r>
      <w:r w:rsidRPr="00600ED0">
        <w:rPr>
          <w:sz w:val="22"/>
          <w:szCs w:val="22"/>
          <w:lang w:val="en-US"/>
        </w:rPr>
        <w:t>Authors’ own calculations</w:t>
      </w:r>
    </w:p>
    <w:p w:rsidR="00BC496A" w:rsidRDefault="00BC496A" w:rsidP="00BC496A">
      <w:pPr>
        <w:spacing w:after="0"/>
        <w:ind w:left="709" w:right="545" w:firstLine="0"/>
        <w:jc w:val="left"/>
        <w:rPr>
          <w:b/>
          <w:color w:val="000000"/>
          <w:szCs w:val="26"/>
        </w:rPr>
      </w:pPr>
      <w:r>
        <w:rPr>
          <w:i/>
          <w:sz w:val="22"/>
          <w:szCs w:val="22"/>
        </w:rPr>
        <w:t>t</w:t>
      </w:r>
      <w:r>
        <w:rPr>
          <w:sz w:val="22"/>
          <w:szCs w:val="22"/>
        </w:rPr>
        <w:t xml:space="preserve"> statistics are in brackets.  AIC is Akaike’s information criterion.  The critical values of </w:t>
      </w:r>
      <w:r w:rsidRPr="00AA5BA4">
        <w:rPr>
          <w:i/>
          <w:sz w:val="22"/>
          <w:szCs w:val="22"/>
        </w:rPr>
        <w:t>χ</w:t>
      </w:r>
      <w:r w:rsidRPr="00AA5BA4">
        <w:rPr>
          <w:i/>
          <w:sz w:val="22"/>
          <w:szCs w:val="22"/>
          <w:vertAlign w:val="superscript"/>
        </w:rPr>
        <w:t>2</w:t>
      </w:r>
      <w:r>
        <w:rPr>
          <w:sz w:val="22"/>
          <w:szCs w:val="22"/>
        </w:rPr>
        <w:t xml:space="preserve"> (1) and </w:t>
      </w:r>
      <w:r w:rsidRPr="00AA5BA4">
        <w:rPr>
          <w:i/>
          <w:sz w:val="22"/>
          <w:szCs w:val="22"/>
        </w:rPr>
        <w:t>χ</w:t>
      </w:r>
      <w:r w:rsidRPr="00AA5BA4">
        <w:rPr>
          <w:i/>
          <w:sz w:val="22"/>
          <w:szCs w:val="22"/>
          <w:vertAlign w:val="superscript"/>
        </w:rPr>
        <w:t>2</w:t>
      </w:r>
      <w:r>
        <w:rPr>
          <w:sz w:val="22"/>
          <w:szCs w:val="22"/>
        </w:rPr>
        <w:t xml:space="preserve"> (2) at the 5% level are 3.841 and 5.991, respectively.</w:t>
      </w:r>
    </w:p>
    <w:p w:rsidR="00BC496A" w:rsidRDefault="00BC496A" w:rsidP="00BC496A">
      <w:pPr>
        <w:spacing w:after="0"/>
        <w:ind w:firstLine="0"/>
        <w:jc w:val="left"/>
        <w:rPr>
          <w:b/>
          <w:color w:val="000000"/>
          <w:szCs w:val="26"/>
        </w:rPr>
      </w:pPr>
    </w:p>
    <w:p w:rsidR="00BC496A" w:rsidRDefault="00BC496A" w:rsidP="00BC496A">
      <w:pPr>
        <w:spacing w:after="0"/>
        <w:ind w:firstLine="0"/>
        <w:jc w:val="left"/>
        <w:rPr>
          <w:b/>
          <w:sz w:val="22"/>
          <w:szCs w:val="22"/>
        </w:rPr>
      </w:pPr>
    </w:p>
    <w:p w:rsidR="00BC496A" w:rsidRDefault="00BC496A" w:rsidP="00BC496A">
      <w:pPr>
        <w:spacing w:after="0"/>
        <w:ind w:firstLine="0"/>
        <w:jc w:val="left"/>
        <w:rPr>
          <w:b/>
          <w:sz w:val="22"/>
          <w:szCs w:val="22"/>
        </w:rPr>
      </w:pPr>
      <w:r>
        <w:rPr>
          <w:b/>
          <w:sz w:val="22"/>
          <w:szCs w:val="22"/>
        </w:rPr>
        <w:br w:type="page"/>
      </w:r>
    </w:p>
    <w:p w:rsidR="00BC496A" w:rsidRPr="00A2695D" w:rsidRDefault="00BC496A" w:rsidP="00BC496A">
      <w:pPr>
        <w:ind w:left="1276" w:right="1112" w:firstLine="0"/>
        <w:jc w:val="left"/>
        <w:rPr>
          <w:color w:val="000000"/>
        </w:rPr>
      </w:pPr>
      <w:r>
        <w:rPr>
          <w:b/>
          <w:color w:val="000000"/>
          <w:szCs w:val="26"/>
        </w:rPr>
        <w:t>Table 14</w:t>
      </w:r>
      <w:r>
        <w:rPr>
          <w:color w:val="000000"/>
          <w:szCs w:val="26"/>
        </w:rPr>
        <w:t xml:space="preserve">  Alternative approaches to estimating </w:t>
      </w:r>
      <w:r w:rsidRPr="00D70838">
        <w:rPr>
          <w:i/>
        </w:rPr>
        <w:t>δ</w:t>
      </w:r>
      <w:r>
        <w:t xml:space="preserve"> for 16 South Korean regions in 2005</w:t>
      </w:r>
    </w:p>
    <w:tbl>
      <w:tblPr>
        <w:tblW w:w="6907" w:type="dxa"/>
        <w:jc w:val="center"/>
        <w:tblInd w:w="-18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402"/>
        <w:gridCol w:w="1387"/>
        <w:gridCol w:w="1559"/>
        <w:gridCol w:w="1559"/>
      </w:tblGrid>
      <w:tr w:rsidR="00BC496A" w:rsidTr="007372A1">
        <w:trPr>
          <w:trHeight w:val="207"/>
          <w:jc w:val="center"/>
        </w:trPr>
        <w:tc>
          <w:tcPr>
            <w:tcW w:w="2402" w:type="dxa"/>
            <w:tcBorders>
              <w:top w:val="double" w:sz="4" w:space="0" w:color="auto"/>
              <w:left w:val="double" w:sz="4" w:space="0" w:color="auto"/>
              <w:bottom w:val="single" w:sz="4" w:space="0" w:color="auto"/>
              <w:right w:val="single" w:sz="4" w:space="0" w:color="auto"/>
            </w:tcBorders>
          </w:tcPr>
          <w:p w:rsidR="00BC496A" w:rsidRDefault="00BC496A" w:rsidP="007372A1">
            <w:pPr>
              <w:pStyle w:val="Normaali1"/>
              <w:tabs>
                <w:tab w:val="center" w:pos="672"/>
              </w:tabs>
              <w:spacing w:before="60" w:after="60" w:line="240" w:lineRule="auto"/>
              <w:ind w:left="-37" w:right="-115"/>
              <w:jc w:val="center"/>
              <w:rPr>
                <w:rFonts w:ascii="Times New Roman" w:hAnsi="Times New Roman"/>
                <w:sz w:val="22"/>
                <w:szCs w:val="22"/>
              </w:rPr>
            </w:pPr>
          </w:p>
        </w:tc>
        <w:tc>
          <w:tcPr>
            <w:tcW w:w="1387"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tabs>
                <w:tab w:val="center" w:pos="735"/>
              </w:tabs>
              <w:spacing w:before="100" w:line="240" w:lineRule="auto"/>
              <w:ind w:left="-40" w:right="28"/>
              <w:jc w:val="center"/>
            </w:pPr>
            <w:r w:rsidRPr="009A6E5B">
              <w:rPr>
                <w:position w:val="-14"/>
              </w:rPr>
              <w:object w:dxaOrig="260" w:dyaOrig="360">
                <v:shape id="_x0000_i1057" type="#_x0000_t75" style="width:14.4pt;height:19.4pt" o:ole="">
                  <v:imagedata r:id="rId69" o:title=""/>
                </v:shape>
                <o:OLEObject Type="Embed" ProgID="Equation.3" ShapeID="_x0000_i1057" DrawAspect="Content" ObjectID="_1524667244" r:id="rId70"/>
              </w:object>
            </w:r>
          </w:p>
          <w:p w:rsidR="00BC496A" w:rsidRDefault="00BC496A" w:rsidP="007372A1">
            <w:pPr>
              <w:pStyle w:val="Normaali1"/>
              <w:tabs>
                <w:tab w:val="center" w:pos="735"/>
              </w:tabs>
              <w:spacing w:after="60" w:line="240" w:lineRule="exact"/>
              <w:ind w:left="-40" w:right="28"/>
              <w:jc w:val="center"/>
              <w:rPr>
                <w:rFonts w:ascii="Times New Roman" w:hAnsi="Times New Roman"/>
                <w:sz w:val="22"/>
                <w:szCs w:val="22"/>
              </w:rPr>
            </w:pPr>
            <w:r>
              <w:rPr>
                <w:rFonts w:ascii="Times New Roman" w:hAnsi="Times New Roman"/>
                <w:sz w:val="22"/>
                <w:szCs w:val="22"/>
              </w:rPr>
              <w:t>Minimum MAPE</w:t>
            </w:r>
          </w:p>
        </w:tc>
        <w:tc>
          <w:tcPr>
            <w:tcW w:w="1559" w:type="dxa"/>
            <w:tcBorders>
              <w:top w:val="double" w:sz="4" w:space="0" w:color="auto"/>
              <w:left w:val="single" w:sz="4" w:space="0" w:color="auto"/>
              <w:bottom w:val="single" w:sz="4" w:space="0" w:color="auto"/>
              <w:right w:val="single" w:sz="4" w:space="0" w:color="auto"/>
            </w:tcBorders>
          </w:tcPr>
          <w:p w:rsidR="00BC496A" w:rsidRDefault="00BC496A" w:rsidP="007372A1">
            <w:pPr>
              <w:pStyle w:val="Normaali1"/>
              <w:spacing w:before="60" w:line="240" w:lineRule="auto"/>
              <w:ind w:left="-40" w:right="28"/>
              <w:jc w:val="center"/>
            </w:pPr>
            <w:r w:rsidRPr="009A6E5B">
              <w:rPr>
                <w:position w:val="-14"/>
              </w:rPr>
              <w:object w:dxaOrig="260" w:dyaOrig="400">
                <v:shape id="_x0000_i1058" type="#_x0000_t75" style="width:14.4pt;height:20.05pt" o:ole="">
                  <v:imagedata r:id="rId71" o:title=""/>
                </v:shape>
                <o:OLEObject Type="Embed" ProgID="Equation.3" ShapeID="_x0000_i1058" DrawAspect="Content" ObjectID="_1524667245" r:id="rId72"/>
              </w:object>
            </w:r>
          </w:p>
          <w:p w:rsidR="00BC496A" w:rsidRDefault="00BC496A" w:rsidP="007372A1">
            <w:pPr>
              <w:pStyle w:val="Normaali1"/>
              <w:spacing w:after="60" w:line="240" w:lineRule="exact"/>
              <w:ind w:left="-40" w:right="28"/>
              <w:jc w:val="center"/>
              <w:rPr>
                <w:rFonts w:ascii="Times New Roman" w:hAnsi="Times New Roman"/>
                <w:sz w:val="22"/>
                <w:szCs w:val="22"/>
              </w:rPr>
            </w:pPr>
            <w:r>
              <w:t>Table 13, regression (4)</w:t>
            </w:r>
          </w:p>
        </w:tc>
        <w:tc>
          <w:tcPr>
            <w:tcW w:w="1559" w:type="dxa"/>
            <w:tcBorders>
              <w:top w:val="double" w:sz="4" w:space="0" w:color="auto"/>
              <w:left w:val="single" w:sz="4" w:space="0" w:color="auto"/>
              <w:bottom w:val="single" w:sz="4" w:space="0" w:color="auto"/>
              <w:right w:val="double" w:sz="4" w:space="0" w:color="auto"/>
            </w:tcBorders>
          </w:tcPr>
          <w:p w:rsidR="00BC496A" w:rsidRDefault="00BC496A" w:rsidP="007372A1">
            <w:pPr>
              <w:pStyle w:val="Normaali1"/>
              <w:spacing w:before="60" w:line="240" w:lineRule="auto"/>
              <w:ind w:left="-40" w:right="-23"/>
              <w:jc w:val="center"/>
            </w:pPr>
            <w:r w:rsidRPr="009A6E5B">
              <w:rPr>
                <w:position w:val="-14"/>
              </w:rPr>
              <w:object w:dxaOrig="260" w:dyaOrig="400">
                <v:shape id="_x0000_i1059" type="#_x0000_t75" style="width:14.4pt;height:20.05pt" o:ole="">
                  <v:imagedata r:id="rId73" o:title=""/>
                </v:shape>
                <o:OLEObject Type="Embed" ProgID="Equation.3" ShapeID="_x0000_i1059" DrawAspect="Content" ObjectID="_1524667246" r:id="rId74"/>
              </w:object>
            </w:r>
          </w:p>
          <w:p w:rsidR="00BC496A" w:rsidRDefault="00BC496A" w:rsidP="007372A1">
            <w:pPr>
              <w:pStyle w:val="Normaali1"/>
              <w:spacing w:after="60" w:line="240" w:lineRule="exact"/>
              <w:ind w:left="-40" w:right="-23"/>
              <w:jc w:val="center"/>
              <w:rPr>
                <w:rFonts w:ascii="Times New Roman" w:hAnsi="Times New Roman"/>
                <w:sz w:val="22"/>
                <w:szCs w:val="22"/>
              </w:rPr>
            </w:pPr>
            <w:r>
              <w:t>Bonfiglio’s method</w:t>
            </w:r>
          </w:p>
        </w:tc>
      </w:tr>
      <w:tr w:rsidR="00BC496A" w:rsidTr="007372A1">
        <w:trPr>
          <w:trHeight w:val="375"/>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Gyeonggi-do</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0.534</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0.481</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sym w:font="Symbol" w:char="F02D"/>
            </w:r>
            <w:r>
              <w:rPr>
                <w:sz w:val="22"/>
                <w:szCs w:val="22"/>
              </w:rPr>
              <w:t>0.156</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Seoul</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0.337</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0.336</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sz w:val="22"/>
                <w:szCs w:val="22"/>
              </w:rPr>
              <w:sym w:font="Symbol" w:char="F02D"/>
            </w:r>
            <w:r>
              <w:rPr>
                <w:sz w:val="22"/>
                <w:szCs w:val="22"/>
              </w:rPr>
              <w:t>0.147</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Gyeongbuk</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0.401</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0.469</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0.142</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Gyeongsangnam-do</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0.389</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0.433</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0.239</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Ulsan</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0.542</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0.543</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0.129</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Jeollanam-do</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0.441</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0.434</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after="60"/>
              <w:ind w:left="-28" w:right="-108" w:firstLine="0"/>
              <w:jc w:val="left"/>
              <w:textAlignment w:val="baseline"/>
              <w:rPr>
                <w:bCs/>
                <w:sz w:val="22"/>
                <w:szCs w:val="22"/>
              </w:rPr>
            </w:pPr>
            <w:r>
              <w:rPr>
                <w:bCs/>
                <w:sz w:val="22"/>
                <w:szCs w:val="22"/>
              </w:rPr>
              <w:t>0.059</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Chungcheongnam-do</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0.470</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0.472</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0.240</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Incheon</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0.438</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0.463</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0.297</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Busan</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0.344</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0.339</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0.344</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Chungcheongsbuk-do</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0.347</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0.360</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0.434</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Daegu</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0.297</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0.289</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0.444</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Jeollabuk-do</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0.370</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0.316</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0.454</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Gangwon-do</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0.212</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0.234</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0.423</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Gwangju</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0.340</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0.336</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0.474</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Daejeon</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0.497</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0.497</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0.528</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sidRPr="001505ED">
              <w:rPr>
                <w:color w:val="000000"/>
                <w:sz w:val="22"/>
                <w:szCs w:val="22"/>
              </w:rPr>
              <w:t>Jeju-do</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8" w:right="-108" w:firstLine="0"/>
              <w:jc w:val="left"/>
              <w:textAlignment w:val="baseline"/>
              <w:rPr>
                <w:bCs/>
                <w:sz w:val="22"/>
                <w:szCs w:val="22"/>
              </w:rPr>
            </w:pPr>
            <w:r>
              <w:rPr>
                <w:bCs/>
                <w:sz w:val="22"/>
                <w:szCs w:val="22"/>
              </w:rPr>
              <w:t>0.196</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0.191</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0.522</w:t>
            </w:r>
          </w:p>
        </w:tc>
      </w:tr>
      <w:tr w:rsidR="00BC496A" w:rsidTr="007372A1">
        <w:trPr>
          <w:jc w:val="center"/>
        </w:trPr>
        <w:tc>
          <w:tcPr>
            <w:tcW w:w="2402" w:type="dxa"/>
            <w:tcBorders>
              <w:top w:val="single" w:sz="4" w:space="0" w:color="auto"/>
              <w:left w:val="double" w:sz="4" w:space="0" w:color="auto"/>
              <w:bottom w:val="single" w:sz="4" w:space="0" w:color="auto"/>
              <w:right w:val="single" w:sz="4" w:space="0" w:color="auto"/>
            </w:tcBorders>
            <w:vAlign w:val="bottom"/>
          </w:tcPr>
          <w:p w:rsidR="00BC496A" w:rsidRPr="001505ED" w:rsidRDefault="00BC496A" w:rsidP="007372A1">
            <w:pPr>
              <w:spacing w:before="60" w:after="60"/>
              <w:ind w:left="28" w:firstLine="0"/>
              <w:jc w:val="left"/>
              <w:rPr>
                <w:color w:val="000000"/>
                <w:sz w:val="22"/>
                <w:szCs w:val="22"/>
              </w:rPr>
            </w:pPr>
            <w:r>
              <w:rPr>
                <w:color w:val="000000"/>
                <w:sz w:val="22"/>
                <w:szCs w:val="22"/>
              </w:rPr>
              <w:t>Mean</w:t>
            </w:r>
          </w:p>
        </w:tc>
        <w:tc>
          <w:tcPr>
            <w:tcW w:w="1387"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8" w:right="-108" w:firstLine="0"/>
              <w:jc w:val="left"/>
              <w:textAlignment w:val="baseline"/>
              <w:rPr>
                <w:bCs/>
                <w:sz w:val="22"/>
                <w:szCs w:val="22"/>
              </w:rPr>
            </w:pPr>
            <w:r>
              <w:rPr>
                <w:bCs/>
                <w:sz w:val="22"/>
                <w:szCs w:val="22"/>
              </w:rPr>
              <w:t>0.385</w:t>
            </w:r>
          </w:p>
        </w:tc>
        <w:tc>
          <w:tcPr>
            <w:tcW w:w="1559" w:type="dxa"/>
            <w:tcBorders>
              <w:top w:val="single" w:sz="4" w:space="0" w:color="auto"/>
              <w:left w:val="single" w:sz="4" w:space="0" w:color="auto"/>
              <w:bottom w:val="sing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0.387</w:t>
            </w:r>
          </w:p>
        </w:tc>
        <w:tc>
          <w:tcPr>
            <w:tcW w:w="1559" w:type="dxa"/>
            <w:tcBorders>
              <w:top w:val="single" w:sz="4" w:space="0" w:color="auto"/>
              <w:left w:val="single" w:sz="4" w:space="0" w:color="auto"/>
              <w:bottom w:val="sing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r>
              <w:rPr>
                <w:bCs/>
                <w:sz w:val="22"/>
                <w:szCs w:val="22"/>
              </w:rPr>
              <w:t>0.277</w:t>
            </w:r>
          </w:p>
        </w:tc>
      </w:tr>
      <w:tr w:rsidR="00BC496A" w:rsidTr="007372A1">
        <w:trPr>
          <w:jc w:val="center"/>
        </w:trPr>
        <w:tc>
          <w:tcPr>
            <w:tcW w:w="2402" w:type="dxa"/>
            <w:tcBorders>
              <w:top w:val="single" w:sz="4" w:space="0" w:color="auto"/>
              <w:left w:val="double" w:sz="4" w:space="0" w:color="auto"/>
              <w:bottom w:val="double" w:sz="4" w:space="0" w:color="auto"/>
              <w:right w:val="single" w:sz="4" w:space="0" w:color="auto"/>
            </w:tcBorders>
            <w:vAlign w:val="bottom"/>
          </w:tcPr>
          <w:p w:rsidR="00BC496A" w:rsidRDefault="00BC496A" w:rsidP="007372A1">
            <w:pPr>
              <w:spacing w:before="60" w:after="60"/>
              <w:ind w:left="28" w:firstLine="0"/>
              <w:jc w:val="left"/>
              <w:rPr>
                <w:color w:val="000000"/>
                <w:sz w:val="22"/>
                <w:szCs w:val="22"/>
              </w:rPr>
            </w:pPr>
            <w:r>
              <w:rPr>
                <w:color w:val="000000"/>
                <w:sz w:val="22"/>
                <w:szCs w:val="22"/>
              </w:rPr>
              <w:t>MAPE (multipliers)</w:t>
            </w:r>
          </w:p>
        </w:tc>
        <w:tc>
          <w:tcPr>
            <w:tcW w:w="1387" w:type="dxa"/>
            <w:tcBorders>
              <w:top w:val="single" w:sz="4" w:space="0" w:color="auto"/>
              <w:left w:val="single" w:sz="4" w:space="0" w:color="auto"/>
              <w:bottom w:val="double" w:sz="4" w:space="0" w:color="auto"/>
              <w:right w:val="single" w:sz="4" w:space="0" w:color="auto"/>
            </w:tcBorders>
            <w:vAlign w:val="bottom"/>
          </w:tcPr>
          <w:p w:rsidR="00BC496A" w:rsidRDefault="00BC496A" w:rsidP="007372A1">
            <w:pPr>
              <w:widowControl w:val="0"/>
              <w:tabs>
                <w:tab w:val="decimal" w:pos="452"/>
              </w:tabs>
              <w:adjustRightInd w:val="0"/>
              <w:spacing w:before="36" w:after="36"/>
              <w:ind w:left="-28" w:right="-108" w:firstLine="0"/>
              <w:jc w:val="left"/>
              <w:textAlignment w:val="baseline"/>
              <w:rPr>
                <w:bCs/>
                <w:sz w:val="22"/>
                <w:szCs w:val="22"/>
              </w:rPr>
            </w:pPr>
            <w:r>
              <w:rPr>
                <w:bCs/>
                <w:sz w:val="22"/>
                <w:szCs w:val="22"/>
              </w:rPr>
              <w:t>7.226</w:t>
            </w:r>
          </w:p>
        </w:tc>
        <w:tc>
          <w:tcPr>
            <w:tcW w:w="1559" w:type="dxa"/>
            <w:tcBorders>
              <w:top w:val="single" w:sz="4" w:space="0" w:color="auto"/>
              <w:left w:val="single" w:sz="4" w:space="0" w:color="auto"/>
              <w:bottom w:val="double" w:sz="4" w:space="0" w:color="auto"/>
              <w:right w:val="single" w:sz="4" w:space="0" w:color="auto"/>
            </w:tcBorders>
            <w:vAlign w:val="bottom"/>
          </w:tcPr>
          <w:p w:rsidR="00BC496A" w:rsidRPr="0012271F" w:rsidRDefault="00BC496A" w:rsidP="007372A1">
            <w:pPr>
              <w:widowControl w:val="0"/>
              <w:tabs>
                <w:tab w:val="decimal" w:pos="452"/>
              </w:tabs>
              <w:adjustRightInd w:val="0"/>
              <w:spacing w:before="36" w:after="36"/>
              <w:ind w:left="-26" w:right="-108" w:firstLine="0"/>
              <w:jc w:val="left"/>
              <w:textAlignment w:val="baseline"/>
              <w:rPr>
                <w:bCs/>
                <w:sz w:val="22"/>
                <w:szCs w:val="22"/>
              </w:rPr>
            </w:pPr>
            <w:r w:rsidRPr="0012271F">
              <w:rPr>
                <w:bCs/>
                <w:sz w:val="22"/>
                <w:szCs w:val="22"/>
              </w:rPr>
              <w:t>7.334</w:t>
            </w:r>
          </w:p>
        </w:tc>
        <w:tc>
          <w:tcPr>
            <w:tcW w:w="1559" w:type="dxa"/>
            <w:tcBorders>
              <w:top w:val="single" w:sz="4" w:space="0" w:color="auto"/>
              <w:left w:val="single" w:sz="4" w:space="0" w:color="auto"/>
              <w:bottom w:val="double" w:sz="4" w:space="0" w:color="auto"/>
              <w:right w:val="double" w:sz="4" w:space="0" w:color="auto"/>
            </w:tcBorders>
            <w:vAlign w:val="bottom"/>
          </w:tcPr>
          <w:p w:rsidR="00BC496A" w:rsidRDefault="00BC496A" w:rsidP="007372A1">
            <w:pPr>
              <w:widowControl w:val="0"/>
              <w:tabs>
                <w:tab w:val="decimal" w:pos="452"/>
              </w:tabs>
              <w:adjustRightInd w:val="0"/>
              <w:spacing w:before="36" w:after="36"/>
              <w:ind w:left="-26" w:right="-108" w:firstLine="0"/>
              <w:jc w:val="left"/>
              <w:textAlignment w:val="baseline"/>
              <w:rPr>
                <w:bCs/>
                <w:sz w:val="22"/>
                <w:szCs w:val="22"/>
              </w:rPr>
            </w:pPr>
          </w:p>
        </w:tc>
      </w:tr>
    </w:tbl>
    <w:p w:rsidR="00BC496A" w:rsidRDefault="00BC496A" w:rsidP="00BC496A">
      <w:pPr>
        <w:tabs>
          <w:tab w:val="left" w:pos="1134"/>
        </w:tabs>
        <w:spacing w:before="120" w:after="0"/>
        <w:ind w:firstLine="0"/>
        <w:jc w:val="left"/>
        <w:rPr>
          <w:sz w:val="22"/>
          <w:szCs w:val="22"/>
          <w:lang w:val="en-US"/>
        </w:rPr>
      </w:pPr>
      <w:r>
        <w:rPr>
          <w:lang w:val="en-US"/>
        </w:rPr>
        <w:tab/>
      </w:r>
      <w:r>
        <w:rPr>
          <w:i/>
          <w:lang w:val="en-US"/>
        </w:rPr>
        <w:t>Source:</w:t>
      </w:r>
      <w:r>
        <w:rPr>
          <w:lang w:val="en-US"/>
        </w:rPr>
        <w:t xml:space="preserve"> </w:t>
      </w:r>
      <w:r w:rsidRPr="00600ED0">
        <w:rPr>
          <w:sz w:val="22"/>
          <w:szCs w:val="22"/>
          <w:lang w:val="en-US"/>
        </w:rPr>
        <w:t>Authors’ own calculations</w:t>
      </w:r>
    </w:p>
    <w:p w:rsidR="00BC496A" w:rsidRDefault="00BC496A" w:rsidP="00BC496A">
      <w:pPr>
        <w:spacing w:after="0"/>
        <w:ind w:firstLine="0"/>
        <w:jc w:val="left"/>
        <w:rPr>
          <w:b/>
          <w:color w:val="000000"/>
          <w:szCs w:val="26"/>
        </w:rPr>
      </w:pPr>
    </w:p>
    <w:p w:rsidR="00BC496A" w:rsidRPr="0005658A" w:rsidRDefault="00BC496A" w:rsidP="0005658A">
      <w:pPr>
        <w:spacing w:after="60"/>
        <w:ind w:firstLine="0"/>
        <w:rPr>
          <w:sz w:val="22"/>
          <w:szCs w:val="22"/>
        </w:rPr>
      </w:pPr>
    </w:p>
    <w:sectPr w:rsidR="00BC496A" w:rsidRPr="0005658A">
      <w:footerReference w:type="default" r:id="rI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C3" w:rsidRDefault="008E13C3" w:rsidP="008505CE">
      <w:pPr>
        <w:spacing w:after="0"/>
      </w:pPr>
      <w:r>
        <w:separator/>
      </w:r>
    </w:p>
  </w:endnote>
  <w:endnote w:type="continuationSeparator" w:id="0">
    <w:p w:rsidR="008E13C3" w:rsidRDefault="008E13C3" w:rsidP="00850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utch">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517613"/>
      <w:docPartObj>
        <w:docPartGallery w:val="Page Numbers (Bottom of Page)"/>
        <w:docPartUnique/>
      </w:docPartObj>
    </w:sdtPr>
    <w:sdtContent>
      <w:sdt>
        <w:sdtPr>
          <w:id w:val="1106304336"/>
          <w:docPartObj>
            <w:docPartGallery w:val="Page Numbers (Top of Page)"/>
            <w:docPartUnique/>
          </w:docPartObj>
        </w:sdtPr>
        <w:sdtContent>
          <w:p w:rsidR="00F461EC" w:rsidRDefault="00F461EC" w:rsidP="00F461EC">
            <w:pPr>
              <w:pStyle w:val="Footer"/>
              <w:jc w:val="center"/>
            </w:pPr>
            <w:r>
              <w:t xml:space="preserve">Page </w:t>
            </w:r>
            <w:r>
              <w:rPr>
                <w:b/>
                <w:bCs/>
              </w:rPr>
              <w:fldChar w:fldCharType="begin"/>
            </w:r>
            <w:r>
              <w:rPr>
                <w:b/>
                <w:bCs/>
              </w:rPr>
              <w:instrText xml:space="preserve"> PAGE </w:instrText>
            </w:r>
            <w:r>
              <w:rPr>
                <w:b/>
                <w:bCs/>
              </w:rPr>
              <w:fldChar w:fldCharType="separate"/>
            </w:r>
            <w:r w:rsidR="008E13C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E13C3">
              <w:rPr>
                <w:b/>
                <w:bCs/>
                <w:noProof/>
              </w:rPr>
              <w:t>1</w:t>
            </w:r>
            <w:r>
              <w:rPr>
                <w:b/>
                <w:bCs/>
              </w:rPr>
              <w:fldChar w:fldCharType="end"/>
            </w:r>
          </w:p>
        </w:sdtContent>
      </w:sdt>
    </w:sdtContent>
  </w:sdt>
  <w:p w:rsidR="006A4132" w:rsidRDefault="006A41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498487"/>
      <w:docPartObj>
        <w:docPartGallery w:val="Page Numbers (Bottom of Page)"/>
        <w:docPartUnique/>
      </w:docPartObj>
    </w:sdtPr>
    <w:sdtEndPr/>
    <w:sdtContent>
      <w:sdt>
        <w:sdtPr>
          <w:id w:val="98381352"/>
          <w:docPartObj>
            <w:docPartGallery w:val="Page Numbers (Top of Page)"/>
            <w:docPartUnique/>
          </w:docPartObj>
        </w:sdtPr>
        <w:sdtEndPr/>
        <w:sdtContent>
          <w:p w:rsidR="00475BD0" w:rsidRDefault="00475BD0" w:rsidP="008505CE">
            <w:pPr>
              <w:pStyle w:val="Footer"/>
              <w:jc w:val="center"/>
            </w:pPr>
            <w:r>
              <w:t xml:space="preserve">Page </w:t>
            </w:r>
            <w:r>
              <w:rPr>
                <w:b/>
                <w:bCs/>
              </w:rPr>
              <w:fldChar w:fldCharType="begin"/>
            </w:r>
            <w:r>
              <w:rPr>
                <w:b/>
                <w:bCs/>
              </w:rPr>
              <w:instrText xml:space="preserve"> PAGE </w:instrText>
            </w:r>
            <w:r>
              <w:rPr>
                <w:b/>
                <w:bCs/>
              </w:rPr>
              <w:fldChar w:fldCharType="separate"/>
            </w:r>
            <w:r w:rsidR="00F461EC">
              <w:rPr>
                <w:b/>
                <w:bCs/>
                <w:noProof/>
              </w:rPr>
              <w:t>33</w:t>
            </w:r>
            <w:r>
              <w:rPr>
                <w:b/>
                <w:bCs/>
              </w:rPr>
              <w:fldChar w:fldCharType="end"/>
            </w:r>
            <w:r>
              <w:t xml:space="preserve"> of </w:t>
            </w:r>
            <w:r>
              <w:rPr>
                <w:b/>
                <w:bCs/>
              </w:rPr>
              <w:fldChar w:fldCharType="begin"/>
            </w:r>
            <w:r>
              <w:rPr>
                <w:b/>
                <w:bCs/>
              </w:rPr>
              <w:instrText xml:space="preserve"> NUMPAGES  </w:instrText>
            </w:r>
            <w:r>
              <w:rPr>
                <w:b/>
                <w:bCs/>
              </w:rPr>
              <w:fldChar w:fldCharType="separate"/>
            </w:r>
            <w:r w:rsidR="00F461EC">
              <w:rPr>
                <w:b/>
                <w:bCs/>
                <w:noProof/>
              </w:rPr>
              <w:t>33</w:t>
            </w:r>
            <w:r>
              <w:rPr>
                <w:b/>
                <w:bCs/>
              </w:rPr>
              <w:fldChar w:fldCharType="end"/>
            </w:r>
          </w:p>
        </w:sdtContent>
      </w:sdt>
    </w:sdtContent>
  </w:sdt>
  <w:p w:rsidR="00475BD0" w:rsidRDefault="00475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C3" w:rsidRDefault="008E13C3" w:rsidP="008505CE">
      <w:pPr>
        <w:spacing w:after="0"/>
      </w:pPr>
      <w:r>
        <w:separator/>
      </w:r>
    </w:p>
  </w:footnote>
  <w:footnote w:type="continuationSeparator" w:id="0">
    <w:p w:rsidR="008E13C3" w:rsidRDefault="008E13C3" w:rsidP="008505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D3C7A"/>
    <w:multiLevelType w:val="hybridMultilevel"/>
    <w:tmpl w:val="B062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CE"/>
    <w:rsid w:val="00011FC8"/>
    <w:rsid w:val="000140F3"/>
    <w:rsid w:val="000144B8"/>
    <w:rsid w:val="00014AEC"/>
    <w:rsid w:val="000220F3"/>
    <w:rsid w:val="00037F3A"/>
    <w:rsid w:val="000409CF"/>
    <w:rsid w:val="00043FB2"/>
    <w:rsid w:val="0004437A"/>
    <w:rsid w:val="00051174"/>
    <w:rsid w:val="000549E3"/>
    <w:rsid w:val="000559D5"/>
    <w:rsid w:val="0005658A"/>
    <w:rsid w:val="000573EE"/>
    <w:rsid w:val="00061B61"/>
    <w:rsid w:val="00062DBD"/>
    <w:rsid w:val="0006551A"/>
    <w:rsid w:val="00074906"/>
    <w:rsid w:val="0007741A"/>
    <w:rsid w:val="000777D3"/>
    <w:rsid w:val="0007799C"/>
    <w:rsid w:val="00093DEF"/>
    <w:rsid w:val="00096707"/>
    <w:rsid w:val="00096B26"/>
    <w:rsid w:val="000977B5"/>
    <w:rsid w:val="000A6A38"/>
    <w:rsid w:val="000A71DE"/>
    <w:rsid w:val="000B0696"/>
    <w:rsid w:val="000B3B30"/>
    <w:rsid w:val="000C5ECE"/>
    <w:rsid w:val="000E139D"/>
    <w:rsid w:val="000E147E"/>
    <w:rsid w:val="000E2D8B"/>
    <w:rsid w:val="000F08FE"/>
    <w:rsid w:val="000F138A"/>
    <w:rsid w:val="000F18E9"/>
    <w:rsid w:val="000F4AA6"/>
    <w:rsid w:val="00100FB9"/>
    <w:rsid w:val="001047EF"/>
    <w:rsid w:val="00112BC1"/>
    <w:rsid w:val="001214B6"/>
    <w:rsid w:val="00122653"/>
    <w:rsid w:val="00125822"/>
    <w:rsid w:val="001313FD"/>
    <w:rsid w:val="001321CF"/>
    <w:rsid w:val="00134792"/>
    <w:rsid w:val="00140240"/>
    <w:rsid w:val="001471E0"/>
    <w:rsid w:val="00150E1C"/>
    <w:rsid w:val="00152DE7"/>
    <w:rsid w:val="0015405D"/>
    <w:rsid w:val="001570A5"/>
    <w:rsid w:val="0016107C"/>
    <w:rsid w:val="00162322"/>
    <w:rsid w:val="00172465"/>
    <w:rsid w:val="00172FBD"/>
    <w:rsid w:val="0017659F"/>
    <w:rsid w:val="001778D2"/>
    <w:rsid w:val="00185F2E"/>
    <w:rsid w:val="00197A49"/>
    <w:rsid w:val="001A2D71"/>
    <w:rsid w:val="001A4537"/>
    <w:rsid w:val="001B47E9"/>
    <w:rsid w:val="001B5398"/>
    <w:rsid w:val="001C081E"/>
    <w:rsid w:val="001C0C80"/>
    <w:rsid w:val="001C3E8B"/>
    <w:rsid w:val="001D17FD"/>
    <w:rsid w:val="001D46B7"/>
    <w:rsid w:val="001D6129"/>
    <w:rsid w:val="001E1BF6"/>
    <w:rsid w:val="001E27C9"/>
    <w:rsid w:val="001E59AE"/>
    <w:rsid w:val="001E74BA"/>
    <w:rsid w:val="001F1109"/>
    <w:rsid w:val="001F51B1"/>
    <w:rsid w:val="001F591C"/>
    <w:rsid w:val="002010A7"/>
    <w:rsid w:val="0020418A"/>
    <w:rsid w:val="00206A85"/>
    <w:rsid w:val="002130F6"/>
    <w:rsid w:val="00220A24"/>
    <w:rsid w:val="00222F7E"/>
    <w:rsid w:val="00225E48"/>
    <w:rsid w:val="00232EED"/>
    <w:rsid w:val="0023698A"/>
    <w:rsid w:val="002379F8"/>
    <w:rsid w:val="00240EF0"/>
    <w:rsid w:val="002429D8"/>
    <w:rsid w:val="00243239"/>
    <w:rsid w:val="00245E84"/>
    <w:rsid w:val="002464A5"/>
    <w:rsid w:val="0025239F"/>
    <w:rsid w:val="00253938"/>
    <w:rsid w:val="00254167"/>
    <w:rsid w:val="00265656"/>
    <w:rsid w:val="002666B0"/>
    <w:rsid w:val="002667C1"/>
    <w:rsid w:val="0026789C"/>
    <w:rsid w:val="00280A2C"/>
    <w:rsid w:val="00282B3A"/>
    <w:rsid w:val="00283838"/>
    <w:rsid w:val="0028464C"/>
    <w:rsid w:val="00285D33"/>
    <w:rsid w:val="00286D91"/>
    <w:rsid w:val="002873E6"/>
    <w:rsid w:val="00291F60"/>
    <w:rsid w:val="0029345A"/>
    <w:rsid w:val="00294D80"/>
    <w:rsid w:val="002A169F"/>
    <w:rsid w:val="002A2432"/>
    <w:rsid w:val="002A412F"/>
    <w:rsid w:val="002A46C0"/>
    <w:rsid w:val="002A6A0F"/>
    <w:rsid w:val="002A7E2E"/>
    <w:rsid w:val="002B140F"/>
    <w:rsid w:val="002B5E79"/>
    <w:rsid w:val="002B6017"/>
    <w:rsid w:val="002C4BF7"/>
    <w:rsid w:val="002C5AA3"/>
    <w:rsid w:val="002C6DF3"/>
    <w:rsid w:val="002D5433"/>
    <w:rsid w:val="002D5AE5"/>
    <w:rsid w:val="002E07AC"/>
    <w:rsid w:val="002E37D2"/>
    <w:rsid w:val="002E4660"/>
    <w:rsid w:val="002E7F87"/>
    <w:rsid w:val="002F5BF7"/>
    <w:rsid w:val="00306000"/>
    <w:rsid w:val="00306B24"/>
    <w:rsid w:val="0031719C"/>
    <w:rsid w:val="003223A5"/>
    <w:rsid w:val="00334D2A"/>
    <w:rsid w:val="0033747E"/>
    <w:rsid w:val="0035162A"/>
    <w:rsid w:val="00352564"/>
    <w:rsid w:val="00353BAF"/>
    <w:rsid w:val="00354BA0"/>
    <w:rsid w:val="00355690"/>
    <w:rsid w:val="003565F1"/>
    <w:rsid w:val="00361C5E"/>
    <w:rsid w:val="00363AC5"/>
    <w:rsid w:val="00365149"/>
    <w:rsid w:val="00367F56"/>
    <w:rsid w:val="00377E78"/>
    <w:rsid w:val="00380A32"/>
    <w:rsid w:val="0038685B"/>
    <w:rsid w:val="00391B01"/>
    <w:rsid w:val="003960ED"/>
    <w:rsid w:val="00396162"/>
    <w:rsid w:val="003A02D3"/>
    <w:rsid w:val="003A0AC1"/>
    <w:rsid w:val="003A4307"/>
    <w:rsid w:val="003A48A5"/>
    <w:rsid w:val="003A7D6B"/>
    <w:rsid w:val="003B06D2"/>
    <w:rsid w:val="003B3550"/>
    <w:rsid w:val="003B655B"/>
    <w:rsid w:val="003C180A"/>
    <w:rsid w:val="003C354F"/>
    <w:rsid w:val="003D1288"/>
    <w:rsid w:val="003D1C59"/>
    <w:rsid w:val="003D7072"/>
    <w:rsid w:val="003E07B9"/>
    <w:rsid w:val="003E4945"/>
    <w:rsid w:val="003F3D4B"/>
    <w:rsid w:val="003F51B4"/>
    <w:rsid w:val="00401CB1"/>
    <w:rsid w:val="00402BCE"/>
    <w:rsid w:val="004115D4"/>
    <w:rsid w:val="00413D05"/>
    <w:rsid w:val="004200E7"/>
    <w:rsid w:val="004212E1"/>
    <w:rsid w:val="00424599"/>
    <w:rsid w:val="00425326"/>
    <w:rsid w:val="00430165"/>
    <w:rsid w:val="004410FB"/>
    <w:rsid w:val="0044153C"/>
    <w:rsid w:val="004502A1"/>
    <w:rsid w:val="004508A9"/>
    <w:rsid w:val="00450F12"/>
    <w:rsid w:val="00455B5A"/>
    <w:rsid w:val="00457E37"/>
    <w:rsid w:val="00461320"/>
    <w:rsid w:val="00461AEC"/>
    <w:rsid w:val="00462C1B"/>
    <w:rsid w:val="004651F6"/>
    <w:rsid w:val="00472B6F"/>
    <w:rsid w:val="00475BD0"/>
    <w:rsid w:val="004776D7"/>
    <w:rsid w:val="004812DF"/>
    <w:rsid w:val="0048181B"/>
    <w:rsid w:val="00487C29"/>
    <w:rsid w:val="00491ACA"/>
    <w:rsid w:val="0049368A"/>
    <w:rsid w:val="004A2E34"/>
    <w:rsid w:val="004A3131"/>
    <w:rsid w:val="004A3501"/>
    <w:rsid w:val="004A3AE5"/>
    <w:rsid w:val="004B7132"/>
    <w:rsid w:val="004C0CD7"/>
    <w:rsid w:val="004C30CB"/>
    <w:rsid w:val="004C4027"/>
    <w:rsid w:val="004E0672"/>
    <w:rsid w:val="004E422E"/>
    <w:rsid w:val="004E4D74"/>
    <w:rsid w:val="004F4B34"/>
    <w:rsid w:val="004F70C0"/>
    <w:rsid w:val="0050111C"/>
    <w:rsid w:val="0050557D"/>
    <w:rsid w:val="0051178B"/>
    <w:rsid w:val="0051253F"/>
    <w:rsid w:val="0051327B"/>
    <w:rsid w:val="005162C3"/>
    <w:rsid w:val="00516B53"/>
    <w:rsid w:val="005217DB"/>
    <w:rsid w:val="00521819"/>
    <w:rsid w:val="005232A0"/>
    <w:rsid w:val="005269EA"/>
    <w:rsid w:val="0053163A"/>
    <w:rsid w:val="005372C5"/>
    <w:rsid w:val="00544497"/>
    <w:rsid w:val="00547190"/>
    <w:rsid w:val="00547E46"/>
    <w:rsid w:val="0055310B"/>
    <w:rsid w:val="00555709"/>
    <w:rsid w:val="00555B55"/>
    <w:rsid w:val="0055632C"/>
    <w:rsid w:val="00561EFF"/>
    <w:rsid w:val="00564EBD"/>
    <w:rsid w:val="00565331"/>
    <w:rsid w:val="00566541"/>
    <w:rsid w:val="005720FB"/>
    <w:rsid w:val="005731D8"/>
    <w:rsid w:val="0057387C"/>
    <w:rsid w:val="00575FD1"/>
    <w:rsid w:val="00576E6E"/>
    <w:rsid w:val="00581FDA"/>
    <w:rsid w:val="005873A0"/>
    <w:rsid w:val="00593F62"/>
    <w:rsid w:val="00594482"/>
    <w:rsid w:val="0059629B"/>
    <w:rsid w:val="005A026A"/>
    <w:rsid w:val="005A06E0"/>
    <w:rsid w:val="005A0EED"/>
    <w:rsid w:val="005A1D40"/>
    <w:rsid w:val="005A1E4D"/>
    <w:rsid w:val="005A6934"/>
    <w:rsid w:val="005A6DA7"/>
    <w:rsid w:val="005B099E"/>
    <w:rsid w:val="005B0CBD"/>
    <w:rsid w:val="005B0D41"/>
    <w:rsid w:val="005B2913"/>
    <w:rsid w:val="005B5D77"/>
    <w:rsid w:val="005C2FA8"/>
    <w:rsid w:val="005C7E1D"/>
    <w:rsid w:val="005D0D2C"/>
    <w:rsid w:val="005D2544"/>
    <w:rsid w:val="005D3D9D"/>
    <w:rsid w:val="005E22B7"/>
    <w:rsid w:val="005E333C"/>
    <w:rsid w:val="005E5AAA"/>
    <w:rsid w:val="005F1711"/>
    <w:rsid w:val="005F2FB3"/>
    <w:rsid w:val="005F30C9"/>
    <w:rsid w:val="005F4B8B"/>
    <w:rsid w:val="00600E65"/>
    <w:rsid w:val="00601285"/>
    <w:rsid w:val="006056C0"/>
    <w:rsid w:val="006061A3"/>
    <w:rsid w:val="00613BF8"/>
    <w:rsid w:val="006172A3"/>
    <w:rsid w:val="00620461"/>
    <w:rsid w:val="006248B0"/>
    <w:rsid w:val="006301ED"/>
    <w:rsid w:val="006313FA"/>
    <w:rsid w:val="006316A0"/>
    <w:rsid w:val="00632B30"/>
    <w:rsid w:val="00637C98"/>
    <w:rsid w:val="0064014F"/>
    <w:rsid w:val="00640394"/>
    <w:rsid w:val="006503A6"/>
    <w:rsid w:val="0065113C"/>
    <w:rsid w:val="00655BDF"/>
    <w:rsid w:val="00655CC9"/>
    <w:rsid w:val="00660630"/>
    <w:rsid w:val="006632A7"/>
    <w:rsid w:val="006675BD"/>
    <w:rsid w:val="00667BC0"/>
    <w:rsid w:val="006734F4"/>
    <w:rsid w:val="00675155"/>
    <w:rsid w:val="006759CC"/>
    <w:rsid w:val="006763CE"/>
    <w:rsid w:val="006836F0"/>
    <w:rsid w:val="006874C7"/>
    <w:rsid w:val="00691ED8"/>
    <w:rsid w:val="00693372"/>
    <w:rsid w:val="006940E4"/>
    <w:rsid w:val="006A4132"/>
    <w:rsid w:val="006A648B"/>
    <w:rsid w:val="006B1CF8"/>
    <w:rsid w:val="006B3D36"/>
    <w:rsid w:val="006B5229"/>
    <w:rsid w:val="006C6F54"/>
    <w:rsid w:val="006C70A9"/>
    <w:rsid w:val="006D328C"/>
    <w:rsid w:val="006D5A76"/>
    <w:rsid w:val="006D62AF"/>
    <w:rsid w:val="006D6EF6"/>
    <w:rsid w:val="006E2D3F"/>
    <w:rsid w:val="006E3FEF"/>
    <w:rsid w:val="006E5EC2"/>
    <w:rsid w:val="006F06D2"/>
    <w:rsid w:val="006F2E1A"/>
    <w:rsid w:val="00702847"/>
    <w:rsid w:val="00705B3F"/>
    <w:rsid w:val="00705BFF"/>
    <w:rsid w:val="007066EC"/>
    <w:rsid w:val="00706A97"/>
    <w:rsid w:val="0070717E"/>
    <w:rsid w:val="0071012B"/>
    <w:rsid w:val="00717845"/>
    <w:rsid w:val="00717DFC"/>
    <w:rsid w:val="00720504"/>
    <w:rsid w:val="0072145B"/>
    <w:rsid w:val="0073023C"/>
    <w:rsid w:val="0074687A"/>
    <w:rsid w:val="00750217"/>
    <w:rsid w:val="007540E9"/>
    <w:rsid w:val="00754B51"/>
    <w:rsid w:val="00757152"/>
    <w:rsid w:val="00757548"/>
    <w:rsid w:val="0076224D"/>
    <w:rsid w:val="007623EF"/>
    <w:rsid w:val="00764025"/>
    <w:rsid w:val="00770977"/>
    <w:rsid w:val="00770CED"/>
    <w:rsid w:val="00770CF4"/>
    <w:rsid w:val="007750D7"/>
    <w:rsid w:val="00782EE6"/>
    <w:rsid w:val="0078309D"/>
    <w:rsid w:val="00785DFE"/>
    <w:rsid w:val="007871D6"/>
    <w:rsid w:val="00791A09"/>
    <w:rsid w:val="00791AC8"/>
    <w:rsid w:val="0079284E"/>
    <w:rsid w:val="0079430A"/>
    <w:rsid w:val="007961E3"/>
    <w:rsid w:val="007A0CEB"/>
    <w:rsid w:val="007A5BE6"/>
    <w:rsid w:val="007A6996"/>
    <w:rsid w:val="007A7712"/>
    <w:rsid w:val="007A79C6"/>
    <w:rsid w:val="007A7FEB"/>
    <w:rsid w:val="007B13E4"/>
    <w:rsid w:val="007B694C"/>
    <w:rsid w:val="007D4266"/>
    <w:rsid w:val="007D5565"/>
    <w:rsid w:val="007E0069"/>
    <w:rsid w:val="007E47F7"/>
    <w:rsid w:val="007E5DE8"/>
    <w:rsid w:val="007F6310"/>
    <w:rsid w:val="007F7729"/>
    <w:rsid w:val="007F7E75"/>
    <w:rsid w:val="008053F3"/>
    <w:rsid w:val="00805F9D"/>
    <w:rsid w:val="00812C39"/>
    <w:rsid w:val="0081619B"/>
    <w:rsid w:val="0082051A"/>
    <w:rsid w:val="00823813"/>
    <w:rsid w:val="008249B1"/>
    <w:rsid w:val="00833A39"/>
    <w:rsid w:val="00834ECE"/>
    <w:rsid w:val="00835814"/>
    <w:rsid w:val="00837122"/>
    <w:rsid w:val="008373C5"/>
    <w:rsid w:val="008474DD"/>
    <w:rsid w:val="008505CE"/>
    <w:rsid w:val="008567B8"/>
    <w:rsid w:val="00860401"/>
    <w:rsid w:val="00863C85"/>
    <w:rsid w:val="00864564"/>
    <w:rsid w:val="00866EAC"/>
    <w:rsid w:val="008808EE"/>
    <w:rsid w:val="00884462"/>
    <w:rsid w:val="0089303E"/>
    <w:rsid w:val="00893642"/>
    <w:rsid w:val="00894BF0"/>
    <w:rsid w:val="008A5A6B"/>
    <w:rsid w:val="008B252A"/>
    <w:rsid w:val="008B30B2"/>
    <w:rsid w:val="008B6017"/>
    <w:rsid w:val="008C06D9"/>
    <w:rsid w:val="008C4466"/>
    <w:rsid w:val="008C533B"/>
    <w:rsid w:val="008C69C8"/>
    <w:rsid w:val="008D17CC"/>
    <w:rsid w:val="008D321F"/>
    <w:rsid w:val="008D58CD"/>
    <w:rsid w:val="008E13C3"/>
    <w:rsid w:val="008E78E6"/>
    <w:rsid w:val="008F3555"/>
    <w:rsid w:val="008F59C8"/>
    <w:rsid w:val="00902D23"/>
    <w:rsid w:val="0090370B"/>
    <w:rsid w:val="00904075"/>
    <w:rsid w:val="009064FC"/>
    <w:rsid w:val="009127B7"/>
    <w:rsid w:val="00913F48"/>
    <w:rsid w:val="009147F5"/>
    <w:rsid w:val="0092043B"/>
    <w:rsid w:val="00922F20"/>
    <w:rsid w:val="009248BA"/>
    <w:rsid w:val="0092687E"/>
    <w:rsid w:val="00932E1D"/>
    <w:rsid w:val="009349FE"/>
    <w:rsid w:val="0094298E"/>
    <w:rsid w:val="00942D4F"/>
    <w:rsid w:val="00943D0D"/>
    <w:rsid w:val="0094465F"/>
    <w:rsid w:val="0095638E"/>
    <w:rsid w:val="00957DB2"/>
    <w:rsid w:val="00960526"/>
    <w:rsid w:val="009620C4"/>
    <w:rsid w:val="00964B7C"/>
    <w:rsid w:val="00967A61"/>
    <w:rsid w:val="0097650F"/>
    <w:rsid w:val="00977AAF"/>
    <w:rsid w:val="00977D92"/>
    <w:rsid w:val="00981A73"/>
    <w:rsid w:val="00981E26"/>
    <w:rsid w:val="00986534"/>
    <w:rsid w:val="00997926"/>
    <w:rsid w:val="009A2375"/>
    <w:rsid w:val="009B2C17"/>
    <w:rsid w:val="009B66C5"/>
    <w:rsid w:val="009C16DB"/>
    <w:rsid w:val="009C19E4"/>
    <w:rsid w:val="009C1A47"/>
    <w:rsid w:val="009C3268"/>
    <w:rsid w:val="009C3579"/>
    <w:rsid w:val="009C580F"/>
    <w:rsid w:val="009C7D15"/>
    <w:rsid w:val="009D3848"/>
    <w:rsid w:val="009E1AED"/>
    <w:rsid w:val="009E67C3"/>
    <w:rsid w:val="009F10F0"/>
    <w:rsid w:val="009F1BC1"/>
    <w:rsid w:val="00A022A2"/>
    <w:rsid w:val="00A03768"/>
    <w:rsid w:val="00A10960"/>
    <w:rsid w:val="00A1113E"/>
    <w:rsid w:val="00A13BE2"/>
    <w:rsid w:val="00A14906"/>
    <w:rsid w:val="00A22F4C"/>
    <w:rsid w:val="00A2414E"/>
    <w:rsid w:val="00A271DD"/>
    <w:rsid w:val="00A33B20"/>
    <w:rsid w:val="00A359F2"/>
    <w:rsid w:val="00A46252"/>
    <w:rsid w:val="00A57EAA"/>
    <w:rsid w:val="00A62067"/>
    <w:rsid w:val="00A754BB"/>
    <w:rsid w:val="00A75C0B"/>
    <w:rsid w:val="00A8011C"/>
    <w:rsid w:val="00A80FB6"/>
    <w:rsid w:val="00A8516E"/>
    <w:rsid w:val="00A86F1B"/>
    <w:rsid w:val="00A8706F"/>
    <w:rsid w:val="00A9015D"/>
    <w:rsid w:val="00AA1552"/>
    <w:rsid w:val="00AA3EC3"/>
    <w:rsid w:val="00AA6C75"/>
    <w:rsid w:val="00AC5D32"/>
    <w:rsid w:val="00AD4D95"/>
    <w:rsid w:val="00AD5440"/>
    <w:rsid w:val="00AF0DE5"/>
    <w:rsid w:val="00AF3C09"/>
    <w:rsid w:val="00AF47D1"/>
    <w:rsid w:val="00AF4947"/>
    <w:rsid w:val="00AF54B4"/>
    <w:rsid w:val="00B0086C"/>
    <w:rsid w:val="00B077EF"/>
    <w:rsid w:val="00B14F4C"/>
    <w:rsid w:val="00B2323E"/>
    <w:rsid w:val="00B25500"/>
    <w:rsid w:val="00B26B63"/>
    <w:rsid w:val="00B32CAD"/>
    <w:rsid w:val="00B33B79"/>
    <w:rsid w:val="00B4078B"/>
    <w:rsid w:val="00B413B4"/>
    <w:rsid w:val="00B44A91"/>
    <w:rsid w:val="00B459B0"/>
    <w:rsid w:val="00B57DE8"/>
    <w:rsid w:val="00B6031F"/>
    <w:rsid w:val="00B65CA8"/>
    <w:rsid w:val="00B72340"/>
    <w:rsid w:val="00B72921"/>
    <w:rsid w:val="00B749E7"/>
    <w:rsid w:val="00B76353"/>
    <w:rsid w:val="00B76C8A"/>
    <w:rsid w:val="00B77F01"/>
    <w:rsid w:val="00B814AE"/>
    <w:rsid w:val="00B81672"/>
    <w:rsid w:val="00B94230"/>
    <w:rsid w:val="00B971C0"/>
    <w:rsid w:val="00BA1FA5"/>
    <w:rsid w:val="00BA2334"/>
    <w:rsid w:val="00BA28D6"/>
    <w:rsid w:val="00BA4CBB"/>
    <w:rsid w:val="00BA79BD"/>
    <w:rsid w:val="00BA7C2C"/>
    <w:rsid w:val="00BB0FA5"/>
    <w:rsid w:val="00BC2C18"/>
    <w:rsid w:val="00BC496A"/>
    <w:rsid w:val="00BC58D5"/>
    <w:rsid w:val="00BD07B6"/>
    <w:rsid w:val="00BD28D2"/>
    <w:rsid w:val="00BE00D7"/>
    <w:rsid w:val="00BE1C60"/>
    <w:rsid w:val="00BE6665"/>
    <w:rsid w:val="00BF0D98"/>
    <w:rsid w:val="00BF4BF8"/>
    <w:rsid w:val="00C043E6"/>
    <w:rsid w:val="00C04CDC"/>
    <w:rsid w:val="00C102D9"/>
    <w:rsid w:val="00C20DE7"/>
    <w:rsid w:val="00C3062E"/>
    <w:rsid w:val="00C306C2"/>
    <w:rsid w:val="00C30B32"/>
    <w:rsid w:val="00C42DC2"/>
    <w:rsid w:val="00C43D72"/>
    <w:rsid w:val="00C47431"/>
    <w:rsid w:val="00C5017B"/>
    <w:rsid w:val="00C55C13"/>
    <w:rsid w:val="00C66BE8"/>
    <w:rsid w:val="00C72D1B"/>
    <w:rsid w:val="00C73304"/>
    <w:rsid w:val="00C80467"/>
    <w:rsid w:val="00C84F03"/>
    <w:rsid w:val="00C86297"/>
    <w:rsid w:val="00C91203"/>
    <w:rsid w:val="00CA46BA"/>
    <w:rsid w:val="00CA7637"/>
    <w:rsid w:val="00CC1424"/>
    <w:rsid w:val="00CC40A0"/>
    <w:rsid w:val="00CC4C6E"/>
    <w:rsid w:val="00CC4F88"/>
    <w:rsid w:val="00CD0248"/>
    <w:rsid w:val="00CD2D57"/>
    <w:rsid w:val="00CD4262"/>
    <w:rsid w:val="00CD7A38"/>
    <w:rsid w:val="00CE0A87"/>
    <w:rsid w:val="00CE61DF"/>
    <w:rsid w:val="00CE63E6"/>
    <w:rsid w:val="00CF07A8"/>
    <w:rsid w:val="00CF69BA"/>
    <w:rsid w:val="00D03B0F"/>
    <w:rsid w:val="00D0782E"/>
    <w:rsid w:val="00D110CB"/>
    <w:rsid w:val="00D11406"/>
    <w:rsid w:val="00D1536B"/>
    <w:rsid w:val="00D17898"/>
    <w:rsid w:val="00D224AC"/>
    <w:rsid w:val="00D30F50"/>
    <w:rsid w:val="00D42BBD"/>
    <w:rsid w:val="00D433C8"/>
    <w:rsid w:val="00D43C7B"/>
    <w:rsid w:val="00D560AE"/>
    <w:rsid w:val="00D57379"/>
    <w:rsid w:val="00D61207"/>
    <w:rsid w:val="00D640A1"/>
    <w:rsid w:val="00D836B8"/>
    <w:rsid w:val="00D83860"/>
    <w:rsid w:val="00D840BB"/>
    <w:rsid w:val="00D864DC"/>
    <w:rsid w:val="00DA09C7"/>
    <w:rsid w:val="00DB0D4D"/>
    <w:rsid w:val="00DB2C55"/>
    <w:rsid w:val="00DB4DD7"/>
    <w:rsid w:val="00DB4F22"/>
    <w:rsid w:val="00DC04F0"/>
    <w:rsid w:val="00DC4E53"/>
    <w:rsid w:val="00DD3542"/>
    <w:rsid w:val="00DE13F3"/>
    <w:rsid w:val="00DE1B93"/>
    <w:rsid w:val="00DE3E13"/>
    <w:rsid w:val="00DE55A4"/>
    <w:rsid w:val="00DE71BE"/>
    <w:rsid w:val="00DF4E9B"/>
    <w:rsid w:val="00DF6626"/>
    <w:rsid w:val="00E10FA9"/>
    <w:rsid w:val="00E164AB"/>
    <w:rsid w:val="00E21C6D"/>
    <w:rsid w:val="00E22B3B"/>
    <w:rsid w:val="00E23945"/>
    <w:rsid w:val="00E25CE7"/>
    <w:rsid w:val="00E26857"/>
    <w:rsid w:val="00E315F8"/>
    <w:rsid w:val="00E329C3"/>
    <w:rsid w:val="00E40674"/>
    <w:rsid w:val="00E430EA"/>
    <w:rsid w:val="00E45DD2"/>
    <w:rsid w:val="00E56A3F"/>
    <w:rsid w:val="00E6382E"/>
    <w:rsid w:val="00E63BFA"/>
    <w:rsid w:val="00E662E3"/>
    <w:rsid w:val="00E66CF0"/>
    <w:rsid w:val="00E707DE"/>
    <w:rsid w:val="00E73A1A"/>
    <w:rsid w:val="00E7603B"/>
    <w:rsid w:val="00E81CE7"/>
    <w:rsid w:val="00E83D84"/>
    <w:rsid w:val="00E90214"/>
    <w:rsid w:val="00E90CBF"/>
    <w:rsid w:val="00E934D5"/>
    <w:rsid w:val="00E9444D"/>
    <w:rsid w:val="00E94D14"/>
    <w:rsid w:val="00EA3354"/>
    <w:rsid w:val="00EA589F"/>
    <w:rsid w:val="00EB0641"/>
    <w:rsid w:val="00EB1438"/>
    <w:rsid w:val="00EB2AA4"/>
    <w:rsid w:val="00EB5ABB"/>
    <w:rsid w:val="00EB692E"/>
    <w:rsid w:val="00EC1BB5"/>
    <w:rsid w:val="00EC335D"/>
    <w:rsid w:val="00EC4836"/>
    <w:rsid w:val="00ED088B"/>
    <w:rsid w:val="00ED1E81"/>
    <w:rsid w:val="00ED2575"/>
    <w:rsid w:val="00ED2A13"/>
    <w:rsid w:val="00ED3F2C"/>
    <w:rsid w:val="00ED464A"/>
    <w:rsid w:val="00EE26A4"/>
    <w:rsid w:val="00EE2E06"/>
    <w:rsid w:val="00EE77C2"/>
    <w:rsid w:val="00EF383E"/>
    <w:rsid w:val="00EF3E21"/>
    <w:rsid w:val="00F0018D"/>
    <w:rsid w:val="00F01766"/>
    <w:rsid w:val="00F05320"/>
    <w:rsid w:val="00F06388"/>
    <w:rsid w:val="00F06B02"/>
    <w:rsid w:val="00F07204"/>
    <w:rsid w:val="00F07FE7"/>
    <w:rsid w:val="00F16A5C"/>
    <w:rsid w:val="00F17FA0"/>
    <w:rsid w:val="00F30A13"/>
    <w:rsid w:val="00F328B3"/>
    <w:rsid w:val="00F36230"/>
    <w:rsid w:val="00F40203"/>
    <w:rsid w:val="00F42109"/>
    <w:rsid w:val="00F461EC"/>
    <w:rsid w:val="00F52AD5"/>
    <w:rsid w:val="00F5722C"/>
    <w:rsid w:val="00F635DE"/>
    <w:rsid w:val="00F638F0"/>
    <w:rsid w:val="00F7234B"/>
    <w:rsid w:val="00F730E0"/>
    <w:rsid w:val="00F735A4"/>
    <w:rsid w:val="00F7691D"/>
    <w:rsid w:val="00F77F06"/>
    <w:rsid w:val="00F80E83"/>
    <w:rsid w:val="00F92A3E"/>
    <w:rsid w:val="00FA1247"/>
    <w:rsid w:val="00FA4653"/>
    <w:rsid w:val="00FB299E"/>
    <w:rsid w:val="00FC60E1"/>
    <w:rsid w:val="00FD0C67"/>
    <w:rsid w:val="00FD13CC"/>
    <w:rsid w:val="00FD2960"/>
    <w:rsid w:val="00FD41B5"/>
    <w:rsid w:val="00FD7A4B"/>
    <w:rsid w:val="00FE1F06"/>
    <w:rsid w:val="00FE2895"/>
    <w:rsid w:val="00FE4077"/>
    <w:rsid w:val="00FF2B69"/>
    <w:rsid w:val="00FF3FEE"/>
    <w:rsid w:val="00FF5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CE"/>
    <w:pPr>
      <w:spacing w:after="120"/>
      <w:ind w:firstLine="567"/>
      <w:jc w:val="both"/>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5CE"/>
    <w:pPr>
      <w:tabs>
        <w:tab w:val="center" w:pos="4513"/>
        <w:tab w:val="right" w:pos="9026"/>
      </w:tabs>
      <w:spacing w:after="0"/>
    </w:pPr>
  </w:style>
  <w:style w:type="character" w:customStyle="1" w:styleId="HeaderChar">
    <w:name w:val="Header Char"/>
    <w:basedOn w:val="DefaultParagraphFont"/>
    <w:link w:val="Header"/>
    <w:uiPriority w:val="99"/>
    <w:rsid w:val="008505CE"/>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8505CE"/>
    <w:pPr>
      <w:tabs>
        <w:tab w:val="center" w:pos="4513"/>
        <w:tab w:val="right" w:pos="9026"/>
      </w:tabs>
      <w:spacing w:after="0"/>
    </w:pPr>
  </w:style>
  <w:style w:type="character" w:customStyle="1" w:styleId="FooterChar">
    <w:name w:val="Footer Char"/>
    <w:basedOn w:val="DefaultParagraphFont"/>
    <w:link w:val="Footer"/>
    <w:uiPriority w:val="99"/>
    <w:rsid w:val="008505CE"/>
    <w:rPr>
      <w:rFonts w:ascii="Times New Roman" w:eastAsia="Times New Roman" w:hAnsi="Times New Roman" w:cs="Times New Roman"/>
      <w:sz w:val="24"/>
      <w:szCs w:val="24"/>
      <w:lang w:eastAsia="es-ES"/>
    </w:rPr>
  </w:style>
  <w:style w:type="paragraph" w:customStyle="1" w:styleId="Normaali1">
    <w:name w:val="Normaali1"/>
    <w:uiPriority w:val="99"/>
    <w:rsid w:val="008505CE"/>
    <w:pPr>
      <w:widowControl w:val="0"/>
      <w:adjustRightInd w:val="0"/>
      <w:spacing w:line="360" w:lineRule="auto"/>
      <w:jc w:val="both"/>
      <w:textAlignment w:val="baseline"/>
    </w:pPr>
    <w:rPr>
      <w:rFonts w:ascii="Dutch" w:eastAsia="Times New Roman" w:hAnsi="Dutch" w:cs="Times New Roman"/>
      <w:sz w:val="24"/>
      <w:szCs w:val="20"/>
      <w:lang w:val="fi-FI" w:eastAsia="fi-FI"/>
    </w:rPr>
  </w:style>
  <w:style w:type="character" w:customStyle="1" w:styleId="slug-metadata-note3">
    <w:name w:val="slug-metadata-note3"/>
    <w:basedOn w:val="DefaultParagraphFont"/>
    <w:rsid w:val="008505CE"/>
    <w:rPr>
      <w:vanish w:val="0"/>
      <w:webHidden w:val="0"/>
      <w:specVanish w:val="0"/>
    </w:rPr>
  </w:style>
  <w:style w:type="character" w:customStyle="1" w:styleId="st2">
    <w:name w:val="st2"/>
    <w:basedOn w:val="DefaultParagraphFont"/>
    <w:rsid w:val="008505CE"/>
  </w:style>
  <w:style w:type="character" w:customStyle="1" w:styleId="CaptionChar">
    <w:name w:val="Caption Char"/>
    <w:link w:val="Caption"/>
    <w:semiHidden/>
    <w:locked/>
    <w:rsid w:val="008505CE"/>
    <w:rPr>
      <w:b/>
      <w:bCs/>
      <w:lang w:val="es-ES" w:eastAsia="es-ES"/>
    </w:rPr>
  </w:style>
  <w:style w:type="paragraph" w:styleId="Caption">
    <w:name w:val="caption"/>
    <w:basedOn w:val="Normal"/>
    <w:next w:val="Normal"/>
    <w:link w:val="CaptionChar"/>
    <w:semiHidden/>
    <w:unhideWhenUsed/>
    <w:qFormat/>
    <w:rsid w:val="008505CE"/>
    <w:rPr>
      <w:rFonts w:asciiTheme="minorHAnsi" w:eastAsiaTheme="minorHAnsi" w:hAnsiTheme="minorHAnsi" w:cstheme="minorBidi"/>
      <w:b/>
      <w:bCs/>
      <w:sz w:val="22"/>
      <w:szCs w:val="22"/>
      <w:lang w:val="es-ES"/>
    </w:rPr>
  </w:style>
  <w:style w:type="paragraph" w:styleId="FootnoteText">
    <w:name w:val="footnote text"/>
    <w:basedOn w:val="Normal"/>
    <w:link w:val="FootnoteTextChar"/>
    <w:semiHidden/>
    <w:rsid w:val="008505CE"/>
    <w:pPr>
      <w:spacing w:after="60"/>
      <w:ind w:firstLine="0"/>
    </w:pPr>
    <w:rPr>
      <w:sz w:val="20"/>
      <w:szCs w:val="20"/>
      <w:lang w:val="es-ES"/>
    </w:rPr>
  </w:style>
  <w:style w:type="character" w:customStyle="1" w:styleId="FootnoteTextChar">
    <w:name w:val="Footnote Text Char"/>
    <w:basedOn w:val="DefaultParagraphFont"/>
    <w:link w:val="FootnoteText"/>
    <w:semiHidden/>
    <w:rsid w:val="008505CE"/>
    <w:rPr>
      <w:rFonts w:ascii="Times New Roman" w:eastAsia="Times New Roman" w:hAnsi="Times New Roman" w:cs="Times New Roman"/>
      <w:sz w:val="20"/>
      <w:szCs w:val="20"/>
      <w:lang w:val="es-ES" w:eastAsia="es-ES"/>
    </w:rPr>
  </w:style>
  <w:style w:type="character" w:styleId="FootnoteReference">
    <w:name w:val="footnote reference"/>
    <w:semiHidden/>
    <w:rsid w:val="008505CE"/>
    <w:rPr>
      <w:vertAlign w:val="superscript"/>
    </w:rPr>
  </w:style>
  <w:style w:type="paragraph" w:customStyle="1" w:styleId="notaalpia">
    <w:name w:val="notaalpia"/>
    <w:basedOn w:val="FootnoteText"/>
    <w:link w:val="notaalpiaCar"/>
    <w:rsid w:val="008505CE"/>
    <w:rPr>
      <w:rFonts w:cs="Arial"/>
      <w:sz w:val="18"/>
      <w:szCs w:val="18"/>
    </w:rPr>
  </w:style>
  <w:style w:type="character" w:customStyle="1" w:styleId="notaalpiaCar">
    <w:name w:val="notaalpia Car"/>
    <w:link w:val="notaalpia"/>
    <w:rsid w:val="008505CE"/>
    <w:rPr>
      <w:rFonts w:ascii="Times New Roman" w:eastAsia="Times New Roman" w:hAnsi="Times New Roman" w:cs="Arial"/>
      <w:sz w:val="18"/>
      <w:szCs w:val="18"/>
      <w:lang w:val="es-ES" w:eastAsia="es-ES"/>
    </w:rPr>
  </w:style>
  <w:style w:type="paragraph" w:customStyle="1" w:styleId="tabla">
    <w:name w:val="tabla"/>
    <w:basedOn w:val="Caption"/>
    <w:link w:val="tablaCar"/>
    <w:rsid w:val="008505CE"/>
    <w:rPr>
      <w:rFonts w:ascii="Arial" w:eastAsia="Times New Roman" w:hAnsi="Arial" w:cs="Arial"/>
      <w:sz w:val="18"/>
      <w:szCs w:val="18"/>
    </w:rPr>
  </w:style>
  <w:style w:type="character" w:customStyle="1" w:styleId="tablaCar">
    <w:name w:val="tabla Car"/>
    <w:link w:val="tabla"/>
    <w:rsid w:val="008505CE"/>
    <w:rPr>
      <w:rFonts w:ascii="Arial" w:eastAsia="Times New Roman" w:hAnsi="Arial" w:cs="Arial"/>
      <w:b/>
      <w:bCs/>
      <w:sz w:val="18"/>
      <w:szCs w:val="18"/>
      <w:lang w:val="es-ES" w:eastAsia="es-ES"/>
    </w:rPr>
  </w:style>
  <w:style w:type="character" w:styleId="Hyperlink">
    <w:name w:val="Hyperlink"/>
    <w:basedOn w:val="DefaultParagraphFont"/>
    <w:unhideWhenUsed/>
    <w:rsid w:val="008505CE"/>
    <w:rPr>
      <w:color w:val="0000FF" w:themeColor="hyperlink"/>
      <w:u w:val="single"/>
    </w:rPr>
  </w:style>
  <w:style w:type="paragraph" w:styleId="BalloonText">
    <w:name w:val="Balloon Text"/>
    <w:basedOn w:val="Normal"/>
    <w:link w:val="BalloonTextChar"/>
    <w:uiPriority w:val="99"/>
    <w:semiHidden/>
    <w:unhideWhenUsed/>
    <w:rsid w:val="00850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CE"/>
    <w:rPr>
      <w:rFonts w:ascii="Tahoma" w:eastAsia="Times New Roman" w:hAnsi="Tahoma" w:cs="Tahoma"/>
      <w:sz w:val="16"/>
      <w:szCs w:val="16"/>
      <w:lang w:eastAsia="es-ES"/>
    </w:rPr>
  </w:style>
  <w:style w:type="character" w:customStyle="1" w:styleId="rwrro">
    <w:name w:val="rwrro"/>
    <w:basedOn w:val="DefaultParagraphFont"/>
    <w:rsid w:val="008505CE"/>
  </w:style>
  <w:style w:type="character" w:customStyle="1" w:styleId="rwro">
    <w:name w:val="rwro"/>
    <w:basedOn w:val="DefaultParagraphFont"/>
    <w:rsid w:val="008505CE"/>
  </w:style>
  <w:style w:type="paragraph" w:styleId="ListParagraph">
    <w:name w:val="List Paragraph"/>
    <w:basedOn w:val="Normal"/>
    <w:uiPriority w:val="34"/>
    <w:qFormat/>
    <w:rsid w:val="00850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5CE"/>
    <w:pPr>
      <w:spacing w:after="120"/>
      <w:ind w:firstLine="567"/>
      <w:jc w:val="both"/>
    </w:pPr>
    <w:rPr>
      <w:rFonts w:ascii="Times New Roman" w:eastAsia="Times New Roman" w:hAnsi="Times New Roman" w:cs="Times New Roman"/>
      <w:sz w:val="24"/>
      <w:szCs w:val="24"/>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5CE"/>
    <w:pPr>
      <w:tabs>
        <w:tab w:val="center" w:pos="4513"/>
        <w:tab w:val="right" w:pos="9026"/>
      </w:tabs>
      <w:spacing w:after="0"/>
    </w:pPr>
  </w:style>
  <w:style w:type="character" w:customStyle="1" w:styleId="HeaderChar">
    <w:name w:val="Header Char"/>
    <w:basedOn w:val="DefaultParagraphFont"/>
    <w:link w:val="Header"/>
    <w:uiPriority w:val="99"/>
    <w:rsid w:val="008505CE"/>
    <w:rPr>
      <w:rFonts w:ascii="Times New Roman" w:eastAsia="Times New Roman" w:hAnsi="Times New Roman" w:cs="Times New Roman"/>
      <w:sz w:val="24"/>
      <w:szCs w:val="24"/>
      <w:lang w:eastAsia="es-ES"/>
    </w:rPr>
  </w:style>
  <w:style w:type="paragraph" w:styleId="Footer">
    <w:name w:val="footer"/>
    <w:basedOn w:val="Normal"/>
    <w:link w:val="FooterChar"/>
    <w:uiPriority w:val="99"/>
    <w:unhideWhenUsed/>
    <w:rsid w:val="008505CE"/>
    <w:pPr>
      <w:tabs>
        <w:tab w:val="center" w:pos="4513"/>
        <w:tab w:val="right" w:pos="9026"/>
      </w:tabs>
      <w:spacing w:after="0"/>
    </w:pPr>
  </w:style>
  <w:style w:type="character" w:customStyle="1" w:styleId="FooterChar">
    <w:name w:val="Footer Char"/>
    <w:basedOn w:val="DefaultParagraphFont"/>
    <w:link w:val="Footer"/>
    <w:uiPriority w:val="99"/>
    <w:rsid w:val="008505CE"/>
    <w:rPr>
      <w:rFonts w:ascii="Times New Roman" w:eastAsia="Times New Roman" w:hAnsi="Times New Roman" w:cs="Times New Roman"/>
      <w:sz w:val="24"/>
      <w:szCs w:val="24"/>
      <w:lang w:eastAsia="es-ES"/>
    </w:rPr>
  </w:style>
  <w:style w:type="paragraph" w:customStyle="1" w:styleId="Normaali1">
    <w:name w:val="Normaali1"/>
    <w:uiPriority w:val="99"/>
    <w:rsid w:val="008505CE"/>
    <w:pPr>
      <w:widowControl w:val="0"/>
      <w:adjustRightInd w:val="0"/>
      <w:spacing w:line="360" w:lineRule="auto"/>
      <w:jc w:val="both"/>
      <w:textAlignment w:val="baseline"/>
    </w:pPr>
    <w:rPr>
      <w:rFonts w:ascii="Dutch" w:eastAsia="Times New Roman" w:hAnsi="Dutch" w:cs="Times New Roman"/>
      <w:sz w:val="24"/>
      <w:szCs w:val="20"/>
      <w:lang w:val="fi-FI" w:eastAsia="fi-FI"/>
    </w:rPr>
  </w:style>
  <w:style w:type="character" w:customStyle="1" w:styleId="slug-metadata-note3">
    <w:name w:val="slug-metadata-note3"/>
    <w:basedOn w:val="DefaultParagraphFont"/>
    <w:rsid w:val="008505CE"/>
    <w:rPr>
      <w:vanish w:val="0"/>
      <w:webHidden w:val="0"/>
      <w:specVanish w:val="0"/>
    </w:rPr>
  </w:style>
  <w:style w:type="character" w:customStyle="1" w:styleId="st2">
    <w:name w:val="st2"/>
    <w:basedOn w:val="DefaultParagraphFont"/>
    <w:rsid w:val="008505CE"/>
  </w:style>
  <w:style w:type="character" w:customStyle="1" w:styleId="CaptionChar">
    <w:name w:val="Caption Char"/>
    <w:link w:val="Caption"/>
    <w:semiHidden/>
    <w:locked/>
    <w:rsid w:val="008505CE"/>
    <w:rPr>
      <w:b/>
      <w:bCs/>
      <w:lang w:val="es-ES" w:eastAsia="es-ES"/>
    </w:rPr>
  </w:style>
  <w:style w:type="paragraph" w:styleId="Caption">
    <w:name w:val="caption"/>
    <w:basedOn w:val="Normal"/>
    <w:next w:val="Normal"/>
    <w:link w:val="CaptionChar"/>
    <w:semiHidden/>
    <w:unhideWhenUsed/>
    <w:qFormat/>
    <w:rsid w:val="008505CE"/>
    <w:rPr>
      <w:rFonts w:asciiTheme="minorHAnsi" w:eastAsiaTheme="minorHAnsi" w:hAnsiTheme="minorHAnsi" w:cstheme="minorBidi"/>
      <w:b/>
      <w:bCs/>
      <w:sz w:val="22"/>
      <w:szCs w:val="22"/>
      <w:lang w:val="es-ES"/>
    </w:rPr>
  </w:style>
  <w:style w:type="paragraph" w:styleId="FootnoteText">
    <w:name w:val="footnote text"/>
    <w:basedOn w:val="Normal"/>
    <w:link w:val="FootnoteTextChar"/>
    <w:semiHidden/>
    <w:rsid w:val="008505CE"/>
    <w:pPr>
      <w:spacing w:after="60"/>
      <w:ind w:firstLine="0"/>
    </w:pPr>
    <w:rPr>
      <w:sz w:val="20"/>
      <w:szCs w:val="20"/>
      <w:lang w:val="es-ES"/>
    </w:rPr>
  </w:style>
  <w:style w:type="character" w:customStyle="1" w:styleId="FootnoteTextChar">
    <w:name w:val="Footnote Text Char"/>
    <w:basedOn w:val="DefaultParagraphFont"/>
    <w:link w:val="FootnoteText"/>
    <w:semiHidden/>
    <w:rsid w:val="008505CE"/>
    <w:rPr>
      <w:rFonts w:ascii="Times New Roman" w:eastAsia="Times New Roman" w:hAnsi="Times New Roman" w:cs="Times New Roman"/>
      <w:sz w:val="20"/>
      <w:szCs w:val="20"/>
      <w:lang w:val="es-ES" w:eastAsia="es-ES"/>
    </w:rPr>
  </w:style>
  <w:style w:type="character" w:styleId="FootnoteReference">
    <w:name w:val="footnote reference"/>
    <w:semiHidden/>
    <w:rsid w:val="008505CE"/>
    <w:rPr>
      <w:vertAlign w:val="superscript"/>
    </w:rPr>
  </w:style>
  <w:style w:type="paragraph" w:customStyle="1" w:styleId="notaalpia">
    <w:name w:val="notaalpia"/>
    <w:basedOn w:val="FootnoteText"/>
    <w:link w:val="notaalpiaCar"/>
    <w:rsid w:val="008505CE"/>
    <w:rPr>
      <w:rFonts w:cs="Arial"/>
      <w:sz w:val="18"/>
      <w:szCs w:val="18"/>
    </w:rPr>
  </w:style>
  <w:style w:type="character" w:customStyle="1" w:styleId="notaalpiaCar">
    <w:name w:val="notaalpia Car"/>
    <w:link w:val="notaalpia"/>
    <w:rsid w:val="008505CE"/>
    <w:rPr>
      <w:rFonts w:ascii="Times New Roman" w:eastAsia="Times New Roman" w:hAnsi="Times New Roman" w:cs="Arial"/>
      <w:sz w:val="18"/>
      <w:szCs w:val="18"/>
      <w:lang w:val="es-ES" w:eastAsia="es-ES"/>
    </w:rPr>
  </w:style>
  <w:style w:type="paragraph" w:customStyle="1" w:styleId="tabla">
    <w:name w:val="tabla"/>
    <w:basedOn w:val="Caption"/>
    <w:link w:val="tablaCar"/>
    <w:rsid w:val="008505CE"/>
    <w:rPr>
      <w:rFonts w:ascii="Arial" w:eastAsia="Times New Roman" w:hAnsi="Arial" w:cs="Arial"/>
      <w:sz w:val="18"/>
      <w:szCs w:val="18"/>
    </w:rPr>
  </w:style>
  <w:style w:type="character" w:customStyle="1" w:styleId="tablaCar">
    <w:name w:val="tabla Car"/>
    <w:link w:val="tabla"/>
    <w:rsid w:val="008505CE"/>
    <w:rPr>
      <w:rFonts w:ascii="Arial" w:eastAsia="Times New Roman" w:hAnsi="Arial" w:cs="Arial"/>
      <w:b/>
      <w:bCs/>
      <w:sz w:val="18"/>
      <w:szCs w:val="18"/>
      <w:lang w:val="es-ES" w:eastAsia="es-ES"/>
    </w:rPr>
  </w:style>
  <w:style w:type="character" w:styleId="Hyperlink">
    <w:name w:val="Hyperlink"/>
    <w:basedOn w:val="DefaultParagraphFont"/>
    <w:unhideWhenUsed/>
    <w:rsid w:val="008505CE"/>
    <w:rPr>
      <w:color w:val="0000FF" w:themeColor="hyperlink"/>
      <w:u w:val="single"/>
    </w:rPr>
  </w:style>
  <w:style w:type="paragraph" w:styleId="BalloonText">
    <w:name w:val="Balloon Text"/>
    <w:basedOn w:val="Normal"/>
    <w:link w:val="BalloonTextChar"/>
    <w:uiPriority w:val="99"/>
    <w:semiHidden/>
    <w:unhideWhenUsed/>
    <w:rsid w:val="008505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CE"/>
    <w:rPr>
      <w:rFonts w:ascii="Tahoma" w:eastAsia="Times New Roman" w:hAnsi="Tahoma" w:cs="Tahoma"/>
      <w:sz w:val="16"/>
      <w:szCs w:val="16"/>
      <w:lang w:eastAsia="es-ES"/>
    </w:rPr>
  </w:style>
  <w:style w:type="character" w:customStyle="1" w:styleId="rwrro">
    <w:name w:val="rwrro"/>
    <w:basedOn w:val="DefaultParagraphFont"/>
    <w:rsid w:val="008505CE"/>
  </w:style>
  <w:style w:type="character" w:customStyle="1" w:styleId="rwro">
    <w:name w:val="rwro"/>
    <w:basedOn w:val="DefaultParagraphFont"/>
    <w:rsid w:val="008505CE"/>
  </w:style>
  <w:style w:type="paragraph" w:styleId="ListParagraph">
    <w:name w:val="List Paragraph"/>
    <w:basedOn w:val="Normal"/>
    <w:uiPriority w:val="34"/>
    <w:qFormat/>
    <w:rsid w:val="00850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8.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footer" Target="footer1.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7.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image" Target="media/image23.wmf"/><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image" Target="media/image19.wmf"/><Relationship Id="rId57" Type="http://schemas.openxmlformats.org/officeDocument/2006/relationships/oleObject" Target="embeddings/oleObject25.bin"/><Relationship Id="rId61" Type="http://schemas.openxmlformats.org/officeDocument/2006/relationships/oleObject" Target="embeddings/oleObject28.bin"/><Relationship Id="rId10" Type="http://schemas.openxmlformats.org/officeDocument/2006/relationships/hyperlink" Target="mailto:timo.tohmo@jyu.fi" TargetMode="Externa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28.wmf"/><Relationship Id="rId4" Type="http://schemas.microsoft.com/office/2007/relationships/stylesWithEffects" Target="stylesWithEffects.xml"/><Relationship Id="rId9" Type="http://schemas.openxmlformats.org/officeDocument/2006/relationships/hyperlink" Target="mailto:tony.flegg@uwe.ac.uk"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0.bin"/><Relationship Id="rId56" Type="http://schemas.openxmlformats.org/officeDocument/2006/relationships/image" Target="media/image22.wmf"/><Relationship Id="rId64" Type="http://schemas.openxmlformats.org/officeDocument/2006/relationships/image" Target="media/image25.wmf"/><Relationship Id="rId69" Type="http://schemas.openxmlformats.org/officeDocument/2006/relationships/image" Target="media/image26.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2.bin"/><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oleObject" Target="embeddings/oleObject23.bin"/><Relationship Id="rId62"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BFA8-7053-47EB-B314-9D46C26B7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8870</Words>
  <Characters>50562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10</cp:revision>
  <cp:lastPrinted>2016-05-11T19:57:00Z</cp:lastPrinted>
  <dcterms:created xsi:type="dcterms:W3CDTF">2016-05-13T16:28:00Z</dcterms:created>
  <dcterms:modified xsi:type="dcterms:W3CDTF">2016-05-13T16:51:00Z</dcterms:modified>
</cp:coreProperties>
</file>