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79" w:rsidRPr="00634466" w:rsidRDefault="00992379" w:rsidP="004F15CB">
      <w:pPr>
        <w:spacing w:line="276" w:lineRule="auto"/>
        <w:jc w:val="center"/>
        <w:rPr>
          <w:b/>
          <w:sz w:val="28"/>
        </w:rPr>
      </w:pPr>
      <w:r w:rsidRPr="00634466">
        <w:rPr>
          <w:b/>
          <w:sz w:val="28"/>
        </w:rPr>
        <w:t>Beyond Intermediates: The Role of Consumption and Commuting in the Construction of Local Input-Output Tables</w:t>
      </w:r>
    </w:p>
    <w:p w:rsidR="00992379" w:rsidRPr="00634466" w:rsidRDefault="00992379" w:rsidP="004F15CB">
      <w:pPr>
        <w:spacing w:line="276" w:lineRule="auto"/>
      </w:pPr>
    </w:p>
    <w:p w:rsidR="003E6061" w:rsidRPr="00634466" w:rsidRDefault="003E6061" w:rsidP="004F15CB">
      <w:pPr>
        <w:spacing w:line="276" w:lineRule="auto"/>
      </w:pPr>
    </w:p>
    <w:p w:rsidR="004F15CB" w:rsidRPr="00634466" w:rsidRDefault="004F15CB" w:rsidP="004F15CB">
      <w:pPr>
        <w:spacing w:line="276" w:lineRule="auto"/>
      </w:pPr>
    </w:p>
    <w:p w:rsidR="00992379" w:rsidRPr="00634466" w:rsidRDefault="004F15CB" w:rsidP="004F15CB">
      <w:pPr>
        <w:spacing w:line="276" w:lineRule="auto"/>
        <w:jc w:val="center"/>
      </w:pPr>
      <w:r w:rsidRPr="00634466">
        <w:t>Kristinn Hermannsson</w:t>
      </w:r>
    </w:p>
    <w:p w:rsidR="004F15CB" w:rsidRPr="00634466" w:rsidRDefault="004F15CB" w:rsidP="004F15CB">
      <w:pPr>
        <w:spacing w:line="276" w:lineRule="auto"/>
        <w:jc w:val="center"/>
      </w:pPr>
      <w:r w:rsidRPr="00634466">
        <w:t xml:space="preserve">School of Education, University of Glasgow, </w:t>
      </w:r>
    </w:p>
    <w:p w:rsidR="00482C10" w:rsidRPr="00634466" w:rsidRDefault="004F15CB" w:rsidP="004F15CB">
      <w:pPr>
        <w:spacing w:line="276" w:lineRule="auto"/>
        <w:jc w:val="center"/>
      </w:pPr>
      <w:r w:rsidRPr="00634466">
        <w:t xml:space="preserve">St Andrews Building, 11 Eldon Street, </w:t>
      </w:r>
    </w:p>
    <w:p w:rsidR="00482C10" w:rsidRPr="00634466" w:rsidRDefault="00482C10" w:rsidP="004F15CB">
      <w:pPr>
        <w:spacing w:line="276" w:lineRule="auto"/>
        <w:jc w:val="center"/>
      </w:pPr>
      <w:r w:rsidRPr="00634466">
        <w:t>Glasgow G3 6NH, UK</w:t>
      </w:r>
      <w:r w:rsidR="004F15CB" w:rsidRPr="00634466">
        <w:t xml:space="preserve"> </w:t>
      </w:r>
    </w:p>
    <w:p w:rsidR="004F15CB" w:rsidRPr="00634466" w:rsidRDefault="004F15CB" w:rsidP="004F15CB">
      <w:pPr>
        <w:spacing w:line="276" w:lineRule="auto"/>
        <w:jc w:val="center"/>
      </w:pPr>
      <w:r w:rsidRPr="00634466">
        <w:t>Tel: +44 (0) 141 330 2210.</w:t>
      </w:r>
      <w:r w:rsidRPr="00634466">
        <w:br/>
      </w:r>
      <w:hyperlink r:id="rId8" w:history="1">
        <w:r w:rsidRPr="00634466">
          <w:rPr>
            <w:rStyle w:val="Hyperlink"/>
          </w:rPr>
          <w:t>Kristinn.hermannsson@glasgow.ac.uk</w:t>
        </w:r>
      </w:hyperlink>
    </w:p>
    <w:p w:rsidR="00992379" w:rsidRPr="00634466" w:rsidRDefault="00992379" w:rsidP="004F15CB">
      <w:pPr>
        <w:spacing w:line="276" w:lineRule="auto"/>
      </w:pPr>
    </w:p>
    <w:p w:rsidR="004F15CB" w:rsidRPr="00634466" w:rsidRDefault="004F15CB" w:rsidP="004F15CB">
      <w:pPr>
        <w:spacing w:line="276" w:lineRule="auto"/>
      </w:pPr>
    </w:p>
    <w:p w:rsidR="004F15CB" w:rsidRPr="00634466" w:rsidRDefault="004F15CB" w:rsidP="004F15CB">
      <w:pPr>
        <w:spacing w:line="276" w:lineRule="auto"/>
      </w:pPr>
    </w:p>
    <w:p w:rsidR="004F15CB" w:rsidRPr="00634466" w:rsidRDefault="004F15CB" w:rsidP="004F15CB">
      <w:pPr>
        <w:spacing w:line="276" w:lineRule="auto"/>
      </w:pPr>
    </w:p>
    <w:p w:rsidR="00992379" w:rsidRPr="00634466" w:rsidRDefault="00992379" w:rsidP="004F15CB">
      <w:pPr>
        <w:spacing w:line="276" w:lineRule="auto"/>
        <w:rPr>
          <w:b/>
        </w:rPr>
      </w:pPr>
      <w:r w:rsidRPr="00634466">
        <w:rPr>
          <w:b/>
        </w:rPr>
        <w:t>Abstract</w:t>
      </w:r>
    </w:p>
    <w:p w:rsidR="00992379" w:rsidRPr="00634466" w:rsidRDefault="00992379" w:rsidP="004F15CB">
      <w:pPr>
        <w:spacing w:line="276" w:lineRule="auto"/>
      </w:pPr>
      <w:r w:rsidRPr="00634466">
        <w:t>Estimating intermediate trade using non-survey methods produces biased results. This has led to a methodological recommend</w:t>
      </w:r>
      <w:r w:rsidR="00C0462C" w:rsidRPr="00634466">
        <w:t xml:space="preserve">ation which emphasises </w:t>
      </w:r>
      <w:r w:rsidRPr="00634466">
        <w:t>the accurate estimation of intermediate trade flows. This paper argues for a qualification of the consensus view: When simulating IO tables, construction approaches need also to consider spill-over effects driven by wage and consumption flows. In particular for metropolitan economies, wage and consumption flows are im</w:t>
      </w:r>
      <w:r w:rsidR="008A521D">
        <w:t xml:space="preserve">portant to obtain accurate Type </w:t>
      </w:r>
      <w:r w:rsidRPr="00634466">
        <w:t>II multipliers. This is demonstrated by constructing an interregional Input-Output table, which captures the interdependence between a city and its commuter belt, nested within the wider regional economy.</w:t>
      </w:r>
    </w:p>
    <w:p w:rsidR="00992379" w:rsidRPr="00634466" w:rsidRDefault="00992379" w:rsidP="004F15CB">
      <w:pPr>
        <w:spacing w:line="276" w:lineRule="auto"/>
      </w:pPr>
    </w:p>
    <w:p w:rsidR="00992379" w:rsidRPr="00634466" w:rsidRDefault="00992379" w:rsidP="004F15CB">
      <w:pPr>
        <w:spacing w:line="276" w:lineRule="auto"/>
      </w:pPr>
      <w:r w:rsidRPr="00634466">
        <w:rPr>
          <w:b/>
        </w:rPr>
        <w:t>JEL Codes:</w:t>
      </w:r>
      <w:r w:rsidRPr="00634466">
        <w:t xml:space="preserve"> C67; R12; R15; R23.</w:t>
      </w:r>
    </w:p>
    <w:p w:rsidR="00515A62" w:rsidRPr="00634466" w:rsidRDefault="00992379" w:rsidP="004F15CB">
      <w:pPr>
        <w:spacing w:line="276" w:lineRule="auto"/>
      </w:pPr>
      <w:r w:rsidRPr="00634466">
        <w:rPr>
          <w:b/>
        </w:rPr>
        <w:t>Keywords:</w:t>
      </w:r>
      <w:r w:rsidR="006B4410" w:rsidRPr="00634466">
        <w:t xml:space="preserve"> Input </w:t>
      </w:r>
      <w:r w:rsidRPr="00634466">
        <w:t>Output; Location Quotients; Commuting; Consumption; Glasgow; Scotland.</w:t>
      </w:r>
    </w:p>
    <w:p w:rsidR="004F15CB" w:rsidRPr="00634466" w:rsidRDefault="004F15CB" w:rsidP="004F15CB">
      <w:pPr>
        <w:spacing w:line="276" w:lineRule="auto"/>
      </w:pPr>
    </w:p>
    <w:p w:rsidR="00482C10" w:rsidRPr="00634466" w:rsidRDefault="00482C10" w:rsidP="004F15CB">
      <w:pPr>
        <w:spacing w:line="276" w:lineRule="auto"/>
      </w:pPr>
    </w:p>
    <w:p w:rsidR="004F15CB" w:rsidRPr="00634466" w:rsidRDefault="004F15CB" w:rsidP="004F15CB">
      <w:pPr>
        <w:spacing w:line="276" w:lineRule="auto"/>
      </w:pPr>
    </w:p>
    <w:p w:rsidR="004F15CB" w:rsidRPr="00634466" w:rsidRDefault="004F15CB" w:rsidP="004F15CB">
      <w:pPr>
        <w:spacing w:line="276" w:lineRule="auto"/>
      </w:pPr>
    </w:p>
    <w:p w:rsidR="004F15CB" w:rsidRPr="00634466" w:rsidRDefault="004F15CB" w:rsidP="004F15CB">
      <w:pPr>
        <w:spacing w:line="276" w:lineRule="auto"/>
      </w:pPr>
    </w:p>
    <w:p w:rsidR="004F15CB" w:rsidRPr="00634466" w:rsidRDefault="004F15CB" w:rsidP="004F15CB">
      <w:pPr>
        <w:spacing w:line="276" w:lineRule="auto"/>
      </w:pPr>
    </w:p>
    <w:p w:rsidR="008E26B4" w:rsidRPr="00634466" w:rsidRDefault="004F15CB" w:rsidP="004F15CB">
      <w:pPr>
        <w:spacing w:line="276" w:lineRule="auto"/>
        <w:sectPr w:rsidR="008E26B4" w:rsidRPr="00634466">
          <w:pgSz w:w="11906" w:h="16838"/>
          <w:pgMar w:top="1440" w:right="1440" w:bottom="1440" w:left="1440" w:header="708" w:footer="708" w:gutter="0"/>
          <w:cols w:space="708"/>
          <w:docGrid w:linePitch="360"/>
        </w:sectPr>
      </w:pPr>
      <w:r w:rsidRPr="00634466">
        <w:rPr>
          <w:b/>
        </w:rPr>
        <w:t xml:space="preserve">Acknowledgments: </w:t>
      </w:r>
      <w:r w:rsidRPr="00634466">
        <w:t xml:space="preserve">I am grateful to Kim Swales, Peter McGregor, </w:t>
      </w:r>
      <w:proofErr w:type="spellStart"/>
      <w:r w:rsidRPr="00634466">
        <w:t>Björn</w:t>
      </w:r>
      <w:proofErr w:type="spellEnd"/>
      <w:r w:rsidRPr="00634466">
        <w:t xml:space="preserve"> </w:t>
      </w:r>
      <w:proofErr w:type="spellStart"/>
      <w:r w:rsidRPr="00634466">
        <w:t>Hårsman</w:t>
      </w:r>
      <w:proofErr w:type="spellEnd"/>
      <w:r w:rsidRPr="00634466">
        <w:t xml:space="preserve"> and Robert Wright who all provided comments on an earlier version of the manuscript. Furthermore, I acknowledge the contribution of participants at the </w:t>
      </w:r>
      <w:r w:rsidR="003E6061" w:rsidRPr="00634466">
        <w:t>41</w:t>
      </w:r>
      <w:r w:rsidR="003E6061" w:rsidRPr="00634466">
        <w:rPr>
          <w:vertAlign w:val="superscript"/>
        </w:rPr>
        <w:t>st</w:t>
      </w:r>
      <w:r w:rsidR="003E6061" w:rsidRPr="00634466">
        <w:t xml:space="preserve"> </w:t>
      </w:r>
      <w:r w:rsidR="00FF0C5C" w:rsidRPr="00634466">
        <w:t xml:space="preserve">annual </w:t>
      </w:r>
      <w:r w:rsidRPr="00634466">
        <w:t>conference of the Regional Science Association – British</w:t>
      </w:r>
      <w:r w:rsidR="00FF0C5C" w:rsidRPr="00634466">
        <w:t xml:space="preserve"> and Irish Section in Galway. I am particularly grateful for the detailed comments of </w:t>
      </w:r>
      <w:r w:rsidRPr="00634466">
        <w:t xml:space="preserve">3 anonymous reviewers and the editors. </w:t>
      </w:r>
    </w:p>
    <w:p w:rsidR="008E26B4" w:rsidRPr="00634466" w:rsidRDefault="008E26B4" w:rsidP="008E26B4">
      <w:pPr>
        <w:pStyle w:val="Heading1"/>
        <w:numPr>
          <w:ilvl w:val="0"/>
          <w:numId w:val="6"/>
        </w:numPr>
        <w:spacing w:line="480" w:lineRule="auto"/>
      </w:pPr>
      <w:bookmarkStart w:id="0" w:name="_Ref402863039"/>
      <w:r w:rsidRPr="00634466">
        <w:lastRenderedPageBreak/>
        <w:t>Introduction</w:t>
      </w:r>
      <w:bookmarkEnd w:id="0"/>
    </w:p>
    <w:p w:rsidR="004C7B55" w:rsidRPr="00634466" w:rsidRDefault="008861D5" w:rsidP="008861D5">
      <w:pPr>
        <w:spacing w:line="480" w:lineRule="auto"/>
      </w:pPr>
      <w:r w:rsidRPr="00634466">
        <w:t xml:space="preserve">Input-Output (IO) tables offer a variety of applications and are frequently used as inputs for other modelling approaches. The best IO tables are produced based on extensive surveying by statistical agencies. </w:t>
      </w:r>
      <w:r w:rsidR="009D7EFA" w:rsidRPr="00634466">
        <w:t xml:space="preserve">However, </w:t>
      </w:r>
      <w:r w:rsidRPr="00634466">
        <w:t xml:space="preserve">an </w:t>
      </w:r>
      <w:r w:rsidR="00C0462C" w:rsidRPr="00634466">
        <w:t>IO</w:t>
      </w:r>
      <w:r w:rsidRPr="00634466">
        <w:t xml:space="preserve"> table is</w:t>
      </w:r>
      <w:r w:rsidR="009D7EFA" w:rsidRPr="00634466">
        <w:t xml:space="preserve"> often</w:t>
      </w:r>
      <w:r w:rsidRPr="00634466">
        <w:t xml:space="preserve"> not available for a desired geographic unit and h</w:t>
      </w:r>
      <w:r w:rsidR="0033456E" w:rsidRPr="00634466">
        <w:t>a</w:t>
      </w:r>
      <w:r w:rsidR="00B75C18" w:rsidRPr="00634466">
        <w:t>s to be simulated. Many authors are critical of non-survey methods for this task (e.g. Harris &amp; Liu</w:t>
      </w:r>
      <w:r w:rsidR="00D9420A">
        <w:t>,</w:t>
      </w:r>
      <w:r w:rsidR="00B75C18" w:rsidRPr="00634466">
        <w:t xml:space="preserve"> 1998)</w:t>
      </w:r>
      <w:r w:rsidR="00C0462C" w:rsidRPr="00634466">
        <w:t xml:space="preserve">. </w:t>
      </w:r>
      <w:r w:rsidR="00A524A3">
        <w:t>H</w:t>
      </w:r>
      <w:r w:rsidR="004C7B55" w:rsidRPr="00634466">
        <w:t>ybrid methods</w:t>
      </w:r>
      <w:r w:rsidR="00A524A3">
        <w:t xml:space="preserve"> are favoured</w:t>
      </w:r>
      <w:r w:rsidR="004C7B55" w:rsidRPr="00634466">
        <w:t xml:space="preserve"> as they retain</w:t>
      </w:r>
      <w:r w:rsidRPr="00634466">
        <w:t xml:space="preserve"> signifi</w:t>
      </w:r>
      <w:r w:rsidR="0033456E" w:rsidRPr="00634466">
        <w:t>cant accuracy while requiring</w:t>
      </w:r>
      <w:r w:rsidRPr="00634466">
        <w:t xml:space="preserve"> less primary data collection than full surveying (Lahr, 1993)</w:t>
      </w:r>
      <w:r w:rsidR="0033456E" w:rsidRPr="00634466">
        <w:t>.</w:t>
      </w:r>
      <w:r w:rsidRPr="00634466">
        <w:t xml:space="preserve"> Although thoughtful streamlining of data requirements reduces the cost of hybrid approaches (</w:t>
      </w:r>
      <w:proofErr w:type="spellStart"/>
      <w:r w:rsidRPr="00634466">
        <w:t>Boomsma</w:t>
      </w:r>
      <w:proofErr w:type="spellEnd"/>
      <w:r w:rsidRPr="00634466">
        <w:t xml:space="preserve"> &amp; </w:t>
      </w:r>
      <w:proofErr w:type="spellStart"/>
      <w:r w:rsidRPr="00634466">
        <w:t>Oosterhaven</w:t>
      </w:r>
      <w:proofErr w:type="spellEnd"/>
      <w:r w:rsidRPr="00634466">
        <w:t>, 1992), conducting surveys and consulting industry experts requires non-trivial resources</w:t>
      </w:r>
      <w:r w:rsidRPr="00634466">
        <w:rPr>
          <w:rStyle w:val="FootnoteReference"/>
        </w:rPr>
        <w:footnoteReference w:id="1"/>
      </w:r>
      <w:r w:rsidRPr="00634466">
        <w:t xml:space="preserve">. Therefore practitioners often </w:t>
      </w:r>
      <w:r w:rsidR="0033456E" w:rsidRPr="00634466">
        <w:t xml:space="preserve">fall back on non-survey </w:t>
      </w:r>
      <w:r w:rsidRPr="00634466">
        <w:t xml:space="preserve">methods such as Location Quotients (LQs). </w:t>
      </w:r>
      <w:r w:rsidR="00E14DAF" w:rsidRPr="00634466">
        <w:t>Given this</w:t>
      </w:r>
      <w:r w:rsidRPr="00634466">
        <w:t xml:space="preserve"> requirement for local</w:t>
      </w:r>
      <w:r w:rsidR="008A521D">
        <w:t xml:space="preserve"> IO </w:t>
      </w:r>
      <w:r w:rsidR="00E14DAF" w:rsidRPr="00634466">
        <w:t>tables on limited resources</w:t>
      </w:r>
      <w:r w:rsidRPr="00634466">
        <w:t xml:space="preserve"> it is useful to refine the use of LQs.</w:t>
      </w:r>
      <w:r w:rsidR="00A524A3">
        <w:t xml:space="preserve"> </w:t>
      </w:r>
      <w:proofErr w:type="gramStart"/>
      <w:r w:rsidR="00A524A3">
        <w:t>Hitherto,</w:t>
      </w:r>
      <w:proofErr w:type="gramEnd"/>
      <w:r w:rsidR="00A524A3">
        <w:t xml:space="preserve"> most such efforts have focussed</w:t>
      </w:r>
      <w:r w:rsidR="00C0462C" w:rsidRPr="00634466">
        <w:t xml:space="preserve"> on</w:t>
      </w:r>
      <w:r w:rsidR="00D2675A" w:rsidRPr="00634466">
        <w:t xml:space="preserve"> trade</w:t>
      </w:r>
      <w:r w:rsidR="0074426D" w:rsidRPr="00634466">
        <w:t xml:space="preserve">. </w:t>
      </w:r>
      <w:r w:rsidR="00A524A3">
        <w:t>However, g</w:t>
      </w:r>
      <w:r w:rsidR="0063088F" w:rsidRPr="00634466">
        <w:t>iven the prominent share of consumption in final demand th</w:t>
      </w:r>
      <w:r w:rsidR="0074426D" w:rsidRPr="00634466">
        <w:t>is is</w:t>
      </w:r>
      <w:r w:rsidR="00D2675A" w:rsidRPr="00634466">
        <w:t xml:space="preserve"> incomplete</w:t>
      </w:r>
      <w:r w:rsidR="00A524A3">
        <w:t>. In particular when applied</w:t>
      </w:r>
      <w:r w:rsidR="00C0462C" w:rsidRPr="00634466">
        <w:t xml:space="preserve"> to</w:t>
      </w:r>
      <w:r w:rsidRPr="00634466">
        <w:t xml:space="preserve"> smaller </w:t>
      </w:r>
      <w:r w:rsidR="00D9420A">
        <w:t>spatial</w:t>
      </w:r>
      <w:r w:rsidRPr="00634466">
        <w:t xml:space="preserve"> scales</w:t>
      </w:r>
      <w:r w:rsidR="00C0462C" w:rsidRPr="00634466">
        <w:t>, where</w:t>
      </w:r>
      <w:r w:rsidRPr="00634466">
        <w:t xml:space="preserve"> interregional</w:t>
      </w:r>
      <w:r w:rsidR="00A524A3">
        <w:t xml:space="preserve"> wage and consumption flows </w:t>
      </w:r>
      <w:r w:rsidRPr="00634466">
        <w:t>play an important role</w:t>
      </w:r>
      <w:r w:rsidR="0033456E" w:rsidRPr="00634466">
        <w:t xml:space="preserve">, </w:t>
      </w:r>
      <w:r w:rsidR="00A524A3">
        <w:t>whether in rural (Roberts, 2003) or</w:t>
      </w:r>
      <w:r w:rsidR="0033456E" w:rsidRPr="00634466">
        <w:t xml:space="preserve"> metropolitan settings (Hewings et al, 2001).</w:t>
      </w:r>
    </w:p>
    <w:p w:rsidR="0033456E" w:rsidRPr="00634466" w:rsidRDefault="0033456E" w:rsidP="008861D5">
      <w:pPr>
        <w:spacing w:line="480" w:lineRule="auto"/>
      </w:pPr>
    </w:p>
    <w:p w:rsidR="008861D5" w:rsidRPr="00634466" w:rsidRDefault="008861D5" w:rsidP="008861D5">
      <w:pPr>
        <w:spacing w:line="480" w:lineRule="auto"/>
      </w:pPr>
      <w:r w:rsidRPr="00634466">
        <w:t xml:space="preserve">This paper explores the relative importance of interregional wage and consumption flows as driven by commuting and shopping trips. To examine this issue an interregional </w:t>
      </w:r>
      <w:r w:rsidR="00D2675A" w:rsidRPr="00634466">
        <w:t>IO</w:t>
      </w:r>
      <w:r w:rsidRPr="00634466">
        <w:t xml:space="preserve"> table is constructed for Scotland's largest city Glasgow, its commuter belt and the rest of the regional economy, based on the official Scottish IO tables. This is carried out using an LQ approach, which is augmented with secondary data. Sensitivity analysis reveals the relative importance of specifying interregional wage and consumption flows at the metropolitan level. The results support the emphasis on accurately specifying intermediate trade, but suggest that accounting for wage and consumption flows is also i</w:t>
      </w:r>
      <w:r w:rsidR="008A521D">
        <w:t xml:space="preserve">mportant when working with Type </w:t>
      </w:r>
      <w:r w:rsidRPr="00634466">
        <w:t>II multipliers at a sub-regional scale.</w:t>
      </w:r>
    </w:p>
    <w:p w:rsidR="008861D5" w:rsidRPr="00634466" w:rsidRDefault="008861D5" w:rsidP="008861D5">
      <w:pPr>
        <w:spacing w:line="480" w:lineRule="auto"/>
      </w:pPr>
    </w:p>
    <w:p w:rsidR="008861D5" w:rsidRPr="00634466" w:rsidRDefault="008861D5" w:rsidP="008861D5">
      <w:pPr>
        <w:spacing w:line="480" w:lineRule="auto"/>
      </w:pPr>
      <w:r w:rsidRPr="00634466">
        <w:t>The paper is structured as follows. The next section introduces the literature on estimating IO tables. The third section describes the Glasgow metropolitan economy and its interdependence with the rest of Scotland. The fourth section explains the construction of the baseline IO table. In the fifth section a sensitivity analysis is carried out where the table is re-estimated based on a range of assumptions about intermediate trade and wage and consumption flows. The sixth section concludes.</w:t>
      </w:r>
    </w:p>
    <w:p w:rsidR="008E26B4" w:rsidRPr="00634466" w:rsidRDefault="008E26B4" w:rsidP="008E26B4">
      <w:pPr>
        <w:pStyle w:val="Heading1"/>
        <w:numPr>
          <w:ilvl w:val="0"/>
          <w:numId w:val="6"/>
        </w:numPr>
        <w:spacing w:line="480" w:lineRule="auto"/>
      </w:pPr>
      <w:bookmarkStart w:id="1" w:name="_Ref424067237"/>
      <w:r w:rsidRPr="00634466">
        <w:t>Non survey and partial-survey methods for construction of Input-Output tables</w:t>
      </w:r>
      <w:bookmarkEnd w:id="1"/>
    </w:p>
    <w:p w:rsidR="0033456E" w:rsidRPr="00634466" w:rsidRDefault="00BD7929" w:rsidP="00BD7929">
      <w:pPr>
        <w:spacing w:line="480" w:lineRule="auto"/>
      </w:pPr>
      <w:r w:rsidRPr="00634466">
        <w:t>Where an Input-Output table is not available, one can be simulated using hybrid (partial-survey) approaches or non-survey approaches, such as location quotients. A comprehensive overview is provided in Mille</w:t>
      </w:r>
      <w:r w:rsidR="00B32C2C" w:rsidRPr="00634466">
        <w:t>r &amp; Blair (2009, Chapters 7-8).</w:t>
      </w:r>
      <w:r w:rsidR="00982F80" w:rsidRPr="00634466">
        <w:t xml:space="preserve"> When u</w:t>
      </w:r>
      <w:r w:rsidRPr="00634466">
        <w:t>sing Location Quotients (LQs), regional input coefficients are calculated as</w:t>
      </w:r>
    </w:p>
    <w:p w:rsidR="00DB1993" w:rsidRPr="00634466" w:rsidRDefault="00DB1993" w:rsidP="00DB1993">
      <w:pPr>
        <w:tabs>
          <w:tab w:val="center" w:pos="4536"/>
          <w:tab w:val="right" w:pos="9072"/>
        </w:tabs>
        <w:spacing w:line="480" w:lineRule="auto"/>
      </w:pPr>
      <w:r w:rsidRPr="00634466">
        <w:tab/>
      </w: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RR</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NR</m:t>
            </m:r>
          </m:sup>
        </m:sSubSup>
        <m:r>
          <w:rPr>
            <w:rFonts w:ascii="Cambria Math" w:hAnsi="Cambria Math"/>
          </w:rPr>
          <m:t>×</m:t>
        </m:r>
        <m:sSubSup>
          <m:sSubSupPr>
            <m:ctrlPr>
              <w:rPr>
                <w:rFonts w:ascii="Cambria Math" w:hAnsi="Cambria Math"/>
                <w:i/>
              </w:rPr>
            </m:ctrlPr>
          </m:sSubSupPr>
          <m:e>
            <m:r>
              <w:rPr>
                <w:rFonts w:ascii="Cambria Math" w:hAnsi="Cambria Math"/>
              </w:rPr>
              <m:t>LQ</m:t>
            </m:r>
          </m:e>
          <m:sub>
            <m:r>
              <w:rPr>
                <w:rFonts w:ascii="Cambria Math" w:hAnsi="Cambria Math"/>
              </w:rPr>
              <m:t>ij</m:t>
            </m:r>
          </m:sub>
          <m:sup>
            <m:r>
              <w:rPr>
                <w:rFonts w:ascii="Cambria Math" w:hAnsi="Cambria Math"/>
              </w:rPr>
              <m:t>R</m:t>
            </m:r>
          </m:sup>
        </m:sSubSup>
      </m:oMath>
      <w:r w:rsidRPr="00634466">
        <w:rPr>
          <w:rFonts w:eastAsiaTheme="minorEastAsia"/>
        </w:rPr>
        <w:tab/>
        <w:t>(1)</w:t>
      </w:r>
    </w:p>
    <w:p w:rsidR="00BD7929" w:rsidRPr="00634466" w:rsidRDefault="00BD7929" w:rsidP="00BD7929">
      <w:pPr>
        <w:spacing w:line="480" w:lineRule="auto"/>
      </w:pPr>
      <w:r w:rsidRPr="00634466">
        <w:rPr>
          <w:rFonts w:eastAsiaTheme="minorEastAsia"/>
        </w:rPr>
        <w:t xml:space="preserve">where </w:t>
      </w: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NR</m:t>
            </m:r>
          </m:sup>
        </m:sSubSup>
      </m:oMath>
      <w:r w:rsidRPr="00634466">
        <w:rPr>
          <w:rFonts w:eastAsiaTheme="minorEastAsia"/>
        </w:rPr>
        <w:t xml:space="preserve"> is the input coefficient determining the intermediate input requirement for sector j in Region R from sector i in the whole of the national economy N and </w:t>
      </w:r>
      <m:oMath>
        <m:sSubSup>
          <m:sSubSupPr>
            <m:ctrlPr>
              <w:rPr>
                <w:rFonts w:ascii="Cambria Math" w:hAnsi="Cambria Math"/>
                <w:i/>
              </w:rPr>
            </m:ctrlPr>
          </m:sSubSupPr>
          <m:e>
            <m:r>
              <w:rPr>
                <w:rFonts w:ascii="Cambria Math" w:hAnsi="Cambria Math"/>
              </w:rPr>
              <m:t>LQ</m:t>
            </m:r>
          </m:e>
          <m:sub>
            <m:r>
              <w:rPr>
                <w:rFonts w:ascii="Cambria Math" w:hAnsi="Cambria Math"/>
              </w:rPr>
              <m:t>ij</m:t>
            </m:r>
          </m:sub>
          <m:sup>
            <m:r>
              <w:rPr>
                <w:rFonts w:ascii="Cambria Math" w:hAnsi="Cambria Math"/>
              </w:rPr>
              <m:t>R</m:t>
            </m:r>
          </m:sup>
        </m:sSubSup>
      </m:oMath>
      <w:r w:rsidRPr="00634466">
        <w:rPr>
          <w:rFonts w:eastAsiaTheme="minorEastAsia"/>
        </w:rPr>
        <w:t xml:space="preserve"> is a location quotient</w:t>
      </w:r>
      <w:r w:rsidR="004522A9" w:rsidRPr="00634466">
        <w:rPr>
          <w:rStyle w:val="FootnoteReference"/>
          <w:rFonts w:eastAsiaTheme="minorEastAsia"/>
        </w:rPr>
        <w:footnoteReference w:id="2"/>
      </w:r>
      <w:r w:rsidR="004522A9" w:rsidRPr="00634466">
        <w:rPr>
          <w:rFonts w:eastAsiaTheme="minorEastAsia"/>
        </w:rPr>
        <w:t xml:space="preserve">. However, when </w:t>
      </w:r>
      <m:oMath>
        <m:sSubSup>
          <m:sSubSupPr>
            <m:ctrlPr>
              <w:rPr>
                <w:rFonts w:ascii="Cambria Math" w:hAnsi="Cambria Math"/>
                <w:i/>
              </w:rPr>
            </m:ctrlPr>
          </m:sSubSupPr>
          <m:e>
            <m:r>
              <w:rPr>
                <w:rFonts w:ascii="Cambria Math" w:hAnsi="Cambria Math"/>
              </w:rPr>
              <m:t>LQ</m:t>
            </m:r>
          </m:e>
          <m:sub>
            <m:r>
              <w:rPr>
                <w:rFonts w:ascii="Cambria Math" w:hAnsi="Cambria Math"/>
              </w:rPr>
              <m:t>ij</m:t>
            </m:r>
          </m:sub>
          <m:sup>
            <m:r>
              <w:rPr>
                <w:rFonts w:ascii="Cambria Math" w:hAnsi="Cambria Math"/>
              </w:rPr>
              <m:t>R</m:t>
            </m:r>
          </m:sup>
        </m:sSubSup>
        <m:r>
          <w:rPr>
            <w:rFonts w:ascii="Cambria Math" w:eastAsiaTheme="minorEastAsia" w:hAnsi="Cambria Math"/>
          </w:rPr>
          <m:t>&gt;1</m:t>
        </m:r>
      </m:oMath>
      <w:r w:rsidR="004522A9" w:rsidRPr="00634466">
        <w:t xml:space="preserve"> </w:t>
      </w:r>
      <w:r w:rsidR="004522A9" w:rsidRPr="00634466">
        <w:rPr>
          <w:rFonts w:eastAsiaTheme="minorEastAsia"/>
        </w:rPr>
        <w:t xml:space="preserve">no adjustment is made so </w:t>
      </w:r>
      <w:proofErr w:type="gramStart"/>
      <w:r w:rsidR="004522A9" w:rsidRPr="00634466">
        <w:rPr>
          <w:rFonts w:eastAsiaTheme="minorEastAsia"/>
        </w:rPr>
        <w:t xml:space="preserve">that </w:t>
      </w:r>
      <m:oMath>
        <w:proofErr w:type="gramEnd"/>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RR</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NR</m:t>
            </m:r>
          </m:sup>
        </m:sSubSup>
      </m:oMath>
      <w:r w:rsidRPr="00634466">
        <w:rPr>
          <w:rFonts w:eastAsiaTheme="minorEastAsia"/>
        </w:rPr>
        <w:t xml:space="preserve">. </w:t>
      </w:r>
      <w:r w:rsidRPr="00634466">
        <w:t xml:space="preserve">The basic idea is captured in the </w:t>
      </w:r>
      <w:bookmarkStart w:id="2" w:name="_Toc196023719"/>
      <w:bookmarkStart w:id="3" w:name="_Toc206215717"/>
      <w:bookmarkStart w:id="4" w:name="_Toc224371052"/>
      <w:r w:rsidRPr="00634466">
        <w:t>Simple Location Quotient</w:t>
      </w:r>
      <w:bookmarkEnd w:id="2"/>
      <w:r w:rsidRPr="00634466">
        <w:t xml:space="preserve"> (SLQ)</w:t>
      </w:r>
      <w:bookmarkEnd w:id="3"/>
      <w:bookmarkEnd w:id="4"/>
      <w:r w:rsidRPr="00634466">
        <w:t xml:space="preserve">, which is defined for sector </w:t>
      </w:r>
      <w:proofErr w:type="spellStart"/>
      <w:r w:rsidRPr="00634466">
        <w:t>i</w:t>
      </w:r>
      <w:proofErr w:type="spellEnd"/>
      <w:r w:rsidRPr="00634466">
        <w:t xml:space="preserve"> in region R is as:</w:t>
      </w:r>
    </w:p>
    <w:p w:rsidR="00BE533F" w:rsidRPr="00634466" w:rsidRDefault="00BE533F" w:rsidP="00BE533F">
      <w:pPr>
        <w:tabs>
          <w:tab w:val="center" w:pos="4536"/>
          <w:tab w:val="right" w:pos="9072"/>
        </w:tabs>
        <w:spacing w:line="480" w:lineRule="auto"/>
        <w:rPr>
          <w:rFonts w:eastAsiaTheme="minorEastAsia"/>
        </w:rPr>
      </w:pPr>
      <w:r w:rsidRPr="00634466">
        <w:rPr>
          <w:rFonts w:eastAsiaTheme="minorEastAsia"/>
        </w:rPr>
        <w:tab/>
      </w:r>
      <m:oMath>
        <m:sSubSup>
          <m:sSubSupPr>
            <m:ctrlPr>
              <w:rPr>
                <w:rFonts w:ascii="Cambria Math" w:eastAsiaTheme="minorEastAsia" w:hAnsi="Cambria Math"/>
                <w:i/>
              </w:rPr>
            </m:ctrlPr>
          </m:sSubSupPr>
          <m:e>
            <m:r>
              <w:rPr>
                <w:rFonts w:ascii="Cambria Math" w:eastAsiaTheme="minorEastAsia" w:hAnsi="Cambria Math"/>
              </w:rPr>
              <m:t>SLQ</m:t>
            </m:r>
          </m:e>
          <m:sub>
            <m:r>
              <w:rPr>
                <w:rFonts w:ascii="Cambria Math" w:eastAsiaTheme="minorEastAsia" w:hAnsi="Cambria Math"/>
              </w:rPr>
              <m:t>i</m:t>
            </m:r>
          </m:sub>
          <m:sup>
            <m:r>
              <w:rPr>
                <w:rFonts w:ascii="Cambria Math" w:eastAsiaTheme="minorEastAsia" w:hAnsi="Cambria Math"/>
              </w:rPr>
              <m:t>R</m:t>
            </m:r>
          </m:sup>
        </m:sSubSup>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f>
                  <m:fPr>
                    <m:type m:val="skw"/>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R</m:t>
                        </m:r>
                      </m:sup>
                    </m:sSubSup>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R</m:t>
                        </m:r>
                      </m:sup>
                    </m:sSup>
                  </m:den>
                </m:f>
              </m:num>
              <m:den>
                <m:f>
                  <m:fPr>
                    <m:type m:val="skw"/>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i</m:t>
                        </m:r>
                      </m:sub>
                      <m:sup>
                        <m:r>
                          <w:rPr>
                            <w:rFonts w:ascii="Cambria Math" w:eastAsiaTheme="minorEastAsia" w:hAnsi="Cambria Math"/>
                          </w:rPr>
                          <m:t>N</m:t>
                        </m:r>
                      </m:sup>
                    </m:sSubSup>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N</m:t>
                        </m:r>
                      </m:sup>
                    </m:sSup>
                  </m:den>
                </m:f>
              </m:den>
            </m:f>
          </m:e>
        </m:d>
      </m:oMath>
      <w:r w:rsidRPr="00634466">
        <w:rPr>
          <w:rFonts w:eastAsiaTheme="minorEastAsia"/>
        </w:rPr>
        <w:tab/>
        <w:t>(2)</w:t>
      </w:r>
    </w:p>
    <w:p w:rsidR="00BD7929" w:rsidRPr="00634466" w:rsidRDefault="00BD7929" w:rsidP="00BD7929">
      <w:pPr>
        <w:spacing w:line="480" w:lineRule="auto"/>
      </w:pPr>
      <w:r w:rsidRPr="00634466">
        <w:lastRenderedPageBreak/>
        <w:t xml:space="preserve">Where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R</m:t>
            </m:r>
          </m:sup>
        </m:sSubSup>
      </m:oMath>
      <w:r w:rsidRPr="00634466">
        <w:t xml:space="preserve">  and </w:t>
      </w:r>
      <m:oMath>
        <m:sSup>
          <m:sSupPr>
            <m:ctrlPr>
              <w:rPr>
                <w:rFonts w:ascii="Cambria Math" w:hAnsi="Cambria Math"/>
                <w:i/>
              </w:rPr>
            </m:ctrlPr>
          </m:sSupPr>
          <m:e>
            <m:r>
              <w:rPr>
                <w:rFonts w:ascii="Cambria Math" w:hAnsi="Cambria Math"/>
              </w:rPr>
              <m:t>E</m:t>
            </m:r>
          </m:e>
          <m:sup>
            <m:r>
              <w:rPr>
                <w:rFonts w:ascii="Cambria Math" w:hAnsi="Cambria Math"/>
              </w:rPr>
              <m:t>R</m:t>
            </m:r>
          </m:sup>
        </m:sSup>
      </m:oMath>
      <w:r w:rsidRPr="00634466">
        <w:t xml:space="preserve"> are employment in sector i in region R and total employment in region R respectively and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oMath>
      <w:r w:rsidRPr="00634466">
        <w:t xml:space="preserve"> and </w:t>
      </w:r>
      <m:oMath>
        <m:sSup>
          <m:sSupPr>
            <m:ctrlPr>
              <w:rPr>
                <w:rFonts w:ascii="Cambria Math" w:hAnsi="Cambria Math"/>
                <w:i/>
              </w:rPr>
            </m:ctrlPr>
          </m:sSupPr>
          <m:e>
            <m:r>
              <w:rPr>
                <w:rFonts w:ascii="Cambria Math" w:hAnsi="Cambria Math"/>
              </w:rPr>
              <m:t>E</m:t>
            </m:r>
          </m:e>
          <m:sup>
            <m:r>
              <w:rPr>
                <w:rFonts w:ascii="Cambria Math" w:hAnsi="Cambria Math"/>
              </w:rPr>
              <m:t>N</m:t>
            </m:r>
          </m:sup>
        </m:sSup>
      </m:oMath>
      <w:r w:rsidRPr="00634466">
        <w:rPr>
          <w:rFonts w:eastAsiaTheme="minorEastAsia"/>
        </w:rPr>
        <w:t xml:space="preserve"> </w:t>
      </w:r>
      <w:r w:rsidRPr="00634466">
        <w:t xml:space="preserve">are employment in sector </w:t>
      </w:r>
      <w:proofErr w:type="spellStart"/>
      <w:r w:rsidRPr="00634466">
        <w:rPr>
          <w:i/>
        </w:rPr>
        <w:t>i</w:t>
      </w:r>
      <w:proofErr w:type="spellEnd"/>
      <w:r w:rsidRPr="00634466">
        <w:t xml:space="preserve"> and total employment in the nation as a whole.</w:t>
      </w:r>
    </w:p>
    <w:p w:rsidR="00BD7929" w:rsidRPr="00634466" w:rsidRDefault="00BD7929" w:rsidP="00BD7929">
      <w:pPr>
        <w:spacing w:line="480" w:lineRule="auto"/>
      </w:pPr>
      <w:r w:rsidRPr="00634466">
        <w:t xml:space="preserve"> </w:t>
      </w:r>
    </w:p>
    <w:p w:rsidR="000B0C97" w:rsidRPr="00634466" w:rsidRDefault="00BD7929" w:rsidP="00BD7929">
      <w:pPr>
        <w:spacing w:line="480" w:lineRule="auto"/>
      </w:pPr>
      <w:r w:rsidRPr="00634466">
        <w:t xml:space="preserve">Several alternatives </w:t>
      </w:r>
      <w:r w:rsidR="00E16F82" w:rsidRPr="00634466">
        <w:t>have been proposed (</w:t>
      </w:r>
      <w:r w:rsidR="00A524A3">
        <w:t>see Miller &amp; Blair (2009,</w:t>
      </w:r>
      <w:r w:rsidRPr="00634466">
        <w:t xml:space="preserve"> pp. 349-360) and </w:t>
      </w:r>
      <w:proofErr w:type="spellStart"/>
      <w:r w:rsidRPr="00634466">
        <w:t>Flegg</w:t>
      </w:r>
      <w:proofErr w:type="spellEnd"/>
      <w:r w:rsidRPr="00634466">
        <w:t xml:space="preserve"> &amp; </w:t>
      </w:r>
      <w:proofErr w:type="spellStart"/>
      <w:r w:rsidRPr="00634466">
        <w:t>Tohmo</w:t>
      </w:r>
      <w:proofErr w:type="spellEnd"/>
      <w:r w:rsidRPr="00634466">
        <w:t xml:space="preserve"> (2013</w:t>
      </w:r>
      <w:r w:rsidR="007453F9" w:rsidRPr="00634466">
        <w:t>a</w:t>
      </w:r>
      <w:r w:rsidRPr="00634466">
        <w:t>)). The Cross Industry Location Quotient (CILQ) extends the SLQ by allowing for the relative size of the sectors engaged in intermediate transactions:</w:t>
      </w:r>
    </w:p>
    <w:p w:rsidR="00BE533F" w:rsidRPr="00634466" w:rsidRDefault="00BE533F" w:rsidP="00BE533F">
      <w:pPr>
        <w:tabs>
          <w:tab w:val="center" w:pos="4536"/>
          <w:tab w:val="right" w:pos="9071"/>
        </w:tabs>
        <w:spacing w:line="480" w:lineRule="auto"/>
      </w:pPr>
      <w:r w:rsidRPr="00634466">
        <w:tab/>
      </w:r>
      <m:oMath>
        <m:sSubSup>
          <m:sSubSupPr>
            <m:ctrlPr>
              <w:rPr>
                <w:rFonts w:ascii="Cambria Math" w:hAnsi="Cambria Math"/>
              </w:rPr>
            </m:ctrlPr>
          </m:sSubSupPr>
          <m:e>
            <m:r>
              <m:rPr>
                <m:sty m:val="p"/>
              </m:rPr>
              <w:rPr>
                <w:rFonts w:ascii="Cambria Math" w:hAnsi="Cambria Math"/>
              </w:rPr>
              <m:t>CILQ</m:t>
            </m:r>
          </m:e>
          <m:sub>
            <m:r>
              <m:rPr>
                <m:sty m:val="p"/>
              </m:rPr>
              <w:rPr>
                <w:rFonts w:ascii="Cambria Math" w:hAnsi="Cambria Math"/>
              </w:rPr>
              <m:t>ij</m:t>
            </m:r>
          </m:sub>
          <m:sup>
            <m:r>
              <m:rPr>
                <m:sty m:val="p"/>
              </m:rPr>
              <w:rPr>
                <w:rFonts w:ascii="Cambria Math" w:hAnsi="Cambria Math"/>
              </w:rPr>
              <m:t>R</m:t>
            </m:r>
          </m:sup>
        </m:sSubSup>
        <m:r>
          <m:rPr>
            <m:sty m:val="p"/>
          </m:rPr>
          <w:rPr>
            <w:rFonts w:ascii="Cambria Math" w:hAnsi="Cambria Math"/>
          </w:rPr>
          <m:t>=</m:t>
        </m:r>
        <m:f>
          <m:fPr>
            <m:type m:val="skw"/>
            <m:ctrlPr>
              <w:rPr>
                <w:rFonts w:ascii="Cambria Math" w:hAnsi="Cambria Math"/>
              </w:rPr>
            </m:ctrlPr>
          </m:fPr>
          <m:num>
            <m:sSubSup>
              <m:sSubSupPr>
                <m:ctrlPr>
                  <w:rPr>
                    <w:rFonts w:ascii="Cambria Math" w:hAnsi="Cambria Math"/>
                  </w:rPr>
                </m:ctrlPr>
              </m:sSubSupPr>
              <m:e>
                <m:r>
                  <m:rPr>
                    <m:sty m:val="p"/>
                  </m:rPr>
                  <w:rPr>
                    <w:rFonts w:ascii="Cambria Math" w:hAnsi="Cambria Math"/>
                  </w:rPr>
                  <m:t>SLQ</m:t>
                </m:r>
              </m:e>
              <m:sub>
                <m:r>
                  <m:rPr>
                    <m:sty m:val="p"/>
                  </m:rPr>
                  <w:rPr>
                    <w:rFonts w:ascii="Cambria Math" w:hAnsi="Cambria Math"/>
                  </w:rPr>
                  <m:t>i</m:t>
                </m:r>
              </m:sub>
              <m:sup>
                <m:r>
                  <m:rPr>
                    <m:sty m:val="p"/>
                  </m:rPr>
                  <w:rPr>
                    <w:rFonts w:ascii="Cambria Math" w:hAnsi="Cambria Math"/>
                  </w:rPr>
                  <m:t>R</m:t>
                </m:r>
              </m:sup>
            </m:sSubSup>
          </m:num>
          <m:den>
            <m:sSubSup>
              <m:sSubSupPr>
                <m:ctrlPr>
                  <w:rPr>
                    <w:rFonts w:ascii="Cambria Math" w:hAnsi="Cambria Math"/>
                  </w:rPr>
                </m:ctrlPr>
              </m:sSubSupPr>
              <m:e>
                <m:r>
                  <m:rPr>
                    <m:sty m:val="p"/>
                  </m:rPr>
                  <w:rPr>
                    <w:rFonts w:ascii="Cambria Math" w:hAnsi="Cambria Math"/>
                  </w:rPr>
                  <m:t>SLQ</m:t>
                </m:r>
              </m:e>
              <m:sub>
                <m:r>
                  <m:rPr>
                    <m:sty m:val="p"/>
                  </m:rPr>
                  <w:rPr>
                    <w:rFonts w:ascii="Cambria Math" w:hAnsi="Cambria Math"/>
                  </w:rPr>
                  <m:t>j</m:t>
                </m:r>
              </m:sub>
              <m:sup>
                <m:r>
                  <m:rPr>
                    <m:sty m:val="p"/>
                  </m:rPr>
                  <w:rPr>
                    <w:rFonts w:ascii="Cambria Math" w:hAnsi="Cambria Math"/>
                  </w:rPr>
                  <m:t>R</m:t>
                </m:r>
              </m:sup>
            </m:sSubSup>
          </m:den>
        </m:f>
      </m:oMath>
      <w:r w:rsidRPr="00634466">
        <w:rPr>
          <w:rFonts w:eastAsiaTheme="minorEastAsia"/>
        </w:rPr>
        <w:tab/>
        <w:t>(3)</w:t>
      </w:r>
    </w:p>
    <w:p w:rsidR="000B0C97" w:rsidRPr="00634466" w:rsidRDefault="00BD7929" w:rsidP="00BD7929">
      <w:pPr>
        <w:spacing w:line="480" w:lineRule="auto"/>
      </w:pPr>
      <w:proofErr w:type="gramStart"/>
      <w:r w:rsidRPr="00634466">
        <w:t>where</w:t>
      </w:r>
      <w:proofErr w:type="gramEnd"/>
      <w:r w:rsidRPr="00634466">
        <w:t xml:space="preserve"> sector </w:t>
      </w:r>
      <w:proofErr w:type="spellStart"/>
      <w:r w:rsidRPr="00634466">
        <w:t>i</w:t>
      </w:r>
      <w:proofErr w:type="spellEnd"/>
      <w:r w:rsidRPr="00634466">
        <w:t xml:space="preserve"> is assumed to be supplying inputs to sector j. In turn, the FLQ approach (Flegg &amp; Webber, 1997)</w:t>
      </w:r>
      <w:r w:rsidRPr="00634466">
        <w:rPr>
          <w:rStyle w:val="FootnoteReference"/>
        </w:rPr>
        <w:footnoteReference w:id="3"/>
      </w:r>
      <w:r w:rsidRPr="00634466">
        <w:t xml:space="preserve"> modifies the CILQ to incorporate a measure of the relative size of the region such that </w:t>
      </w:r>
    </w:p>
    <w:p w:rsidR="000B0C97" w:rsidRPr="00634466" w:rsidRDefault="00BE533F" w:rsidP="00BE533F">
      <w:pPr>
        <w:tabs>
          <w:tab w:val="center" w:pos="4820"/>
          <w:tab w:val="right" w:pos="9071"/>
        </w:tabs>
        <w:spacing w:line="480" w:lineRule="auto"/>
        <w:rPr>
          <w:rFonts w:eastAsiaTheme="minorEastAsia"/>
        </w:rPr>
      </w:pPr>
      <w:r w:rsidRPr="00634466">
        <w:tab/>
      </w:r>
      <m:oMath>
        <m:sSubSup>
          <m:sSubSupPr>
            <m:ctrlPr>
              <w:rPr>
                <w:rFonts w:ascii="Cambria Math" w:hAnsi="Cambria Math"/>
                <w:i/>
              </w:rPr>
            </m:ctrlPr>
          </m:sSubSupPr>
          <m:e>
            <m:r>
              <w:rPr>
                <w:rFonts w:ascii="Cambria Math" w:hAnsi="Cambria Math"/>
              </w:rPr>
              <m:t>FLQ</m:t>
            </m:r>
          </m:e>
          <m:sub>
            <m:r>
              <w:rPr>
                <w:rFonts w:ascii="Cambria Math" w:hAnsi="Cambria Math"/>
              </w:rPr>
              <m:t>ij</m:t>
            </m:r>
          </m:sub>
          <m:sup>
            <m:r>
              <w:rPr>
                <w:rFonts w:ascii="Cambria Math" w:hAnsi="Cambria Math"/>
              </w:rPr>
              <m:t>R</m:t>
            </m:r>
          </m:sup>
        </m:sSub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e>
        </m:d>
        <m:sSubSup>
          <m:sSubSupPr>
            <m:ctrlPr>
              <w:rPr>
                <w:rFonts w:ascii="Cambria Math" w:hAnsi="Cambria Math"/>
                <w:i/>
              </w:rPr>
            </m:ctrlPr>
          </m:sSubSupPr>
          <m:e>
            <m:r>
              <w:rPr>
                <w:rFonts w:ascii="Cambria Math" w:hAnsi="Cambria Math"/>
              </w:rPr>
              <m:t>CILQ</m:t>
            </m:r>
          </m:e>
          <m:sub>
            <m:r>
              <w:rPr>
                <w:rFonts w:ascii="Cambria Math" w:hAnsi="Cambria Math"/>
              </w:rPr>
              <m:t>ij</m:t>
            </m:r>
          </m:sub>
          <m:sup>
            <m:r>
              <w:rPr>
                <w:rFonts w:ascii="Cambria Math" w:hAnsi="Cambria Math"/>
              </w:rPr>
              <m:t>R</m:t>
            </m:r>
          </m:sup>
        </m:sSubSup>
      </m:oMath>
      <w:r w:rsidRPr="00634466">
        <w:rPr>
          <w:rFonts w:eastAsiaTheme="minorEastAsia"/>
        </w:rPr>
        <w:tab/>
        <w:t>(4.a)</w:t>
      </w:r>
    </w:p>
    <w:p w:rsidR="00461D37" w:rsidRPr="00634466" w:rsidRDefault="00461D37" w:rsidP="00BE533F">
      <w:pPr>
        <w:tabs>
          <w:tab w:val="center" w:pos="4820"/>
          <w:tab w:val="right" w:pos="9071"/>
        </w:tabs>
        <w:spacing w:line="480" w:lineRule="auto"/>
        <w:rPr>
          <w:rFonts w:eastAsiaTheme="minorEastAsia"/>
        </w:rPr>
      </w:pPr>
      <w:r w:rsidRPr="00634466">
        <w:rPr>
          <w:rFonts w:eastAsiaTheme="minorEastAsia"/>
        </w:rPr>
        <w:tab/>
      </w:r>
      <m:oMath>
        <m:sSup>
          <m:sSupPr>
            <m:ctrlPr>
              <w:rPr>
                <w:rFonts w:ascii="Cambria Math" w:hAnsi="Cambria Math"/>
              </w:rPr>
            </m:ctrlPr>
          </m:sSupPr>
          <m:e>
            <m:r>
              <m:rPr>
                <m:sty m:val="p"/>
              </m:rPr>
              <w:rPr>
                <w:rFonts w:ascii="Cambria Math" w:hAnsi="Cambria Math"/>
              </w:rPr>
              <m:t>λ</m:t>
            </m:r>
          </m:e>
          <m:sup>
            <m:r>
              <w:rPr>
                <w:rFonts w:ascii="Cambria Math" w:hAnsi="Cambria Math"/>
              </w:rPr>
              <m:t>*</m:t>
            </m:r>
          </m:sup>
        </m:sSup>
        <m:r>
          <m:rPr>
            <m:sty m:val="p"/>
          </m:rPr>
          <w:rPr>
            <w:rFonts w:ascii="Cambria Math"/>
          </w:rPr>
          <m:t>=</m:t>
        </m:r>
        <m:sSup>
          <m:sSupPr>
            <m:ctrlPr>
              <w:rPr>
                <w:rFonts w:ascii="Cambria Math" w:hAnsi="Cambria Math"/>
              </w:rPr>
            </m:ctrlPr>
          </m:sSupPr>
          <m:e>
            <m:d>
              <m:dPr>
                <m:begChr m:val="{"/>
                <m:endChr m:val="}"/>
                <m:ctrlPr>
                  <w:rPr>
                    <w:rFonts w:ascii="Cambria Math" w:hAnsi="Cambria Math"/>
                  </w:rPr>
                </m:ctrlPr>
              </m:dPr>
              <m:e>
                <m:func>
                  <m:funcPr>
                    <m:ctrlPr>
                      <w:rPr>
                        <w:rFonts w:ascii="Cambria Math" w:hAnsi="Cambria Math"/>
                      </w:rPr>
                    </m:ctrlPr>
                  </m:funcPr>
                  <m:fName>
                    <m:sSub>
                      <m:sSubPr>
                        <m:ctrlPr>
                          <w:rPr>
                            <w:rFonts w:ascii="Cambria Math" w:hAnsi="Cambria Math"/>
                          </w:rPr>
                        </m:ctrlPr>
                      </m:sSubPr>
                      <m:e>
                        <m:r>
                          <m:rPr>
                            <m:sty m:val="p"/>
                          </m:rPr>
                          <w:rPr>
                            <w:rFonts w:ascii="Cambria Math"/>
                          </w:rPr>
                          <m:t>log</m:t>
                        </m:r>
                      </m:e>
                      <m:sub>
                        <m:r>
                          <m:rPr>
                            <m:sty m:val="p"/>
                          </m:rPr>
                          <w:rPr>
                            <w:rFonts w:ascii="Cambria Math"/>
                          </w:rPr>
                          <m:t>2</m:t>
                        </m:r>
                      </m:sub>
                    </m:sSub>
                  </m:fName>
                  <m:e>
                    <m:d>
                      <m:dPr>
                        <m:begChr m:val="["/>
                        <m:endChr m:val="]"/>
                        <m:ctrlPr>
                          <w:rPr>
                            <w:rFonts w:ascii="Cambria Math" w:hAnsi="Cambria Math"/>
                          </w:rPr>
                        </m:ctrlPr>
                      </m:dPr>
                      <m:e>
                        <m:r>
                          <m:rPr>
                            <m:sty m:val="p"/>
                          </m:rPr>
                          <w:rPr>
                            <w:rFonts w:ascii="Cambria Math"/>
                          </w:rPr>
                          <m:t>1+</m:t>
                        </m:r>
                        <m:d>
                          <m:dPr>
                            <m:ctrlPr>
                              <w:rPr>
                                <w:rFonts w:ascii="Cambria Math" w:hAnsi="Cambria Math"/>
                              </w:rPr>
                            </m:ctrlPr>
                          </m:dPr>
                          <m:e>
                            <m:sSup>
                              <m:sSupPr>
                                <m:ctrlPr>
                                  <w:rPr>
                                    <w:rFonts w:ascii="Cambria Math" w:hAnsi="Cambria Math"/>
                                  </w:rPr>
                                </m:ctrlPr>
                              </m:sSupPr>
                              <m:e>
                                <m:r>
                                  <m:rPr>
                                    <m:sty m:val="p"/>
                                  </m:rPr>
                                  <w:rPr>
                                    <w:rFonts w:ascii="Cambria Math"/>
                                  </w:rPr>
                                  <m:t>E</m:t>
                                </m:r>
                              </m:e>
                              <m:sup>
                                <m:r>
                                  <m:rPr>
                                    <m:sty m:val="p"/>
                                  </m:rPr>
                                  <w:rPr>
                                    <w:rFonts w:ascii="Cambria Math"/>
                                  </w:rPr>
                                  <m:t>R</m:t>
                                </m:r>
                              </m:sup>
                            </m:sSup>
                            <m:r>
                              <m:rPr>
                                <m:sty m:val="p"/>
                              </m:rPr>
                              <w:rPr>
                                <w:rFonts w:ascii="Cambria Math"/>
                              </w:rPr>
                              <m:t>/</m:t>
                            </m:r>
                            <m:sSup>
                              <m:sSupPr>
                                <m:ctrlPr>
                                  <w:rPr>
                                    <w:rFonts w:ascii="Cambria Math" w:hAnsi="Cambria Math"/>
                                  </w:rPr>
                                </m:ctrlPr>
                              </m:sSupPr>
                              <m:e>
                                <m:r>
                                  <m:rPr>
                                    <m:sty m:val="p"/>
                                  </m:rPr>
                                  <w:rPr>
                                    <w:rFonts w:ascii="Cambria Math"/>
                                  </w:rPr>
                                  <m:t>E</m:t>
                                </m:r>
                              </m:e>
                              <m:sup>
                                <m:r>
                                  <m:rPr>
                                    <m:sty m:val="p"/>
                                  </m:rPr>
                                  <w:rPr>
                                    <w:rFonts w:ascii="Cambria Math"/>
                                  </w:rPr>
                                  <m:t>N</m:t>
                                </m:r>
                              </m:sup>
                            </m:sSup>
                          </m:e>
                        </m:d>
                      </m:e>
                    </m:d>
                  </m:e>
                </m:func>
              </m:e>
            </m:d>
          </m:e>
          <m:sup>
            <m:r>
              <m:rPr>
                <m:sty m:val="p"/>
              </m:rPr>
              <w:rPr>
                <w:rFonts w:ascii="Cambria Math" w:hAnsi="Cambria Math"/>
              </w:rPr>
              <m:t>δ</m:t>
            </m:r>
          </m:sup>
        </m:sSup>
      </m:oMath>
      <w:r w:rsidRPr="00634466">
        <w:rPr>
          <w:rFonts w:eastAsiaTheme="minorEastAsia"/>
        </w:rPr>
        <w:tab/>
        <w:t>(4.b)</w:t>
      </w:r>
    </w:p>
    <w:p w:rsidR="00BD7929" w:rsidRPr="00634466" w:rsidRDefault="00BD7929" w:rsidP="00461D37">
      <w:pPr>
        <w:tabs>
          <w:tab w:val="center" w:pos="4820"/>
          <w:tab w:val="right" w:pos="9072"/>
        </w:tabs>
        <w:spacing w:line="480" w:lineRule="auto"/>
      </w:pPr>
      <w:proofErr w:type="gramStart"/>
      <w:r w:rsidRPr="00634466">
        <w:t xml:space="preserve">where </w:t>
      </w:r>
      <m:oMath>
        <w:proofErr w:type="gramEnd"/>
        <m:r>
          <w:rPr>
            <w:rFonts w:ascii="Cambria Math" w:hAnsi="Cambria Math"/>
          </w:rPr>
          <m:t>0≤δ≤1</m:t>
        </m:r>
      </m:oMath>
      <w:r w:rsidRPr="00634466">
        <w:t xml:space="preserve">. The aim is to reduce national coefficients more for smaller regions, under the general expectation that smaller regions are more import intensive. The FLQ formula uses </w:t>
      </w:r>
      <m:oMath>
        <m:sSub>
          <m:sSubPr>
            <m:ctrlPr>
              <w:rPr>
                <w:rFonts w:ascii="Cambria Math" w:hAnsi="Cambria Math"/>
                <w:i/>
              </w:rPr>
            </m:ctrlPr>
          </m:sSubPr>
          <m:e>
            <m:r>
              <w:rPr>
                <w:rFonts w:ascii="Cambria Math" w:hAnsi="Cambria Math"/>
              </w:rPr>
              <m:t>SLQ</m:t>
            </m:r>
          </m:e>
          <m:sub>
            <m:r>
              <w:rPr>
                <w:rFonts w:ascii="Cambria Math" w:hAnsi="Cambria Math"/>
              </w:rPr>
              <m:t>i</m:t>
            </m:r>
          </m:sub>
        </m:sSub>
      </m:oMath>
      <w:r w:rsidRPr="00634466">
        <w:rPr>
          <w:rFonts w:eastAsiaTheme="minorEastAsia"/>
        </w:rPr>
        <w:t xml:space="preserve"> along the principal diagonal of the adjustment matrix. </w:t>
      </w:r>
    </w:p>
    <w:p w:rsidR="00BD7929" w:rsidRPr="00634466" w:rsidRDefault="00BD7929" w:rsidP="00BD7929">
      <w:pPr>
        <w:spacing w:line="480" w:lineRule="auto"/>
      </w:pPr>
    </w:p>
    <w:p w:rsidR="00BD7929" w:rsidRPr="00634466" w:rsidRDefault="00BD7929" w:rsidP="00BD7929">
      <w:pPr>
        <w:spacing w:line="480" w:lineRule="auto"/>
      </w:pPr>
      <w:proofErr w:type="spellStart"/>
      <w:r w:rsidRPr="00634466">
        <w:t>Norcliffe</w:t>
      </w:r>
      <w:proofErr w:type="spellEnd"/>
      <w:r w:rsidRPr="00634466">
        <w:t xml:space="preserve"> (1983, pp. 162-163) points out that the use of LQs rests on restrictive assumptions</w:t>
      </w:r>
      <w:r w:rsidRPr="00634466">
        <w:rPr>
          <w:rStyle w:val="FootnoteReference"/>
        </w:rPr>
        <w:footnoteReference w:id="4"/>
      </w:r>
      <w:r w:rsidR="008B114F" w:rsidRPr="00634466">
        <w:t xml:space="preserve"> about </w:t>
      </w:r>
      <w:r w:rsidR="00C763D5" w:rsidRPr="00634466">
        <w:t xml:space="preserve">the regions being examined, i.e. </w:t>
      </w:r>
      <w:r w:rsidRPr="00634466">
        <w:t>identical productivity</w:t>
      </w:r>
      <w:r w:rsidR="00C763D5" w:rsidRPr="00634466">
        <w:t>, identical consumption and</w:t>
      </w:r>
      <w:r w:rsidRPr="00634466">
        <w:t xml:space="preserve"> no cross-hauling of products from the same sector. In practice this is unlikely to hold. Therefore, a number of authors have analysed the extent to which LQ-based estimates of IO-account are biased</w:t>
      </w:r>
      <w:r w:rsidR="00C763D5" w:rsidRPr="00634466">
        <w:t xml:space="preserve"> (Schaffer &amp; Chu, 1969; Smith &amp; Morrison, 1974; Round, 1978; </w:t>
      </w:r>
      <w:proofErr w:type="spellStart"/>
      <w:r w:rsidR="00C763D5" w:rsidRPr="00634466">
        <w:t>Harrigan</w:t>
      </w:r>
      <w:proofErr w:type="spellEnd"/>
      <w:r w:rsidR="00C763D5" w:rsidRPr="00634466">
        <w:t xml:space="preserve"> et al, 1981; Willis, 1987; </w:t>
      </w:r>
      <w:r w:rsidR="00A524A3">
        <w:t xml:space="preserve">Harris &amp; Liu, 1998; </w:t>
      </w:r>
      <w:proofErr w:type="spellStart"/>
      <w:r w:rsidR="00A524A3">
        <w:t>Tohmo</w:t>
      </w:r>
      <w:proofErr w:type="spellEnd"/>
      <w:r w:rsidR="00A524A3">
        <w:t>, 2004;</w:t>
      </w:r>
      <w:r w:rsidR="00C763D5" w:rsidRPr="00634466">
        <w:t xml:space="preserve"> </w:t>
      </w:r>
      <w:proofErr w:type="spellStart"/>
      <w:r w:rsidR="00C763D5" w:rsidRPr="00634466">
        <w:t>Stoeckl</w:t>
      </w:r>
      <w:proofErr w:type="spellEnd"/>
      <w:r w:rsidR="00C763D5" w:rsidRPr="00634466">
        <w:t xml:space="preserve"> 2012). </w:t>
      </w:r>
      <w:r w:rsidR="00C0462C" w:rsidRPr="00634466">
        <w:t>Typically the</w:t>
      </w:r>
      <w:r w:rsidR="00C763D5" w:rsidRPr="00634466">
        <w:t xml:space="preserve"> p</w:t>
      </w:r>
      <w:r w:rsidR="00C0462C" w:rsidRPr="00634466">
        <w:t>rimary emphasis is on the influence</w:t>
      </w:r>
      <w:r w:rsidR="00C763D5" w:rsidRPr="00634466">
        <w:t xml:space="preserve"> of cross hauling</w:t>
      </w:r>
      <w:r w:rsidR="00C0462C" w:rsidRPr="00634466">
        <w:t xml:space="preserve">. This </w:t>
      </w:r>
      <w:r w:rsidR="00C0462C" w:rsidRPr="00634466">
        <w:lastRenderedPageBreak/>
        <w:t>is not captured in LQ methods</w:t>
      </w:r>
      <w:r w:rsidR="00C763D5" w:rsidRPr="00634466">
        <w:t>,</w:t>
      </w:r>
      <w:r w:rsidR="00461D37" w:rsidRPr="00634466">
        <w:t xml:space="preserve"> </w:t>
      </w:r>
      <w:r w:rsidR="00C763D5" w:rsidRPr="00634466">
        <w:t>which results in an underestimation of imports and exports</w:t>
      </w:r>
      <w:r w:rsidR="00A10A63">
        <w:t xml:space="preserve">; </w:t>
      </w:r>
      <w:r w:rsidR="00C763D5" w:rsidRPr="00634466">
        <w:t>and</w:t>
      </w:r>
      <w:r w:rsidR="00A10A63">
        <w:t xml:space="preserve"> </w:t>
      </w:r>
      <w:r w:rsidR="00C763D5" w:rsidRPr="00634466">
        <w:t xml:space="preserve">overestimation of local intermediate transactions (see Harris &amp; Liu, 1998, for a detailed discussion). </w:t>
      </w:r>
      <w:r w:rsidR="00C0462C" w:rsidRPr="00634466">
        <w:t xml:space="preserve">An exception is </w:t>
      </w:r>
      <w:proofErr w:type="spellStart"/>
      <w:r w:rsidR="00C763D5" w:rsidRPr="00634466">
        <w:t>Stoeckl</w:t>
      </w:r>
      <w:proofErr w:type="spellEnd"/>
      <w:r w:rsidR="00C763D5" w:rsidRPr="00634466">
        <w:t xml:space="preserve"> (2012)</w:t>
      </w:r>
      <w:r w:rsidR="00C0462C" w:rsidRPr="00634466">
        <w:t>, which</w:t>
      </w:r>
      <w:r w:rsidR="00C763D5" w:rsidRPr="00634466">
        <w:t xml:space="preserve"> explores the role of differences in productivity.</w:t>
      </w:r>
      <w:r w:rsidR="006F520B" w:rsidRPr="00634466">
        <w:t xml:space="preserve"> </w:t>
      </w:r>
      <w:proofErr w:type="spellStart"/>
      <w:r w:rsidRPr="00634466">
        <w:t>Tohmo</w:t>
      </w:r>
      <w:proofErr w:type="spellEnd"/>
      <w:r w:rsidRPr="00634466">
        <w:t xml:space="preserve"> (2004) summarises the findings</w:t>
      </w:r>
      <w:r w:rsidR="006F520B" w:rsidRPr="00634466">
        <w:t xml:space="preserve"> of this literature.</w:t>
      </w:r>
      <w:r w:rsidRPr="00634466">
        <w:t xml:space="preserve"> The SLQ, CILQ and </w:t>
      </w:r>
      <w:r w:rsidR="00A25B2C" w:rsidRPr="00634466">
        <w:t>related</w:t>
      </w:r>
      <w:r w:rsidRPr="00634466">
        <w:t xml:space="preserve"> formulas produce multipliers that are biased upwards by 12-25% on average. </w:t>
      </w:r>
      <w:r w:rsidR="006F520B" w:rsidRPr="00634466">
        <w:t>Conversely, t</w:t>
      </w:r>
      <w:r w:rsidRPr="00634466">
        <w:t>he FLQ formula is able to recreate on average the multipliers obtained from a surveyed Input-Output table (</w:t>
      </w:r>
      <w:proofErr w:type="spellStart"/>
      <w:r w:rsidRPr="00634466">
        <w:t>Tohmo</w:t>
      </w:r>
      <w:proofErr w:type="spellEnd"/>
      <w:r w:rsidRPr="00634466">
        <w:t>, 2004).</w:t>
      </w:r>
    </w:p>
    <w:p w:rsidR="00BD7929" w:rsidRPr="00634466" w:rsidRDefault="00BD7929" w:rsidP="00BD7929">
      <w:pPr>
        <w:spacing w:line="480" w:lineRule="auto"/>
      </w:pPr>
    </w:p>
    <w:p w:rsidR="00BD7929" w:rsidRPr="00634466" w:rsidRDefault="00BD7929" w:rsidP="00BD7929">
      <w:pPr>
        <w:spacing w:line="480" w:lineRule="auto"/>
      </w:pPr>
      <w:r w:rsidRPr="00634466">
        <w:t xml:space="preserve">The </w:t>
      </w:r>
      <w:r w:rsidR="006F520B" w:rsidRPr="00634466">
        <w:t>d</w:t>
      </w:r>
      <w:r w:rsidRPr="00634466">
        <w:t>ifficulty</w:t>
      </w:r>
      <w:r w:rsidR="006F520B" w:rsidRPr="00634466">
        <w:t xml:space="preserve"> with </w:t>
      </w:r>
      <w:r w:rsidRPr="00634466">
        <w:t xml:space="preserve">FLQ </w:t>
      </w:r>
      <w:r w:rsidR="006F520B" w:rsidRPr="00634466">
        <w:t xml:space="preserve">is that it </w:t>
      </w:r>
      <w:r w:rsidRPr="00634466">
        <w:t xml:space="preserve">requires selecting an appropriate value for the parameter δ, which is not known </w:t>
      </w:r>
      <w:r w:rsidRPr="00634466">
        <w:rPr>
          <w:i/>
        </w:rPr>
        <w:t>ex ante</w:t>
      </w:r>
      <w:r w:rsidRPr="00634466">
        <w:t xml:space="preserve"> but has to be deduced from comparison with surveyed tables </w:t>
      </w:r>
      <w:r w:rsidRPr="00634466">
        <w:rPr>
          <w:i/>
        </w:rPr>
        <w:t xml:space="preserve">ex post. </w:t>
      </w:r>
      <w:r w:rsidRPr="00634466">
        <w:t>Based on analysis of IO tables for</w:t>
      </w:r>
      <w:r w:rsidR="005873A7" w:rsidRPr="00634466">
        <w:t xml:space="preserve"> Scotland and</w:t>
      </w:r>
      <w:r w:rsidRPr="00634466">
        <w:t xml:space="preserve"> Peterborough in England</w:t>
      </w:r>
      <w:r w:rsidR="005873A7" w:rsidRPr="00634466">
        <w:t>,</w:t>
      </w:r>
      <w:r w:rsidRPr="00634466">
        <w:t xml:space="preserve"> Flegg &amp; Webber (1997) propose that an approximate value for δ=</w:t>
      </w:r>
      <w:proofErr w:type="gramStart"/>
      <w:r w:rsidRPr="00634466">
        <w:t>0.3 ”</w:t>
      </w:r>
      <w:proofErr w:type="gramEnd"/>
      <w:r w:rsidRPr="00634466">
        <w:t xml:space="preserve">would seem reasonable” (p. 798). </w:t>
      </w:r>
      <w:proofErr w:type="spellStart"/>
      <w:r w:rsidRPr="00634466">
        <w:t>Flegg</w:t>
      </w:r>
      <w:proofErr w:type="spellEnd"/>
      <w:r w:rsidRPr="00634466">
        <w:t xml:space="preserve"> &amp; </w:t>
      </w:r>
      <w:proofErr w:type="spellStart"/>
      <w:r w:rsidRPr="00634466">
        <w:t>Tohmo</w:t>
      </w:r>
      <w:proofErr w:type="spellEnd"/>
      <w:r w:rsidRPr="00634466">
        <w:t xml:space="preserve"> (2013</w:t>
      </w:r>
      <w:r w:rsidR="000B2DD9" w:rsidRPr="00634466">
        <w:t>a</w:t>
      </w:r>
      <w:r w:rsidRPr="00634466">
        <w:t>) discuss this issue in detail and test parameter values by simulating IO tables for 20 Finnish regions of various sizes. Based on this they recommend a value between δ=0.25 and δ=0.3. A similar result is obta</w:t>
      </w:r>
      <w:r w:rsidR="00EC0D2C" w:rsidRPr="00634466">
        <w:t xml:space="preserve">ined by </w:t>
      </w:r>
      <w:proofErr w:type="spellStart"/>
      <w:r w:rsidR="00EC0D2C" w:rsidRPr="00634466">
        <w:t>Bonfiglio</w:t>
      </w:r>
      <w:proofErr w:type="spellEnd"/>
      <w:r w:rsidR="00EC0D2C" w:rsidRPr="00634466">
        <w:t xml:space="preserve"> &amp; </w:t>
      </w:r>
      <w:proofErr w:type="spellStart"/>
      <w:r w:rsidR="00EC0D2C" w:rsidRPr="00634466">
        <w:t>Chelli</w:t>
      </w:r>
      <w:proofErr w:type="spellEnd"/>
      <w:r w:rsidR="00EC0D2C" w:rsidRPr="00634466">
        <w:t xml:space="preserve"> (2008</w:t>
      </w:r>
      <w:r w:rsidRPr="00634466">
        <w:t>)</w:t>
      </w:r>
      <w:r w:rsidR="009362CA" w:rsidRPr="00634466">
        <w:t>, using a Monte Carlo approach</w:t>
      </w:r>
      <w:r w:rsidRPr="00634466">
        <w:t xml:space="preserve">. </w:t>
      </w:r>
      <w:r w:rsidR="009D45D1" w:rsidRPr="00634466">
        <w:t xml:space="preserve"> The weight of evidence therefore supports the original Flegg &amp; Webber (1997) recommendation of δ=0.3. However, there are some single-region studies that suggest both lower and higher values. For instance, </w:t>
      </w:r>
      <w:r w:rsidRPr="00634466">
        <w:t xml:space="preserve">Flegg &amp; Webber (2000) find a lower value δ=0.15 based on analysis of Scotland. However, as pointed out by </w:t>
      </w:r>
      <w:proofErr w:type="spellStart"/>
      <w:r w:rsidRPr="00634466">
        <w:t>Flegg</w:t>
      </w:r>
      <w:proofErr w:type="spellEnd"/>
      <w:r w:rsidRPr="00634466">
        <w:t xml:space="preserve"> &amp; </w:t>
      </w:r>
      <w:proofErr w:type="spellStart"/>
      <w:r w:rsidRPr="00634466">
        <w:t>Tohmo</w:t>
      </w:r>
      <w:proofErr w:type="spellEnd"/>
      <w:r w:rsidRPr="00634466">
        <w:t xml:space="preserve"> (</w:t>
      </w:r>
      <w:r w:rsidR="002F0269" w:rsidRPr="00634466">
        <w:t>2013a</w:t>
      </w:r>
      <w:r w:rsidRPr="00634466">
        <w:t xml:space="preserve">) this is likely to reflect the fact that the Scottish input coefficients often surpassed corresponding UK coefficients.  Similarly, </w:t>
      </w:r>
      <w:proofErr w:type="spellStart"/>
      <w:r w:rsidRPr="00634466">
        <w:t>Kowalewksi</w:t>
      </w:r>
      <w:proofErr w:type="spellEnd"/>
      <w:r w:rsidRPr="00634466">
        <w:t xml:space="preserve"> (2013) studying the German federal state of Baden-Wuerttemberg finds the best results using 0.11 ≤ δ ≤ 0</w:t>
      </w:r>
      <w:r w:rsidR="00EC0D2C" w:rsidRPr="00634466">
        <w:t xml:space="preserve">.17. Conversely, </w:t>
      </w:r>
      <w:proofErr w:type="spellStart"/>
      <w:r w:rsidR="00EC0D2C" w:rsidRPr="00634466">
        <w:t>Bonfiglio</w:t>
      </w:r>
      <w:proofErr w:type="spellEnd"/>
      <w:r w:rsidR="00EC0D2C" w:rsidRPr="00634466">
        <w:t xml:space="preserve"> (2oo9</w:t>
      </w:r>
      <w:r w:rsidRPr="00634466">
        <w:t xml:space="preserve">), based on a study of the Marche region in Italy, finds a higher value of δ=0.7. </w:t>
      </w:r>
    </w:p>
    <w:p w:rsidR="0025329F" w:rsidRPr="00634466" w:rsidRDefault="0025329F" w:rsidP="00BD7929">
      <w:pPr>
        <w:spacing w:line="480" w:lineRule="auto"/>
      </w:pPr>
    </w:p>
    <w:p w:rsidR="00BD7929" w:rsidRPr="00634466" w:rsidRDefault="00A10A63" w:rsidP="00BD7929">
      <w:pPr>
        <w:spacing w:line="480" w:lineRule="auto"/>
      </w:pPr>
      <w:r>
        <w:t xml:space="preserve">Other non-survey approaches have been suggested. </w:t>
      </w:r>
      <w:proofErr w:type="spellStart"/>
      <w:r w:rsidR="00BD7929" w:rsidRPr="00634466">
        <w:t>Riddington</w:t>
      </w:r>
      <w:proofErr w:type="spellEnd"/>
      <w:r w:rsidR="00BD7929" w:rsidRPr="00634466">
        <w:t xml:space="preserve"> et al (2006) argue for the use of a gravity </w:t>
      </w:r>
      <w:r>
        <w:t>model to determine trade flows, which is demonstrated by</w:t>
      </w:r>
      <w:r w:rsidR="00BD7929" w:rsidRPr="00634466">
        <w:t xml:space="preserve"> estimating a local input-output table for the eastern Highlands of Scotland. </w:t>
      </w:r>
      <w:r>
        <w:t>The study has been criticised on technical grounds (</w:t>
      </w:r>
      <w:proofErr w:type="spellStart"/>
      <w:r>
        <w:t>Flegg</w:t>
      </w:r>
      <w:proofErr w:type="spellEnd"/>
      <w:r>
        <w:t xml:space="preserve"> &amp; </w:t>
      </w:r>
      <w:proofErr w:type="spellStart"/>
      <w:r>
        <w:t>Tohmo</w:t>
      </w:r>
      <w:proofErr w:type="spellEnd"/>
      <w:r>
        <w:t xml:space="preserve">, </w:t>
      </w:r>
      <w:r w:rsidR="002F0269" w:rsidRPr="00634466">
        <w:t>2013a</w:t>
      </w:r>
      <w:r w:rsidR="00BD7929" w:rsidRPr="00634466">
        <w:t>, pp. 707-708)</w:t>
      </w:r>
      <w:r>
        <w:t xml:space="preserve">. Based on the single application of this approach so far it is not </w:t>
      </w:r>
      <w:r w:rsidR="00BD7929" w:rsidRPr="00634466">
        <w:t xml:space="preserve">clear </w:t>
      </w:r>
      <w:r w:rsidR="00BD7929" w:rsidRPr="00634466">
        <w:lastRenderedPageBreak/>
        <w:t>that the gravity model approach</w:t>
      </w:r>
      <w:r w:rsidR="00D2675A" w:rsidRPr="00634466">
        <w:t xml:space="preserve"> yields results superior to FLQ. Furthermore </w:t>
      </w:r>
      <w:r w:rsidR="00BD7929" w:rsidRPr="00634466">
        <w:t>it requires more data than non-survey approaches.</w:t>
      </w:r>
      <w:r>
        <w:t xml:space="preserve"> </w:t>
      </w:r>
      <w:r w:rsidR="00BD7929" w:rsidRPr="00634466">
        <w:t xml:space="preserve">A recently proposed non-survey technique is the Cross-Hauling Adjusted Regionalization Method (CHARM) presented in </w:t>
      </w:r>
      <w:proofErr w:type="spellStart"/>
      <w:r w:rsidR="00BD7929" w:rsidRPr="00634466">
        <w:t>Kronenberg</w:t>
      </w:r>
      <w:proofErr w:type="spellEnd"/>
      <w:r w:rsidR="00BD7929" w:rsidRPr="00634466">
        <w:t xml:space="preserve"> (2009). The method explicitly acknowledges the role of cross hauling, which under certain assumptions can be calculated for each sector based on the parent table. Empirical testing of this approach looks promising (see </w:t>
      </w:r>
      <w:proofErr w:type="spellStart"/>
      <w:r w:rsidR="00BD7929" w:rsidRPr="00634466">
        <w:t>Flegg</w:t>
      </w:r>
      <w:proofErr w:type="spellEnd"/>
      <w:r w:rsidR="00BD7929" w:rsidRPr="00634466">
        <w:t xml:space="preserve"> &amp; </w:t>
      </w:r>
      <w:proofErr w:type="spellStart"/>
      <w:r w:rsidR="00BD7929" w:rsidRPr="00634466">
        <w:t>Tohmo</w:t>
      </w:r>
      <w:proofErr w:type="spellEnd"/>
      <w:r w:rsidR="00BD7929" w:rsidRPr="00634466">
        <w:t xml:space="preserve">, </w:t>
      </w:r>
      <w:r w:rsidR="002F0269" w:rsidRPr="00634466">
        <w:t>2013b</w:t>
      </w:r>
      <w:r w:rsidR="00BD7929" w:rsidRPr="00634466">
        <w:t>) however the method is not appropriate for this case study as it estimates technical coeffic</w:t>
      </w:r>
      <w:r w:rsidR="00426851" w:rsidRPr="00634466">
        <w:t>ients as opposed to</w:t>
      </w:r>
      <w:r w:rsidR="00BD7929" w:rsidRPr="00634466">
        <w:t xml:space="preserve"> intraregional input coefficients. </w:t>
      </w:r>
    </w:p>
    <w:p w:rsidR="00BD7929" w:rsidRPr="00634466" w:rsidRDefault="00BD7929" w:rsidP="00BD7929"/>
    <w:p w:rsidR="00BD7929" w:rsidRPr="00634466" w:rsidRDefault="00BD7929" w:rsidP="00BD7929">
      <w:pPr>
        <w:pStyle w:val="Heading2"/>
        <w:numPr>
          <w:ilvl w:val="1"/>
          <w:numId w:val="6"/>
        </w:numPr>
        <w:spacing w:line="480" w:lineRule="auto"/>
      </w:pPr>
      <w:r w:rsidRPr="00634466">
        <w:t>Hybrid approaches</w:t>
      </w:r>
    </w:p>
    <w:p w:rsidR="009E0D1D" w:rsidRPr="00634466" w:rsidRDefault="00BD7929" w:rsidP="009E0D1D">
      <w:pPr>
        <w:spacing w:line="480" w:lineRule="auto"/>
      </w:pPr>
      <w:r w:rsidRPr="00634466">
        <w:t>Hybrid approaches improve the accuracy of estimates over purely mechanical approaches by drawing on actual observations to constrain the results. Lahr</w:t>
      </w:r>
      <w:r w:rsidR="00DD1B86" w:rsidRPr="00634466">
        <w:t xml:space="preserve"> (</w:t>
      </w:r>
      <w:r w:rsidRPr="00634466">
        <w:t>1993, p. 278)</w:t>
      </w:r>
      <w:r w:rsidR="00DD1B86" w:rsidRPr="00634466">
        <w:t xml:space="preserve"> summarises a typical process</w:t>
      </w:r>
      <w:r w:rsidRPr="00634466">
        <w:t xml:space="preserve">. For example, one could start with a location quotient based matrix of intermediate transactions </w:t>
      </w:r>
      <w:r w:rsidR="00DD1B86" w:rsidRPr="00634466">
        <w:t xml:space="preserve"> and </w:t>
      </w:r>
      <w:r w:rsidRPr="00634466">
        <w:t xml:space="preserve">survey companies in the most important sectors to determine the total of intermediate sales (row sum) and purchases (column sum). </w:t>
      </w:r>
      <w:r w:rsidR="00DD1B86" w:rsidRPr="00634466">
        <w:t>The original matrix is then adjusted to conform to control totals</w:t>
      </w:r>
      <w:r w:rsidR="005C77EE" w:rsidRPr="00634466">
        <w:t xml:space="preserve"> using an adjustment algorithm</w:t>
      </w:r>
      <w:r w:rsidR="00DD1B86" w:rsidRPr="00634466">
        <w:t>.</w:t>
      </w:r>
      <w:r w:rsidR="009E0D1D" w:rsidRPr="00634466">
        <w:t xml:space="preserve"> As Lahr &amp; de </w:t>
      </w:r>
      <w:proofErr w:type="spellStart"/>
      <w:r w:rsidR="009E0D1D" w:rsidRPr="00634466">
        <w:t>Mesnard</w:t>
      </w:r>
      <w:proofErr w:type="spellEnd"/>
      <w:r w:rsidR="009E0D1D" w:rsidRPr="00634466">
        <w:t xml:space="preserve"> (2004) point out, these fall into broadly two categories: Scaling algorithms (e.g. the well-known RAS ((see Section </w:t>
      </w:r>
      <w:smartTag w:uri="urn:schemas-microsoft-com:office:smarttags" w:element="metricconverter">
        <w:smartTagPr>
          <w:attr w:name="ProductID" w:val="7.4 in"/>
        </w:smartTagPr>
        <w:r w:rsidR="009E0D1D" w:rsidRPr="00634466">
          <w:t>7.4 in</w:t>
        </w:r>
      </w:smartTag>
      <w:r w:rsidR="009E0D1D" w:rsidRPr="00634466">
        <w:t xml:space="preserve"> Miller &amp; Blair (2009)),</w:t>
      </w:r>
      <w:r w:rsidR="005C77EE" w:rsidRPr="00634466">
        <w:t xml:space="preserve"> and maximizing algorithms, e.g. e</w:t>
      </w:r>
      <w:r w:rsidR="009E0D1D" w:rsidRPr="00634466">
        <w:t xml:space="preserve">ntropy maximisation </w:t>
      </w:r>
      <w:r w:rsidR="005C77EE" w:rsidRPr="00634466">
        <w:t xml:space="preserve">approaches </w:t>
      </w:r>
      <w:r w:rsidR="009E0D1D" w:rsidRPr="00634466">
        <w:t xml:space="preserve">(Wilson 1970). </w:t>
      </w:r>
    </w:p>
    <w:p w:rsidR="009E0D1D" w:rsidRPr="00634466" w:rsidRDefault="009E0D1D" w:rsidP="00BD7929">
      <w:pPr>
        <w:spacing w:line="480" w:lineRule="auto"/>
      </w:pPr>
    </w:p>
    <w:p w:rsidR="005533D1" w:rsidRPr="00634466" w:rsidRDefault="00BD7929" w:rsidP="005533D1">
      <w:pPr>
        <w:spacing w:line="480" w:lineRule="auto"/>
      </w:pPr>
      <w:r w:rsidRPr="00634466">
        <w:t>Several templates have been proposed for deriving hybrid Input-Output tables (Miller &amp; Blair, 2009, p. 373). A widely applied examples is the GRIT approach (West, 1990), which combines mechanical approaches with available data. Another well-known approach is the Double-Entry Bi-Regional Input-Output Tables (DEBRIOT) approach (</w:t>
      </w:r>
      <w:proofErr w:type="spellStart"/>
      <w:r w:rsidRPr="00634466">
        <w:t>Boomsma</w:t>
      </w:r>
      <w:proofErr w:type="spellEnd"/>
      <w:r w:rsidRPr="00634466">
        <w:t xml:space="preserve"> &amp; </w:t>
      </w:r>
      <w:proofErr w:type="spellStart"/>
      <w:r w:rsidRPr="00634466">
        <w:t>Oosterhaven</w:t>
      </w:r>
      <w:proofErr w:type="spellEnd"/>
      <w:r w:rsidRPr="00634466">
        <w:t xml:space="preserve">, 1992). This builds on the observation that firms are generally better informed about the spatial destination of their output than the spatial origin of their inputs. Focussing only on destination of outputs and constraining sub-regional analysis </w:t>
      </w:r>
      <w:r w:rsidR="00F83083" w:rsidRPr="00634466">
        <w:t>within a bi-regional</w:t>
      </w:r>
      <w:r w:rsidRPr="00634466">
        <w:t xml:space="preserve"> IO table reduces survey requirements and provides a “good and relatively cheap" alternative to non-survey tables (</w:t>
      </w:r>
      <w:proofErr w:type="spellStart"/>
      <w:r w:rsidRPr="00634466">
        <w:t>Boomsma</w:t>
      </w:r>
      <w:proofErr w:type="spellEnd"/>
      <w:r w:rsidRPr="00634466">
        <w:t xml:space="preserve"> &amp; </w:t>
      </w:r>
      <w:proofErr w:type="spellStart"/>
      <w:r w:rsidRPr="00634466">
        <w:t>Oosterhaven</w:t>
      </w:r>
      <w:proofErr w:type="spellEnd"/>
      <w:r w:rsidRPr="00634466">
        <w:t>, 1992, p. 282).</w:t>
      </w:r>
      <w:r w:rsidR="00226FCA" w:rsidRPr="00634466">
        <w:t xml:space="preserve"> The feasibility of hybrid </w:t>
      </w:r>
      <w:r w:rsidR="00226FCA" w:rsidRPr="00634466">
        <w:lastRenderedPageBreak/>
        <w:t>techniques ultimately hinges on the cost of collecting data and available resources.</w:t>
      </w:r>
      <w:r w:rsidR="00B90191" w:rsidRPr="00634466">
        <w:t xml:space="preserve"> If a range of regional and sub-reg</w:t>
      </w:r>
      <w:r w:rsidR="004302D1">
        <w:t>ional tables are available it can be</w:t>
      </w:r>
      <w:r w:rsidR="00B90191" w:rsidRPr="00634466">
        <w:t xml:space="preserve"> possible to use these to inform the structure of a new table </w:t>
      </w:r>
      <w:r w:rsidR="007F1053" w:rsidRPr="00634466">
        <w:t xml:space="preserve">by applying </w:t>
      </w:r>
      <w:r w:rsidR="00B90191" w:rsidRPr="00634466">
        <w:t xml:space="preserve">an adjustment algorithm in a process known as spatial projection (see e.g. </w:t>
      </w:r>
      <w:proofErr w:type="spellStart"/>
      <w:r w:rsidR="00B90191" w:rsidRPr="00634466">
        <w:t>Oosterhaven</w:t>
      </w:r>
      <w:proofErr w:type="spellEnd"/>
      <w:r w:rsidR="00B90191" w:rsidRPr="00634466">
        <w:t xml:space="preserve"> &amp; Escobedo‐</w:t>
      </w:r>
      <w:proofErr w:type="spellStart"/>
      <w:r w:rsidR="00B90191" w:rsidRPr="00634466">
        <w:t>Cardeñoso</w:t>
      </w:r>
      <w:proofErr w:type="spellEnd"/>
      <w:r w:rsidR="00B90191" w:rsidRPr="00634466">
        <w:t>, 2011).</w:t>
      </w:r>
    </w:p>
    <w:p w:rsidR="005C77EE" w:rsidRPr="00634466" w:rsidRDefault="005C77EE" w:rsidP="005533D1">
      <w:pPr>
        <w:spacing w:line="480" w:lineRule="auto"/>
      </w:pPr>
    </w:p>
    <w:p w:rsidR="00B91E77" w:rsidRPr="00634466" w:rsidRDefault="00B91E77" w:rsidP="00B91E77">
      <w:pPr>
        <w:pStyle w:val="Heading2"/>
        <w:numPr>
          <w:ilvl w:val="1"/>
          <w:numId w:val="6"/>
        </w:numPr>
        <w:spacing w:line="480" w:lineRule="auto"/>
      </w:pPr>
      <w:bookmarkStart w:id="5" w:name="_Ref401933512"/>
      <w:r w:rsidRPr="00634466">
        <w:t>Accounting for households</w:t>
      </w:r>
      <w:bookmarkEnd w:id="5"/>
    </w:p>
    <w:p w:rsidR="00B91E77" w:rsidRPr="00634466" w:rsidRDefault="00131316" w:rsidP="00131316">
      <w:pPr>
        <w:spacing w:line="480" w:lineRule="auto"/>
      </w:pPr>
      <w:r w:rsidRPr="00634466">
        <w:t>Induced effects occur as increased economic activity boosts income, which in turn increases household consumption</w:t>
      </w:r>
      <w:r w:rsidR="008A521D">
        <w:t xml:space="preserve"> expenditures. Type </w:t>
      </w:r>
      <w:r w:rsidRPr="00634466">
        <w:t xml:space="preserve">II IO-multipliers can be considered an approximation of this relationship. Using the standard approach, as outlined in Miller and Blair (2009, </w:t>
      </w:r>
      <w:r w:rsidR="004302D1">
        <w:t>p</w:t>
      </w:r>
      <w:r w:rsidRPr="00634466">
        <w:t>p. 34-41) these are calculated by imposing a 1-for-1 relationship between wage income and consumption so that a 10% increase in wage income generates a 10% increase in household consumption. However, wages are only a part of househol</w:t>
      </w:r>
      <w:r w:rsidR="004302D1">
        <w:t xml:space="preserve">d income and </w:t>
      </w:r>
      <w:proofErr w:type="gramStart"/>
      <w:r w:rsidR="004302D1">
        <w:t xml:space="preserve">IO  </w:t>
      </w:r>
      <w:r w:rsidRPr="00634466">
        <w:t>tables</w:t>
      </w:r>
      <w:proofErr w:type="gramEnd"/>
      <w:r w:rsidRPr="00634466">
        <w:t xml:space="preserve"> do not account for non-wage income such</w:t>
      </w:r>
      <w:r w:rsidR="008A521D">
        <w:t xml:space="preserve"> as transfers. This biases Type </w:t>
      </w:r>
      <w:r w:rsidRPr="00634466">
        <w:t>II multipliers upwards. Similarly, it assumes all marginal income is spent and does not differentiate between average and marginal consumption. Conversely, household income from other value-added is ignored, which introduces a downward bias. Earlier work made significant effo</w:t>
      </w:r>
      <w:r w:rsidR="008A521D">
        <w:t xml:space="preserve">rts to revise the Type </w:t>
      </w:r>
      <w:r w:rsidR="00EC0F19" w:rsidRPr="00634466">
        <w:t>II approach (e.g. Batey</w:t>
      </w:r>
      <w:r w:rsidR="0063088F" w:rsidRPr="00634466">
        <w:t xml:space="preserve"> 1985</w:t>
      </w:r>
      <w:r w:rsidRPr="00634466">
        <w:t>,</w:t>
      </w:r>
      <w:r w:rsidR="0063088F" w:rsidRPr="00634466">
        <w:t xml:space="preserve"> van Dijk &amp; </w:t>
      </w:r>
      <w:proofErr w:type="spellStart"/>
      <w:r w:rsidR="0063088F" w:rsidRPr="00634466">
        <w:t>Oosterhaven</w:t>
      </w:r>
      <w:proofErr w:type="spellEnd"/>
      <w:r w:rsidR="0063088F" w:rsidRPr="00634466">
        <w:t xml:space="preserve"> </w:t>
      </w:r>
      <w:r w:rsidRPr="00634466">
        <w:t>1986) However, these methods have not become prevalent and hence the standard approach is adopted here as a familiar, albeit flawed, benchmark. The issue is revisited by Emonts-Holley et al (2015) who compare different approach</w:t>
      </w:r>
      <w:r w:rsidR="004302D1">
        <w:t>es</w:t>
      </w:r>
      <w:r w:rsidR="008A521D">
        <w:t xml:space="preserve"> and find standard Type </w:t>
      </w:r>
      <w:r w:rsidRPr="00634466">
        <w:t>II multipliers to overstate impacts by approximately 12% vis-á-vi</w:t>
      </w:r>
      <w:r w:rsidR="00322B92">
        <w:t>s SAM multipliers. This line of work</w:t>
      </w:r>
      <w:r w:rsidRPr="00634466">
        <w:t xml:space="preserve"> focus</w:t>
      </w:r>
      <w:r w:rsidR="00322B92">
        <w:t>ses</w:t>
      </w:r>
      <w:r w:rsidRPr="00634466">
        <w:t xml:space="preserve"> </w:t>
      </w:r>
      <w:r w:rsidR="008A521D">
        <w:t xml:space="preserve">on the overall accuracy of Type </w:t>
      </w:r>
      <w:r w:rsidRPr="00634466">
        <w:t xml:space="preserve">II multipliers as an approximation of induced effects. However, in the context of disaggregating IO tables, the primary concern is the appropriate spatial attribution of these effects. </w:t>
      </w:r>
      <w:r w:rsidR="00671D62" w:rsidRPr="00634466">
        <w:t xml:space="preserve">For this </w:t>
      </w:r>
      <w:r w:rsidR="00B91E77" w:rsidRPr="00634466">
        <w:t>an accurate identification of household consumption and labour income is c</w:t>
      </w:r>
      <w:r w:rsidR="00671D62" w:rsidRPr="00634466">
        <w:t>ritical</w:t>
      </w:r>
      <w:r w:rsidR="00B91E77" w:rsidRPr="00634466">
        <w:t xml:space="preserve"> (Lahr 1993, Richardson 1985).</w:t>
      </w:r>
      <w:r w:rsidR="00671D62" w:rsidRPr="00634466">
        <w:t xml:space="preserve"> In particular </w:t>
      </w:r>
      <w:r w:rsidR="00B91E77" w:rsidRPr="00634466">
        <w:t xml:space="preserve">at the metropolitan level, where local economies are strongly interdependent through commuting and shopping trips (Hewings et al 2001, Madden 1985, Madsen </w:t>
      </w:r>
      <w:r w:rsidR="00B91E77" w:rsidRPr="00634466">
        <w:lastRenderedPageBreak/>
        <w:t xml:space="preserve">&amp; Jensen-Butler 2005, </w:t>
      </w:r>
      <w:proofErr w:type="spellStart"/>
      <w:r w:rsidR="00B91E77" w:rsidRPr="00634466">
        <w:t>Oosterhaven</w:t>
      </w:r>
      <w:proofErr w:type="spellEnd"/>
      <w:r w:rsidR="00B91E77" w:rsidRPr="00634466">
        <w:t>, 1981). Therefore, particular care needs to be taken when the boundaries of the study area cross functional boundaries (Hewings &amp; Parr, 2007).</w:t>
      </w:r>
    </w:p>
    <w:p w:rsidR="00B91E77" w:rsidRPr="00634466" w:rsidRDefault="00B91E77" w:rsidP="00B91E77">
      <w:pPr>
        <w:spacing w:line="480" w:lineRule="auto"/>
      </w:pPr>
    </w:p>
    <w:p w:rsidR="00B91E77" w:rsidRPr="00634466" w:rsidRDefault="00B91E77" w:rsidP="00B91E77">
      <w:pPr>
        <w:spacing w:line="480" w:lineRule="auto"/>
      </w:pPr>
      <w:proofErr w:type="spellStart"/>
      <w:r w:rsidRPr="00634466">
        <w:t>Oosterhaven</w:t>
      </w:r>
      <w:proofErr w:type="spellEnd"/>
      <w:r w:rsidRPr="00634466">
        <w:t xml:space="preserve"> (1981) co</w:t>
      </w:r>
      <w:r w:rsidR="003E07F8" w:rsidRPr="00634466">
        <w:t>nstructs a 3-region IO</w:t>
      </w:r>
      <w:r w:rsidRPr="00634466">
        <w:t xml:space="preserve"> table </w:t>
      </w:r>
      <w:r w:rsidR="004302D1">
        <w:t>for the Netherlands, using</w:t>
      </w:r>
      <w:r w:rsidR="003E07F8" w:rsidRPr="00634466">
        <w:t xml:space="preserve"> </w:t>
      </w:r>
      <w:r w:rsidRPr="00634466">
        <w:t>commuting data</w:t>
      </w:r>
      <w:r w:rsidR="004302D1">
        <w:t xml:space="preserve"> from a census</w:t>
      </w:r>
      <w:r w:rsidRPr="00634466">
        <w:t xml:space="preserve"> to inform interregional flows of wage income and a gravity model to estimate consumption flows across regional</w:t>
      </w:r>
      <w:r w:rsidR="003E07F8" w:rsidRPr="00634466">
        <w:t xml:space="preserve"> boundaries. This shows </w:t>
      </w:r>
      <w:r w:rsidRPr="00634466">
        <w:t xml:space="preserve">limited </w:t>
      </w:r>
      <w:r w:rsidR="004302D1">
        <w:t xml:space="preserve">commuting but significant </w:t>
      </w:r>
      <w:proofErr w:type="spellStart"/>
      <w:r w:rsidR="004302D1">
        <w:t>spill</w:t>
      </w:r>
      <w:r w:rsidRPr="00634466">
        <w:t>over</w:t>
      </w:r>
      <w:proofErr w:type="spellEnd"/>
      <w:r w:rsidRPr="00634466">
        <w:t xml:space="preserve"> of household final demand. Several subsequent studies have emphasised the potential discrepancy between place of work and place of consumption in IO models. Madden (1985) for </w:t>
      </w:r>
      <w:proofErr w:type="spellStart"/>
      <w:r w:rsidRPr="00634466">
        <w:t>Nordrein</w:t>
      </w:r>
      <w:proofErr w:type="spellEnd"/>
      <w:r w:rsidRPr="00634466">
        <w:t>-Westphalia in Germany, Hewings et al (2001) in 4-region model of the Chicago economy and Jun (2004) sets out a general framework. These IO models offer a number of advanced features</w:t>
      </w:r>
      <w:r w:rsidRPr="00634466">
        <w:rPr>
          <w:rStyle w:val="FootnoteReference"/>
        </w:rPr>
        <w:footnoteReference w:id="5"/>
      </w:r>
      <w:r w:rsidRPr="00634466">
        <w:t xml:space="preserve">. However, with the exception of </w:t>
      </w:r>
      <w:proofErr w:type="spellStart"/>
      <w:r w:rsidRPr="00634466">
        <w:t>Oosterhaven</w:t>
      </w:r>
      <w:proofErr w:type="spellEnd"/>
      <w:r w:rsidRPr="00634466">
        <w:t xml:space="preserve"> (1981), the practicalities of populating the commuting and shopping matrices are not detailed. In particular, it is not clear what assumptions are involved in converting shopping trips to values of interregional consumptions flows. Furthermore, these innovations have yet to be distilled into simple approaches that can be readily adopted in practice, such as by resource constrained policy makers and consultants. </w:t>
      </w:r>
    </w:p>
    <w:p w:rsidR="008E26B4" w:rsidRPr="00634466" w:rsidRDefault="008E26B4" w:rsidP="008E26B4">
      <w:pPr>
        <w:pStyle w:val="Heading1"/>
        <w:numPr>
          <w:ilvl w:val="0"/>
          <w:numId w:val="6"/>
        </w:numPr>
        <w:spacing w:line="480" w:lineRule="auto"/>
      </w:pPr>
      <w:bookmarkStart w:id="6" w:name="_Ref401843570"/>
      <w:r w:rsidRPr="00634466">
        <w:t>Glasgow City-region and the rest of Scotland</w:t>
      </w:r>
      <w:bookmarkEnd w:id="6"/>
    </w:p>
    <w:p w:rsidR="008E26B4" w:rsidRPr="00634466" w:rsidRDefault="008E26B4" w:rsidP="008E26B4">
      <w:pPr>
        <w:spacing w:line="480" w:lineRule="auto"/>
      </w:pPr>
      <w:r w:rsidRPr="00634466">
        <w:t>This paper focuses on Glasgow, which is the largest city in Scotland, with a city-region (comprising Glasgow (GLA) and the rest of Strathclyde (RST)) of approximately 2.1 million inhabitants</w:t>
      </w:r>
      <w:r w:rsidRPr="00634466">
        <w:rPr>
          <w:vertAlign w:val="superscript"/>
        </w:rPr>
        <w:footnoteReference w:id="6"/>
      </w:r>
      <w:r w:rsidRPr="00634466">
        <w:t xml:space="preserve">. GLA is a separate administrative unit but is economically interdependent with the RST and the Rest of Scotland (ROS). The ROS is identified as a residual, to allow the spatial boundaries of the study to conform to Scotland. The Strathclyde region is Scotland's largest population and economic centre, </w:t>
      </w:r>
      <w:r w:rsidRPr="00634466">
        <w:lastRenderedPageBreak/>
        <w:t>containing 41.7% of its population and 41.1% of tota</w:t>
      </w:r>
      <w:r w:rsidR="00493FF2" w:rsidRPr="00634466">
        <w:t>l employment. The City of Glasgow is at its centre and is</w:t>
      </w:r>
      <w:r w:rsidRPr="00634466">
        <w:t xml:space="preserve"> linked via an extensive suburban rail network to the rest of the Strathclyde region. Key economic and social indicators for these areas are given in </w:t>
      </w:r>
      <w:fldSimple w:instr=" REF _Ref355083525 \h  \* MERGEFORMAT ">
        <w:r w:rsidR="00476FBF" w:rsidRPr="00634466">
          <w:t xml:space="preserve">Table </w:t>
        </w:r>
        <w:r w:rsidR="00476FBF">
          <w:t>1</w:t>
        </w:r>
      </w:fldSimple>
      <w:r w:rsidRPr="00634466">
        <w:t>.</w:t>
      </w:r>
    </w:p>
    <w:p w:rsidR="00784F01" w:rsidRPr="00634466" w:rsidRDefault="00784F01" w:rsidP="008E26B4">
      <w:pPr>
        <w:spacing w:line="480" w:lineRule="auto"/>
      </w:pPr>
    </w:p>
    <w:p w:rsidR="00895DC3" w:rsidRPr="00634466" w:rsidRDefault="008E26B4" w:rsidP="0021722E">
      <w:pPr>
        <w:pStyle w:val="Caption"/>
      </w:pPr>
      <w:bookmarkStart w:id="7" w:name="_Ref355083525"/>
      <w:r w:rsidRPr="00634466">
        <w:t xml:space="preserve">Table </w:t>
      </w:r>
      <w:r w:rsidR="00BB6961" w:rsidRPr="00634466">
        <w:fldChar w:fldCharType="begin"/>
      </w:r>
      <w:r w:rsidR="00E16D08" w:rsidRPr="00634466">
        <w:instrText xml:space="preserve"> SEQ Table \* ARABIC </w:instrText>
      </w:r>
      <w:r w:rsidR="00BB6961" w:rsidRPr="00634466">
        <w:fldChar w:fldCharType="separate"/>
      </w:r>
      <w:r w:rsidR="00476FBF">
        <w:rPr>
          <w:noProof/>
        </w:rPr>
        <w:t>1</w:t>
      </w:r>
      <w:r w:rsidR="00BB6961" w:rsidRPr="00634466">
        <w:rPr>
          <w:noProof/>
        </w:rPr>
        <w:fldChar w:fldCharType="end"/>
      </w:r>
      <w:bookmarkEnd w:id="7"/>
      <w:r w:rsidR="00895DC3" w:rsidRPr="00634466">
        <w:t xml:space="preserve"> Key social and economic indicators for each IO-region in 2006.</w:t>
      </w:r>
    </w:p>
    <w:tbl>
      <w:tblPr>
        <w:tblW w:w="0" w:type="auto"/>
        <w:jc w:val="center"/>
        <w:tblInd w:w="108" w:type="dxa"/>
        <w:tblLook w:val="04A0"/>
      </w:tblPr>
      <w:tblGrid>
        <w:gridCol w:w="3624"/>
        <w:gridCol w:w="1176"/>
        <w:gridCol w:w="809"/>
        <w:gridCol w:w="945"/>
        <w:gridCol w:w="945"/>
        <w:gridCol w:w="945"/>
      </w:tblGrid>
      <w:tr w:rsidR="00895DC3" w:rsidRPr="00634466" w:rsidTr="00493FF2">
        <w:trPr>
          <w:trHeight w:val="330"/>
          <w:jc w:val="center"/>
        </w:trPr>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GLA</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RST</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ROS</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SCO</w:t>
            </w:r>
          </w:p>
        </w:tc>
      </w:tr>
      <w:tr w:rsidR="00895DC3" w:rsidRPr="00634466" w:rsidTr="00493FF2">
        <w:trPr>
          <w:trHeight w:val="255"/>
          <w:jc w:val="center"/>
        </w:trPr>
        <w:tc>
          <w:tcPr>
            <w:tcW w:w="0" w:type="auto"/>
            <w:vMerge w:val="restart"/>
            <w:tcBorders>
              <w:top w:val="single" w:sz="8" w:space="0" w:color="auto"/>
              <w:left w:val="nil"/>
              <w:bottom w:val="dashed" w:sz="4" w:space="0" w:color="000000"/>
              <w:right w:val="nil"/>
            </w:tcBorders>
            <w:shd w:val="clear" w:color="auto" w:fill="auto"/>
            <w:noWrap/>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Population</w:t>
            </w:r>
          </w:p>
        </w:tc>
        <w:tc>
          <w:tcPr>
            <w:tcW w:w="0" w:type="auto"/>
            <w:tcBorders>
              <w:top w:val="single" w:sz="8" w:space="0" w:color="auto"/>
              <w:left w:val="nil"/>
              <w:bottom w:val="nil"/>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p>
        </w:tc>
        <w:tc>
          <w:tcPr>
            <w:tcW w:w="0" w:type="auto"/>
            <w:tcBorders>
              <w:top w:val="single" w:sz="8" w:space="0" w:color="auto"/>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580,690</w:t>
            </w:r>
          </w:p>
        </w:tc>
        <w:tc>
          <w:tcPr>
            <w:tcW w:w="0" w:type="auto"/>
            <w:tcBorders>
              <w:top w:val="single" w:sz="8" w:space="0" w:color="auto"/>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1,555,374</w:t>
            </w:r>
          </w:p>
        </w:tc>
        <w:tc>
          <w:tcPr>
            <w:tcW w:w="0" w:type="auto"/>
            <w:tcBorders>
              <w:top w:val="single" w:sz="8" w:space="0" w:color="auto"/>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2,980,836</w:t>
            </w:r>
          </w:p>
        </w:tc>
        <w:tc>
          <w:tcPr>
            <w:tcW w:w="0" w:type="auto"/>
            <w:tcBorders>
              <w:top w:val="single" w:sz="8" w:space="0" w:color="auto"/>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5,116,900</w:t>
            </w:r>
          </w:p>
        </w:tc>
      </w:tr>
      <w:tr w:rsidR="00895DC3" w:rsidRPr="00634466" w:rsidTr="00493FF2">
        <w:trPr>
          <w:trHeight w:val="255"/>
          <w:jc w:val="center"/>
        </w:trPr>
        <w:tc>
          <w:tcPr>
            <w:tcW w:w="0" w:type="auto"/>
            <w:vMerge/>
            <w:tcBorders>
              <w:top w:val="single" w:sz="8" w:space="0" w:color="auto"/>
              <w:left w:val="nil"/>
              <w:bottom w:val="dashed" w:sz="4" w:space="0" w:color="000000"/>
              <w:right w:val="nil"/>
            </w:tcBorders>
            <w:vAlign w:val="center"/>
            <w:hideMark/>
          </w:tcPr>
          <w:p w:rsidR="00895DC3" w:rsidRPr="00634466" w:rsidRDefault="00895DC3" w:rsidP="00493FF2">
            <w:pPr>
              <w:jc w:val="center"/>
              <w:rPr>
                <w:rFonts w:ascii="Calibri" w:hAnsi="Calibri" w:cs="Arial"/>
                <w:b/>
                <w:bCs/>
                <w:sz w:val="18"/>
                <w:szCs w:val="20"/>
              </w:rPr>
            </w:pPr>
          </w:p>
        </w:tc>
        <w:tc>
          <w:tcPr>
            <w:tcW w:w="0" w:type="auto"/>
            <w:tcBorders>
              <w:top w:val="nil"/>
              <w:left w:val="nil"/>
              <w:bottom w:val="dashed" w:sz="4" w:space="0" w:color="auto"/>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 of total</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11%</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30%</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58%</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100%</w:t>
            </w:r>
          </w:p>
        </w:tc>
      </w:tr>
      <w:tr w:rsidR="00895DC3" w:rsidRPr="00634466" w:rsidTr="00493FF2">
        <w:trPr>
          <w:trHeight w:val="255"/>
          <w:jc w:val="center"/>
        </w:trPr>
        <w:tc>
          <w:tcPr>
            <w:tcW w:w="0" w:type="auto"/>
            <w:vMerge w:val="restart"/>
            <w:tcBorders>
              <w:top w:val="nil"/>
              <w:left w:val="nil"/>
              <w:bottom w:val="dashed" w:sz="4" w:space="0" w:color="000000"/>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Employment</w:t>
            </w:r>
          </w:p>
        </w:tc>
        <w:tc>
          <w:tcPr>
            <w:tcW w:w="0" w:type="auto"/>
            <w:tcBorders>
              <w:top w:val="nil"/>
              <w:left w:val="nil"/>
              <w:bottom w:val="nil"/>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FTEs</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313,535</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448,296</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1,089,529</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1,851,360</w:t>
            </w:r>
          </w:p>
        </w:tc>
      </w:tr>
      <w:tr w:rsidR="00895DC3" w:rsidRPr="00634466" w:rsidTr="00493FF2">
        <w:trPr>
          <w:trHeight w:val="255"/>
          <w:jc w:val="center"/>
        </w:trPr>
        <w:tc>
          <w:tcPr>
            <w:tcW w:w="0" w:type="auto"/>
            <w:vMerge/>
            <w:tcBorders>
              <w:top w:val="nil"/>
              <w:left w:val="nil"/>
              <w:bottom w:val="dashed" w:sz="4" w:space="0" w:color="000000"/>
              <w:right w:val="nil"/>
            </w:tcBorders>
            <w:vAlign w:val="center"/>
            <w:hideMark/>
          </w:tcPr>
          <w:p w:rsidR="00895DC3" w:rsidRPr="00634466" w:rsidRDefault="00895DC3" w:rsidP="00493FF2">
            <w:pPr>
              <w:jc w:val="center"/>
              <w:rPr>
                <w:rFonts w:ascii="Calibri" w:hAnsi="Calibri" w:cs="Arial"/>
                <w:b/>
                <w:bCs/>
                <w:sz w:val="18"/>
                <w:szCs w:val="20"/>
              </w:rPr>
            </w:pPr>
          </w:p>
        </w:tc>
        <w:tc>
          <w:tcPr>
            <w:tcW w:w="0" w:type="auto"/>
            <w:tcBorders>
              <w:top w:val="nil"/>
              <w:left w:val="nil"/>
              <w:bottom w:val="dashed" w:sz="4" w:space="0" w:color="auto"/>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 of total</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17%</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24%</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59%</w:t>
            </w:r>
          </w:p>
        </w:tc>
        <w:tc>
          <w:tcPr>
            <w:tcW w:w="0" w:type="auto"/>
            <w:tcBorders>
              <w:top w:val="nil"/>
              <w:left w:val="nil"/>
              <w:bottom w:val="dashed" w:sz="4"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100%</w:t>
            </w:r>
          </w:p>
        </w:tc>
      </w:tr>
      <w:tr w:rsidR="00895DC3" w:rsidRPr="00634466" w:rsidTr="00493FF2">
        <w:trPr>
          <w:trHeight w:val="255"/>
          <w:jc w:val="center"/>
        </w:trPr>
        <w:tc>
          <w:tcPr>
            <w:tcW w:w="0" w:type="auto"/>
            <w:vMerge w:val="restart"/>
            <w:tcBorders>
              <w:top w:val="nil"/>
              <w:left w:val="nil"/>
              <w:bottom w:val="single" w:sz="8" w:space="0" w:color="000000"/>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Gross Domestic Household Income Per Capita</w:t>
            </w:r>
          </w:p>
        </w:tc>
        <w:tc>
          <w:tcPr>
            <w:tcW w:w="0" w:type="auto"/>
            <w:tcBorders>
              <w:top w:val="nil"/>
              <w:left w:val="nil"/>
              <w:bottom w:val="nil"/>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11,968</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12,975</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13,319</w:t>
            </w:r>
          </w:p>
        </w:tc>
        <w:tc>
          <w:tcPr>
            <w:tcW w:w="0" w:type="auto"/>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13,071</w:t>
            </w:r>
          </w:p>
        </w:tc>
      </w:tr>
      <w:tr w:rsidR="00895DC3" w:rsidRPr="00634466" w:rsidTr="00493FF2">
        <w:trPr>
          <w:trHeight w:val="270"/>
          <w:jc w:val="center"/>
        </w:trPr>
        <w:tc>
          <w:tcPr>
            <w:tcW w:w="0" w:type="auto"/>
            <w:vMerge/>
            <w:tcBorders>
              <w:top w:val="nil"/>
              <w:left w:val="nil"/>
              <w:bottom w:val="single" w:sz="8" w:space="0" w:color="000000"/>
              <w:right w:val="nil"/>
            </w:tcBorders>
            <w:vAlign w:val="center"/>
            <w:hideMark/>
          </w:tcPr>
          <w:p w:rsidR="00895DC3" w:rsidRPr="00634466" w:rsidRDefault="00895DC3" w:rsidP="00493FF2">
            <w:pPr>
              <w:rPr>
                <w:rFonts w:ascii="Calibri" w:hAnsi="Calibri" w:cs="Arial"/>
                <w:b/>
                <w:bCs/>
                <w:sz w:val="18"/>
                <w:szCs w:val="20"/>
              </w:rPr>
            </w:pPr>
          </w:p>
        </w:tc>
        <w:tc>
          <w:tcPr>
            <w:tcW w:w="0" w:type="auto"/>
            <w:tcBorders>
              <w:top w:val="nil"/>
              <w:left w:val="nil"/>
              <w:bottom w:val="single" w:sz="8" w:space="0" w:color="auto"/>
              <w:right w:val="nil"/>
            </w:tcBorders>
            <w:shd w:val="clear" w:color="auto" w:fill="auto"/>
            <w:vAlign w:val="center"/>
            <w:hideMark/>
          </w:tcPr>
          <w:p w:rsidR="00895DC3" w:rsidRPr="00634466" w:rsidRDefault="00895DC3" w:rsidP="00493FF2">
            <w:pPr>
              <w:jc w:val="center"/>
              <w:rPr>
                <w:rFonts w:ascii="Calibri" w:hAnsi="Calibri" w:cs="Arial"/>
                <w:b/>
                <w:bCs/>
                <w:sz w:val="18"/>
                <w:szCs w:val="20"/>
              </w:rPr>
            </w:pPr>
            <w:r w:rsidRPr="00634466">
              <w:rPr>
                <w:rFonts w:ascii="Calibri" w:hAnsi="Calibri" w:cs="Arial"/>
                <w:b/>
                <w:bCs/>
                <w:sz w:val="18"/>
                <w:szCs w:val="20"/>
              </w:rPr>
              <w:t>% of average</w:t>
            </w:r>
          </w:p>
        </w:tc>
        <w:tc>
          <w:tcPr>
            <w:tcW w:w="0" w:type="auto"/>
            <w:tcBorders>
              <w:top w:val="nil"/>
              <w:left w:val="nil"/>
              <w:bottom w:val="single" w:sz="8"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92%</w:t>
            </w:r>
          </w:p>
        </w:tc>
        <w:tc>
          <w:tcPr>
            <w:tcW w:w="0" w:type="auto"/>
            <w:tcBorders>
              <w:top w:val="nil"/>
              <w:left w:val="nil"/>
              <w:bottom w:val="single" w:sz="8"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99%</w:t>
            </w:r>
          </w:p>
        </w:tc>
        <w:tc>
          <w:tcPr>
            <w:tcW w:w="0" w:type="auto"/>
            <w:tcBorders>
              <w:top w:val="nil"/>
              <w:left w:val="nil"/>
              <w:bottom w:val="single" w:sz="8"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102%</w:t>
            </w:r>
          </w:p>
        </w:tc>
        <w:tc>
          <w:tcPr>
            <w:tcW w:w="0" w:type="auto"/>
            <w:tcBorders>
              <w:top w:val="nil"/>
              <w:left w:val="nil"/>
              <w:bottom w:val="single" w:sz="8" w:space="0" w:color="auto"/>
              <w:right w:val="nil"/>
            </w:tcBorders>
            <w:shd w:val="clear" w:color="auto" w:fill="auto"/>
            <w:noWrap/>
            <w:vAlign w:val="center"/>
            <w:hideMark/>
          </w:tcPr>
          <w:p w:rsidR="00895DC3" w:rsidRPr="00634466" w:rsidRDefault="00895DC3" w:rsidP="00493FF2">
            <w:pPr>
              <w:jc w:val="center"/>
              <w:rPr>
                <w:rFonts w:ascii="Calibri" w:hAnsi="Calibri" w:cs="Arial"/>
                <w:sz w:val="18"/>
                <w:szCs w:val="20"/>
              </w:rPr>
            </w:pPr>
            <w:r w:rsidRPr="00634466">
              <w:rPr>
                <w:rFonts w:ascii="Calibri" w:hAnsi="Calibri" w:cs="Arial"/>
                <w:sz w:val="18"/>
                <w:szCs w:val="20"/>
              </w:rPr>
              <w:t>100%</w:t>
            </w:r>
          </w:p>
        </w:tc>
      </w:tr>
    </w:tbl>
    <w:p w:rsidR="008E26B4" w:rsidRPr="00634466" w:rsidRDefault="008E26B4" w:rsidP="0021722E">
      <w:pPr>
        <w:pStyle w:val="Caption"/>
      </w:pPr>
    </w:p>
    <w:p w:rsidR="008E26B4" w:rsidRPr="00634466" w:rsidRDefault="008E26B4" w:rsidP="008E26B4">
      <w:pPr>
        <w:spacing w:line="480" w:lineRule="auto"/>
      </w:pPr>
    </w:p>
    <w:p w:rsidR="008E26B4" w:rsidRPr="00634466" w:rsidRDefault="008E26B4" w:rsidP="008E26B4">
      <w:pPr>
        <w:spacing w:line="480" w:lineRule="auto"/>
      </w:pPr>
      <w:r w:rsidRPr="00634466">
        <w:t>Within Strathclyde the main focus is on the Glasgow City Council jurisdiction, which spans an area of 175 km</w:t>
      </w:r>
      <w:r w:rsidRPr="00634466">
        <w:rPr>
          <w:vertAlign w:val="superscript"/>
        </w:rPr>
        <w:t>2</w:t>
      </w:r>
      <w:r w:rsidRPr="00634466">
        <w:t xml:space="preserve"> and included 581 thousand inhabitants in 2006. Roughly 313 thousand full time equivalent jobs are found in Glasgow, which is approximately 17% of total employment in Scotland. This is a much larger share of Scotland-wide employment than Glasgow’s population share would suggest – to the extent that (as is illustrated in </w:t>
      </w:r>
      <w:fldSimple w:instr=" REF _Ref401843592 \h  \* MERGEFORMAT ">
        <w:r w:rsidR="00476FBF" w:rsidRPr="00634466">
          <w:t xml:space="preserve">Table </w:t>
        </w:r>
        <w:r w:rsidR="00476FBF">
          <w:t>2</w:t>
        </w:r>
      </w:fldSimple>
      <w:r w:rsidRPr="00634466">
        <w:t>) every second job in the city is taken by in-commuters, primarily originating from other parts of the Strathclyde region.</w:t>
      </w:r>
    </w:p>
    <w:p w:rsidR="008E26B4" w:rsidRPr="00634466" w:rsidRDefault="008E26B4" w:rsidP="008E26B4">
      <w:pPr>
        <w:spacing w:line="480" w:lineRule="auto"/>
      </w:pPr>
    </w:p>
    <w:p w:rsidR="00895DC3" w:rsidRPr="00634466" w:rsidRDefault="008E26B4" w:rsidP="0021722E">
      <w:pPr>
        <w:pStyle w:val="Caption"/>
      </w:pPr>
      <w:bookmarkStart w:id="8" w:name="_Ref401843592"/>
      <w:r w:rsidRPr="00634466">
        <w:t xml:space="preserve">Table </w:t>
      </w:r>
      <w:r w:rsidR="00BB6961" w:rsidRPr="00634466">
        <w:fldChar w:fldCharType="begin"/>
      </w:r>
      <w:r w:rsidR="00E16D08" w:rsidRPr="00634466">
        <w:instrText xml:space="preserve"> SEQ Table \* ARABIC </w:instrText>
      </w:r>
      <w:r w:rsidR="00BB6961" w:rsidRPr="00634466">
        <w:fldChar w:fldCharType="separate"/>
      </w:r>
      <w:r w:rsidR="00476FBF">
        <w:rPr>
          <w:noProof/>
        </w:rPr>
        <w:t>2</w:t>
      </w:r>
      <w:r w:rsidR="00BB6961" w:rsidRPr="00634466">
        <w:rPr>
          <w:noProof/>
        </w:rPr>
        <w:fldChar w:fldCharType="end"/>
      </w:r>
      <w:bookmarkEnd w:id="8"/>
      <w:r w:rsidRPr="00634466">
        <w:t xml:space="preserve"> </w:t>
      </w:r>
      <w:r w:rsidR="00895DC3" w:rsidRPr="00634466">
        <w:t>Origins and destinations of people who travel between Scottish addresses for work (headcount/column %). Own calculations, based on flow data from 2011 UK census.</w:t>
      </w:r>
    </w:p>
    <w:p w:rsidR="00895DC3" w:rsidRPr="00634466" w:rsidRDefault="00895DC3" w:rsidP="00895DC3"/>
    <w:tbl>
      <w:tblPr>
        <w:tblW w:w="6080" w:type="dxa"/>
        <w:jc w:val="center"/>
        <w:tblInd w:w="108" w:type="dxa"/>
        <w:tblLook w:val="04A0"/>
      </w:tblPr>
      <w:tblGrid>
        <w:gridCol w:w="456"/>
        <w:gridCol w:w="525"/>
        <w:gridCol w:w="810"/>
        <w:gridCol w:w="621"/>
        <w:gridCol w:w="810"/>
        <w:gridCol w:w="621"/>
        <w:gridCol w:w="948"/>
        <w:gridCol w:w="621"/>
        <w:gridCol w:w="948"/>
        <w:gridCol w:w="621"/>
      </w:tblGrid>
      <w:tr w:rsidR="00895DC3" w:rsidRPr="00634466" w:rsidTr="00493FF2">
        <w:trPr>
          <w:trHeight w:val="300"/>
          <w:jc w:val="center"/>
        </w:trPr>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5168" w:type="dxa"/>
            <w:gridSpan w:val="8"/>
            <w:tcBorders>
              <w:top w:val="nil"/>
              <w:left w:val="nil"/>
              <w:bottom w:val="dashed" w:sz="4" w:space="0" w:color="auto"/>
              <w:right w:val="nil"/>
            </w:tcBorders>
            <w:shd w:val="clear" w:color="auto" w:fill="auto"/>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Place of work</w:t>
            </w:r>
          </w:p>
        </w:tc>
      </w:tr>
      <w:tr w:rsidR="00895DC3" w:rsidRPr="00634466" w:rsidTr="00493FF2">
        <w:trPr>
          <w:trHeight w:val="300"/>
          <w:jc w:val="center"/>
        </w:trPr>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1207" w:type="dxa"/>
            <w:gridSpan w:val="2"/>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GLA</w:t>
            </w:r>
          </w:p>
        </w:tc>
        <w:tc>
          <w:tcPr>
            <w:tcW w:w="1209" w:type="dxa"/>
            <w:gridSpan w:val="2"/>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RST</w:t>
            </w:r>
          </w:p>
        </w:tc>
        <w:tc>
          <w:tcPr>
            <w:tcW w:w="1376" w:type="dxa"/>
            <w:gridSpan w:val="2"/>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ROS</w:t>
            </w:r>
          </w:p>
        </w:tc>
        <w:tc>
          <w:tcPr>
            <w:tcW w:w="1376" w:type="dxa"/>
            <w:gridSpan w:val="2"/>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SCO</w:t>
            </w:r>
          </w:p>
        </w:tc>
      </w:tr>
      <w:tr w:rsidR="00895DC3" w:rsidRPr="00634466" w:rsidTr="00493FF2">
        <w:trPr>
          <w:trHeight w:val="390"/>
          <w:jc w:val="center"/>
        </w:trPr>
        <w:tc>
          <w:tcPr>
            <w:tcW w:w="456" w:type="dxa"/>
            <w:vMerge w:val="restart"/>
            <w:tcBorders>
              <w:top w:val="single" w:sz="8" w:space="0" w:color="auto"/>
              <w:left w:val="nil"/>
              <w:bottom w:val="single" w:sz="8" w:space="0" w:color="000000"/>
              <w:right w:val="nil"/>
            </w:tcBorders>
            <w:shd w:val="clear" w:color="auto" w:fill="auto"/>
            <w:textDirection w:val="btLr"/>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Residence</w:t>
            </w:r>
          </w:p>
        </w:tc>
        <w:tc>
          <w:tcPr>
            <w:tcW w:w="456"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GLA</w:t>
            </w:r>
          </w:p>
        </w:tc>
        <w:tc>
          <w:tcPr>
            <w:tcW w:w="718"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157,278</w:t>
            </w:r>
          </w:p>
        </w:tc>
        <w:tc>
          <w:tcPr>
            <w:tcW w:w="489"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49%</w:t>
            </w:r>
          </w:p>
        </w:tc>
        <w:tc>
          <w:tcPr>
            <w:tcW w:w="719"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36,799</w:t>
            </w:r>
          </w:p>
        </w:tc>
        <w:tc>
          <w:tcPr>
            <w:tcW w:w="490"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9%</w:t>
            </w:r>
          </w:p>
        </w:tc>
        <w:tc>
          <w:tcPr>
            <w:tcW w:w="886"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11,234</w:t>
            </w:r>
          </w:p>
        </w:tc>
        <w:tc>
          <w:tcPr>
            <w:tcW w:w="490"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w:t>
            </w:r>
          </w:p>
        </w:tc>
        <w:tc>
          <w:tcPr>
            <w:tcW w:w="886"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205,312</w:t>
            </w:r>
          </w:p>
        </w:tc>
        <w:tc>
          <w:tcPr>
            <w:tcW w:w="490"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10%</w:t>
            </w:r>
          </w:p>
        </w:tc>
      </w:tr>
      <w:tr w:rsidR="00895DC3" w:rsidRPr="00634466" w:rsidTr="00493FF2">
        <w:trPr>
          <w:trHeight w:val="390"/>
          <w:jc w:val="center"/>
        </w:trPr>
        <w:tc>
          <w:tcPr>
            <w:tcW w:w="456" w:type="dxa"/>
            <w:vMerge/>
            <w:tcBorders>
              <w:top w:val="single" w:sz="8" w:space="0" w:color="auto"/>
              <w:left w:val="nil"/>
              <w:bottom w:val="single" w:sz="8" w:space="0" w:color="000000"/>
              <w:right w:val="nil"/>
            </w:tcBorders>
            <w:vAlign w:val="center"/>
            <w:hideMark/>
          </w:tcPr>
          <w:p w:rsidR="00895DC3" w:rsidRPr="00634466" w:rsidRDefault="00895DC3" w:rsidP="00493FF2">
            <w:pPr>
              <w:rPr>
                <w:rFonts w:ascii="Calibri" w:eastAsia="Times New Roman" w:hAnsi="Calibri" w:cs="Arial"/>
                <w:b/>
                <w:bCs/>
                <w:color w:val="000000"/>
                <w:sz w:val="18"/>
                <w:szCs w:val="18"/>
                <w:lang w:eastAsia="en-GB"/>
              </w:rPr>
            </w:pPr>
          </w:p>
        </w:tc>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RST</w:t>
            </w:r>
          </w:p>
        </w:tc>
        <w:tc>
          <w:tcPr>
            <w:tcW w:w="718"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137,774</w:t>
            </w:r>
          </w:p>
        </w:tc>
        <w:tc>
          <w:tcPr>
            <w:tcW w:w="489"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43%</w:t>
            </w:r>
          </w:p>
        </w:tc>
        <w:tc>
          <w:tcPr>
            <w:tcW w:w="719"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375,908</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87%</w:t>
            </w:r>
          </w:p>
        </w:tc>
        <w:tc>
          <w:tcPr>
            <w:tcW w:w="88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30,627</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3%</w:t>
            </w:r>
          </w:p>
        </w:tc>
        <w:tc>
          <w:tcPr>
            <w:tcW w:w="88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544,310</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28%</w:t>
            </w:r>
          </w:p>
        </w:tc>
      </w:tr>
      <w:tr w:rsidR="00895DC3" w:rsidRPr="00634466" w:rsidTr="00493FF2">
        <w:trPr>
          <w:trHeight w:val="390"/>
          <w:jc w:val="center"/>
        </w:trPr>
        <w:tc>
          <w:tcPr>
            <w:tcW w:w="456" w:type="dxa"/>
            <w:vMerge/>
            <w:tcBorders>
              <w:top w:val="single" w:sz="8" w:space="0" w:color="auto"/>
              <w:left w:val="nil"/>
              <w:bottom w:val="single" w:sz="8" w:space="0" w:color="000000"/>
              <w:right w:val="nil"/>
            </w:tcBorders>
            <w:vAlign w:val="center"/>
            <w:hideMark/>
          </w:tcPr>
          <w:p w:rsidR="00895DC3" w:rsidRPr="00634466" w:rsidRDefault="00895DC3" w:rsidP="00493FF2">
            <w:pPr>
              <w:rPr>
                <w:rFonts w:ascii="Calibri" w:eastAsia="Times New Roman" w:hAnsi="Calibri" w:cs="Arial"/>
                <w:b/>
                <w:bCs/>
                <w:color w:val="000000"/>
                <w:sz w:val="18"/>
                <w:szCs w:val="18"/>
                <w:lang w:eastAsia="en-GB"/>
              </w:rPr>
            </w:pPr>
          </w:p>
        </w:tc>
        <w:tc>
          <w:tcPr>
            <w:tcW w:w="456"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ROS</w:t>
            </w:r>
          </w:p>
        </w:tc>
        <w:tc>
          <w:tcPr>
            <w:tcW w:w="718"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25,258</w:t>
            </w:r>
          </w:p>
        </w:tc>
        <w:tc>
          <w:tcPr>
            <w:tcW w:w="489"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8%</w:t>
            </w:r>
          </w:p>
        </w:tc>
        <w:tc>
          <w:tcPr>
            <w:tcW w:w="719"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17,804</w:t>
            </w:r>
          </w:p>
        </w:tc>
        <w:tc>
          <w:tcPr>
            <w:tcW w:w="490"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4%</w:t>
            </w:r>
          </w:p>
        </w:tc>
        <w:tc>
          <w:tcPr>
            <w:tcW w:w="886"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1,173,415</w:t>
            </w:r>
          </w:p>
        </w:tc>
        <w:tc>
          <w:tcPr>
            <w:tcW w:w="490"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color w:val="000000"/>
                <w:sz w:val="18"/>
                <w:szCs w:val="18"/>
                <w:lang w:eastAsia="en-GB"/>
              </w:rPr>
            </w:pPr>
            <w:r w:rsidRPr="00634466">
              <w:rPr>
                <w:rFonts w:ascii="Calibri" w:eastAsia="Times New Roman" w:hAnsi="Calibri" w:cs="Arial"/>
                <w:color w:val="000000"/>
                <w:sz w:val="18"/>
                <w:szCs w:val="18"/>
                <w:lang w:eastAsia="en-GB"/>
              </w:rPr>
              <w:t>97%</w:t>
            </w:r>
          </w:p>
        </w:tc>
        <w:tc>
          <w:tcPr>
            <w:tcW w:w="886"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1,216,477</w:t>
            </w:r>
          </w:p>
        </w:tc>
        <w:tc>
          <w:tcPr>
            <w:tcW w:w="490"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62%</w:t>
            </w:r>
          </w:p>
        </w:tc>
      </w:tr>
      <w:tr w:rsidR="00895DC3" w:rsidRPr="00634466" w:rsidTr="00493FF2">
        <w:trPr>
          <w:trHeight w:val="288"/>
          <w:jc w:val="center"/>
        </w:trPr>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456" w:type="dxa"/>
            <w:tcBorders>
              <w:top w:val="nil"/>
              <w:left w:val="nil"/>
              <w:bottom w:val="nil"/>
              <w:right w:val="nil"/>
            </w:tcBorders>
            <w:shd w:val="clear" w:color="auto" w:fill="auto"/>
            <w:noWrap/>
            <w:vAlign w:val="center"/>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718"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320,310</w:t>
            </w:r>
          </w:p>
        </w:tc>
        <w:tc>
          <w:tcPr>
            <w:tcW w:w="489"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100%</w:t>
            </w:r>
          </w:p>
        </w:tc>
        <w:tc>
          <w:tcPr>
            <w:tcW w:w="719"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430,511</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100%</w:t>
            </w:r>
          </w:p>
        </w:tc>
        <w:tc>
          <w:tcPr>
            <w:tcW w:w="88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1,215,276</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100%</w:t>
            </w:r>
          </w:p>
        </w:tc>
        <w:tc>
          <w:tcPr>
            <w:tcW w:w="88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1,966,099</w:t>
            </w:r>
          </w:p>
        </w:tc>
        <w:tc>
          <w:tcPr>
            <w:tcW w:w="490"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100%</w:t>
            </w:r>
          </w:p>
        </w:tc>
      </w:tr>
    </w:tbl>
    <w:p w:rsidR="00895DC3" w:rsidRDefault="00895DC3" w:rsidP="00895DC3"/>
    <w:p w:rsidR="003E7A23" w:rsidRPr="00634466" w:rsidRDefault="003E7A23" w:rsidP="00895DC3"/>
    <w:p w:rsidR="008E26B4" w:rsidRPr="00634466" w:rsidRDefault="008E26B4" w:rsidP="0021722E">
      <w:pPr>
        <w:pStyle w:val="Caption"/>
      </w:pPr>
    </w:p>
    <w:p w:rsidR="00895DC3" w:rsidRPr="00634466" w:rsidRDefault="008E26B4" w:rsidP="0021722E">
      <w:pPr>
        <w:pStyle w:val="Caption"/>
      </w:pPr>
      <w:bookmarkStart w:id="9" w:name="_Ref401837283"/>
      <w:r w:rsidRPr="00634466">
        <w:t xml:space="preserve">Table </w:t>
      </w:r>
      <w:r w:rsidR="00BB6961" w:rsidRPr="00634466">
        <w:fldChar w:fldCharType="begin"/>
      </w:r>
      <w:r w:rsidR="00E16D08" w:rsidRPr="00634466">
        <w:instrText xml:space="preserve"> SEQ Table \* ARABIC </w:instrText>
      </w:r>
      <w:r w:rsidR="00BB6961" w:rsidRPr="00634466">
        <w:fldChar w:fldCharType="separate"/>
      </w:r>
      <w:r w:rsidR="00476FBF">
        <w:rPr>
          <w:noProof/>
        </w:rPr>
        <w:t>3</w:t>
      </w:r>
      <w:r w:rsidR="00BB6961" w:rsidRPr="00634466">
        <w:rPr>
          <w:noProof/>
        </w:rPr>
        <w:fldChar w:fldCharType="end"/>
      </w:r>
      <w:bookmarkEnd w:id="9"/>
      <w:r w:rsidR="00895DC3" w:rsidRPr="00634466">
        <w:rPr>
          <w:noProof/>
        </w:rPr>
        <w:t xml:space="preserve"> </w:t>
      </w:r>
      <w:r w:rsidR="00895DC3" w:rsidRPr="00634466">
        <w:t>Origins and destinations of people who travel between Scottish addresses for shopping (column %). Based on 2007 Travel Survey.</w:t>
      </w:r>
    </w:p>
    <w:p w:rsidR="00895DC3" w:rsidRPr="00634466" w:rsidRDefault="00895DC3" w:rsidP="00895DC3"/>
    <w:tbl>
      <w:tblPr>
        <w:tblW w:w="4208" w:type="dxa"/>
        <w:jc w:val="center"/>
        <w:tblInd w:w="108" w:type="dxa"/>
        <w:tblLook w:val="04A0"/>
      </w:tblPr>
      <w:tblGrid>
        <w:gridCol w:w="656"/>
        <w:gridCol w:w="716"/>
        <w:gridCol w:w="946"/>
        <w:gridCol w:w="945"/>
        <w:gridCol w:w="945"/>
      </w:tblGrid>
      <w:tr w:rsidR="00895DC3" w:rsidRPr="00634466" w:rsidTr="00493FF2">
        <w:trPr>
          <w:trHeight w:val="255"/>
          <w:jc w:val="center"/>
        </w:trPr>
        <w:tc>
          <w:tcPr>
            <w:tcW w:w="656" w:type="dxa"/>
            <w:tcBorders>
              <w:top w:val="nil"/>
              <w:left w:val="nil"/>
              <w:bottom w:val="nil"/>
              <w:right w:val="nil"/>
            </w:tcBorders>
            <w:shd w:val="clear" w:color="auto" w:fill="auto"/>
            <w:noWrap/>
            <w:vAlign w:val="bottom"/>
            <w:hideMark/>
          </w:tcPr>
          <w:p w:rsidR="00895DC3" w:rsidRPr="00634466" w:rsidRDefault="00895DC3" w:rsidP="00493FF2">
            <w:pPr>
              <w:rPr>
                <w:rFonts w:ascii="Calibri" w:eastAsia="Times New Roman" w:hAnsi="Calibri" w:cs="Arial"/>
                <w:color w:val="000000"/>
                <w:sz w:val="20"/>
                <w:szCs w:val="20"/>
                <w:lang w:eastAsia="en-GB"/>
              </w:rPr>
            </w:pPr>
          </w:p>
        </w:tc>
        <w:tc>
          <w:tcPr>
            <w:tcW w:w="716" w:type="dxa"/>
            <w:tcBorders>
              <w:top w:val="nil"/>
              <w:left w:val="nil"/>
              <w:bottom w:val="nil"/>
              <w:right w:val="nil"/>
            </w:tcBorders>
            <w:shd w:val="clear" w:color="auto" w:fill="auto"/>
            <w:noWrap/>
            <w:vAlign w:val="bottom"/>
            <w:hideMark/>
          </w:tcPr>
          <w:p w:rsidR="00895DC3" w:rsidRPr="00634466" w:rsidRDefault="00895DC3" w:rsidP="00493FF2">
            <w:pPr>
              <w:rPr>
                <w:rFonts w:ascii="Calibri" w:eastAsia="Times New Roman" w:hAnsi="Calibri" w:cs="Arial"/>
                <w:color w:val="000000"/>
                <w:sz w:val="20"/>
                <w:szCs w:val="20"/>
                <w:lang w:eastAsia="en-GB"/>
              </w:rPr>
            </w:pPr>
          </w:p>
        </w:tc>
        <w:tc>
          <w:tcPr>
            <w:tcW w:w="2836" w:type="dxa"/>
            <w:gridSpan w:val="3"/>
            <w:tcBorders>
              <w:top w:val="nil"/>
              <w:left w:val="nil"/>
              <w:bottom w:val="dashed" w:sz="4" w:space="0" w:color="auto"/>
              <w:right w:val="nil"/>
            </w:tcBorders>
            <w:shd w:val="clear" w:color="auto" w:fill="auto"/>
            <w:noWrap/>
            <w:vAlign w:val="bottom"/>
            <w:hideMark/>
          </w:tcPr>
          <w:p w:rsidR="00895DC3" w:rsidRPr="00634466" w:rsidRDefault="00895DC3" w:rsidP="00493FF2">
            <w:pPr>
              <w:jc w:val="center"/>
              <w:rPr>
                <w:rFonts w:ascii="Calibri" w:eastAsia="Times New Roman" w:hAnsi="Calibri" w:cs="Arial"/>
                <w:b/>
                <w:bCs/>
                <w:color w:val="000000"/>
                <w:sz w:val="20"/>
                <w:szCs w:val="20"/>
                <w:lang w:eastAsia="en-GB"/>
              </w:rPr>
            </w:pPr>
            <w:r w:rsidRPr="00634466">
              <w:rPr>
                <w:rFonts w:ascii="Calibri" w:eastAsia="Times New Roman" w:hAnsi="Calibri" w:cs="Arial"/>
                <w:b/>
                <w:bCs/>
                <w:color w:val="000000"/>
                <w:sz w:val="20"/>
                <w:szCs w:val="20"/>
                <w:lang w:eastAsia="en-GB"/>
              </w:rPr>
              <w:t>Residence</w:t>
            </w:r>
          </w:p>
        </w:tc>
      </w:tr>
      <w:tr w:rsidR="00895DC3" w:rsidRPr="00634466" w:rsidTr="00493FF2">
        <w:trPr>
          <w:trHeight w:val="270"/>
          <w:jc w:val="center"/>
        </w:trPr>
        <w:tc>
          <w:tcPr>
            <w:tcW w:w="656" w:type="dxa"/>
            <w:tcBorders>
              <w:top w:val="nil"/>
              <w:left w:val="nil"/>
              <w:bottom w:val="nil"/>
              <w:right w:val="nil"/>
            </w:tcBorders>
            <w:shd w:val="clear" w:color="auto" w:fill="auto"/>
            <w:noWrap/>
            <w:vAlign w:val="bottom"/>
            <w:hideMark/>
          </w:tcPr>
          <w:p w:rsidR="00895DC3" w:rsidRPr="00634466" w:rsidRDefault="00895DC3" w:rsidP="00493FF2">
            <w:pPr>
              <w:rPr>
                <w:rFonts w:ascii="Calibri" w:eastAsia="Times New Roman" w:hAnsi="Calibri" w:cs="Arial"/>
                <w:color w:val="000000"/>
                <w:sz w:val="20"/>
                <w:szCs w:val="20"/>
                <w:lang w:eastAsia="en-GB"/>
              </w:rPr>
            </w:pPr>
          </w:p>
        </w:tc>
        <w:tc>
          <w:tcPr>
            <w:tcW w:w="716" w:type="dxa"/>
            <w:tcBorders>
              <w:top w:val="nil"/>
              <w:left w:val="nil"/>
              <w:bottom w:val="nil"/>
              <w:right w:val="nil"/>
            </w:tcBorders>
            <w:shd w:val="clear" w:color="auto" w:fill="auto"/>
            <w:noWrap/>
            <w:vAlign w:val="bottom"/>
            <w:hideMark/>
          </w:tcPr>
          <w:p w:rsidR="00895DC3" w:rsidRPr="00634466" w:rsidRDefault="00895DC3" w:rsidP="00493FF2">
            <w:pPr>
              <w:jc w:val="center"/>
              <w:rPr>
                <w:rFonts w:ascii="Calibri" w:eastAsia="Times New Roman" w:hAnsi="Calibri" w:cs="Arial"/>
                <w:color w:val="000000"/>
                <w:sz w:val="18"/>
                <w:szCs w:val="18"/>
                <w:lang w:eastAsia="en-GB"/>
              </w:rPr>
            </w:pPr>
          </w:p>
        </w:tc>
        <w:tc>
          <w:tcPr>
            <w:tcW w:w="946" w:type="dxa"/>
            <w:tcBorders>
              <w:top w:val="dashed" w:sz="4" w:space="0" w:color="auto"/>
              <w:left w:val="nil"/>
              <w:bottom w:val="nil"/>
              <w:right w:val="nil"/>
            </w:tcBorders>
            <w:shd w:val="clear" w:color="auto" w:fill="auto"/>
            <w:noWrap/>
            <w:vAlign w:val="bottom"/>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GLA</w:t>
            </w:r>
          </w:p>
        </w:tc>
        <w:tc>
          <w:tcPr>
            <w:tcW w:w="945" w:type="dxa"/>
            <w:tcBorders>
              <w:top w:val="dashed" w:sz="4" w:space="0" w:color="auto"/>
              <w:left w:val="nil"/>
              <w:bottom w:val="nil"/>
              <w:right w:val="nil"/>
            </w:tcBorders>
            <w:shd w:val="clear" w:color="auto" w:fill="auto"/>
            <w:noWrap/>
            <w:vAlign w:val="bottom"/>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RST</w:t>
            </w:r>
          </w:p>
        </w:tc>
        <w:tc>
          <w:tcPr>
            <w:tcW w:w="945" w:type="dxa"/>
            <w:tcBorders>
              <w:top w:val="dashed" w:sz="4" w:space="0" w:color="auto"/>
              <w:left w:val="nil"/>
              <w:bottom w:val="nil"/>
              <w:right w:val="nil"/>
            </w:tcBorders>
            <w:shd w:val="clear" w:color="auto" w:fill="auto"/>
            <w:noWrap/>
            <w:vAlign w:val="bottom"/>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ROS</w:t>
            </w:r>
          </w:p>
        </w:tc>
      </w:tr>
      <w:tr w:rsidR="00895DC3" w:rsidRPr="00634466" w:rsidTr="00493FF2">
        <w:trPr>
          <w:trHeight w:val="405"/>
          <w:jc w:val="center"/>
        </w:trPr>
        <w:tc>
          <w:tcPr>
            <w:tcW w:w="656" w:type="dxa"/>
            <w:vMerge w:val="restart"/>
            <w:tcBorders>
              <w:top w:val="single" w:sz="8" w:space="0" w:color="auto"/>
              <w:left w:val="nil"/>
              <w:bottom w:val="single" w:sz="8" w:space="0" w:color="000000"/>
              <w:right w:val="nil"/>
            </w:tcBorders>
            <w:shd w:val="clear" w:color="auto" w:fill="auto"/>
            <w:textDirection w:val="btLr"/>
            <w:vAlign w:val="center"/>
            <w:hideMark/>
          </w:tcPr>
          <w:p w:rsidR="00895DC3" w:rsidRPr="00634466" w:rsidRDefault="00895DC3" w:rsidP="00493FF2">
            <w:pPr>
              <w:jc w:val="center"/>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Shopping destination</w:t>
            </w:r>
          </w:p>
        </w:tc>
        <w:tc>
          <w:tcPr>
            <w:tcW w:w="716"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GLA</w:t>
            </w:r>
          </w:p>
        </w:tc>
        <w:tc>
          <w:tcPr>
            <w:tcW w:w="946"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81%</w:t>
            </w:r>
          </w:p>
        </w:tc>
        <w:tc>
          <w:tcPr>
            <w:tcW w:w="945"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7%</w:t>
            </w:r>
          </w:p>
        </w:tc>
        <w:tc>
          <w:tcPr>
            <w:tcW w:w="945" w:type="dxa"/>
            <w:tcBorders>
              <w:top w:val="single" w:sz="8" w:space="0" w:color="auto"/>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1%</w:t>
            </w:r>
          </w:p>
        </w:tc>
      </w:tr>
      <w:tr w:rsidR="00895DC3" w:rsidRPr="00634466" w:rsidTr="00493FF2">
        <w:trPr>
          <w:trHeight w:val="405"/>
          <w:jc w:val="center"/>
        </w:trPr>
        <w:tc>
          <w:tcPr>
            <w:tcW w:w="656" w:type="dxa"/>
            <w:vMerge/>
            <w:tcBorders>
              <w:top w:val="single" w:sz="8" w:space="0" w:color="auto"/>
              <w:left w:val="nil"/>
              <w:bottom w:val="single" w:sz="8" w:space="0" w:color="000000"/>
              <w:right w:val="nil"/>
            </w:tcBorders>
            <w:vAlign w:val="center"/>
            <w:hideMark/>
          </w:tcPr>
          <w:p w:rsidR="00895DC3" w:rsidRPr="00634466" w:rsidRDefault="00895DC3" w:rsidP="00493FF2">
            <w:pPr>
              <w:rPr>
                <w:rFonts w:ascii="Calibri" w:eastAsia="Times New Roman" w:hAnsi="Calibri" w:cs="Arial"/>
                <w:b/>
                <w:bCs/>
                <w:color w:val="000000"/>
                <w:sz w:val="18"/>
                <w:szCs w:val="18"/>
                <w:lang w:eastAsia="en-GB"/>
              </w:rPr>
            </w:pPr>
          </w:p>
        </w:tc>
        <w:tc>
          <w:tcPr>
            <w:tcW w:w="71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RST</w:t>
            </w:r>
          </w:p>
        </w:tc>
        <w:tc>
          <w:tcPr>
            <w:tcW w:w="946" w:type="dxa"/>
            <w:tcBorders>
              <w:top w:val="nil"/>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15%</w:t>
            </w:r>
          </w:p>
        </w:tc>
        <w:tc>
          <w:tcPr>
            <w:tcW w:w="945" w:type="dxa"/>
            <w:tcBorders>
              <w:top w:val="nil"/>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91%</w:t>
            </w:r>
          </w:p>
        </w:tc>
        <w:tc>
          <w:tcPr>
            <w:tcW w:w="945" w:type="dxa"/>
            <w:tcBorders>
              <w:top w:val="nil"/>
              <w:left w:val="nil"/>
              <w:bottom w:val="nil"/>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1%</w:t>
            </w:r>
          </w:p>
        </w:tc>
      </w:tr>
      <w:tr w:rsidR="00895DC3" w:rsidRPr="00634466" w:rsidTr="00493FF2">
        <w:trPr>
          <w:trHeight w:val="405"/>
          <w:jc w:val="center"/>
        </w:trPr>
        <w:tc>
          <w:tcPr>
            <w:tcW w:w="656" w:type="dxa"/>
            <w:vMerge/>
            <w:tcBorders>
              <w:top w:val="single" w:sz="8" w:space="0" w:color="auto"/>
              <w:left w:val="nil"/>
              <w:bottom w:val="single" w:sz="8" w:space="0" w:color="000000"/>
              <w:right w:val="nil"/>
            </w:tcBorders>
            <w:vAlign w:val="center"/>
            <w:hideMark/>
          </w:tcPr>
          <w:p w:rsidR="00895DC3" w:rsidRPr="00634466" w:rsidRDefault="00895DC3" w:rsidP="00493FF2">
            <w:pPr>
              <w:rPr>
                <w:rFonts w:ascii="Calibri" w:eastAsia="Times New Roman" w:hAnsi="Calibri" w:cs="Arial"/>
                <w:b/>
                <w:bCs/>
                <w:color w:val="000000"/>
                <w:sz w:val="18"/>
                <w:szCs w:val="18"/>
                <w:lang w:eastAsia="en-GB"/>
              </w:rPr>
            </w:pPr>
          </w:p>
        </w:tc>
        <w:tc>
          <w:tcPr>
            <w:tcW w:w="716"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Calibri" w:eastAsia="Times New Roman" w:hAnsi="Calibri" w:cs="Arial"/>
                <w:b/>
                <w:bCs/>
                <w:color w:val="000000"/>
                <w:sz w:val="18"/>
                <w:szCs w:val="18"/>
                <w:lang w:eastAsia="en-GB"/>
              </w:rPr>
            </w:pPr>
            <w:r w:rsidRPr="00634466">
              <w:rPr>
                <w:rFonts w:ascii="Calibri" w:eastAsia="Times New Roman" w:hAnsi="Calibri" w:cs="Arial"/>
                <w:b/>
                <w:bCs/>
                <w:color w:val="000000"/>
                <w:sz w:val="18"/>
                <w:szCs w:val="18"/>
                <w:lang w:eastAsia="en-GB"/>
              </w:rPr>
              <w:t>ROS</w:t>
            </w:r>
          </w:p>
        </w:tc>
        <w:tc>
          <w:tcPr>
            <w:tcW w:w="946"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4%</w:t>
            </w:r>
          </w:p>
        </w:tc>
        <w:tc>
          <w:tcPr>
            <w:tcW w:w="945"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2%</w:t>
            </w:r>
          </w:p>
        </w:tc>
        <w:tc>
          <w:tcPr>
            <w:tcW w:w="945" w:type="dxa"/>
            <w:tcBorders>
              <w:top w:val="nil"/>
              <w:left w:val="nil"/>
              <w:bottom w:val="single" w:sz="8" w:space="0" w:color="auto"/>
              <w:right w:val="nil"/>
            </w:tcBorders>
            <w:shd w:val="clear" w:color="auto" w:fill="auto"/>
            <w:noWrap/>
            <w:vAlign w:val="center"/>
            <w:hideMark/>
          </w:tcPr>
          <w:p w:rsidR="00895DC3" w:rsidRPr="00634466" w:rsidRDefault="00895DC3" w:rsidP="00493FF2">
            <w:pPr>
              <w:jc w:val="right"/>
              <w:rPr>
                <w:rFonts w:ascii="Arial" w:eastAsia="Times New Roman" w:hAnsi="Arial" w:cs="Arial"/>
                <w:sz w:val="18"/>
                <w:szCs w:val="18"/>
                <w:lang w:eastAsia="en-GB"/>
              </w:rPr>
            </w:pPr>
            <w:r w:rsidRPr="00634466">
              <w:rPr>
                <w:rFonts w:ascii="Arial" w:eastAsia="Times New Roman" w:hAnsi="Arial" w:cs="Arial"/>
                <w:sz w:val="18"/>
                <w:szCs w:val="18"/>
                <w:lang w:eastAsia="en-GB"/>
              </w:rPr>
              <w:t>98%</w:t>
            </w:r>
          </w:p>
        </w:tc>
      </w:tr>
      <w:tr w:rsidR="00895DC3" w:rsidRPr="00634466" w:rsidTr="00493FF2">
        <w:trPr>
          <w:trHeight w:val="255"/>
          <w:jc w:val="center"/>
        </w:trPr>
        <w:tc>
          <w:tcPr>
            <w:tcW w:w="656" w:type="dxa"/>
            <w:tcBorders>
              <w:top w:val="nil"/>
              <w:left w:val="nil"/>
              <w:bottom w:val="nil"/>
              <w:right w:val="nil"/>
            </w:tcBorders>
            <w:shd w:val="clear" w:color="auto" w:fill="auto"/>
            <w:noWrap/>
            <w:vAlign w:val="bottom"/>
            <w:hideMark/>
          </w:tcPr>
          <w:p w:rsidR="00895DC3" w:rsidRPr="00634466" w:rsidRDefault="00895DC3" w:rsidP="00493FF2">
            <w:pPr>
              <w:rPr>
                <w:rFonts w:ascii="Calibri" w:eastAsia="Times New Roman" w:hAnsi="Calibri" w:cs="Arial"/>
                <w:color w:val="000000"/>
                <w:sz w:val="20"/>
                <w:szCs w:val="20"/>
                <w:lang w:eastAsia="en-GB"/>
              </w:rPr>
            </w:pPr>
          </w:p>
        </w:tc>
        <w:tc>
          <w:tcPr>
            <w:tcW w:w="716" w:type="dxa"/>
            <w:tcBorders>
              <w:top w:val="nil"/>
              <w:left w:val="nil"/>
              <w:bottom w:val="nil"/>
              <w:right w:val="nil"/>
            </w:tcBorders>
            <w:shd w:val="clear" w:color="auto" w:fill="auto"/>
            <w:noWrap/>
            <w:vAlign w:val="bottom"/>
            <w:hideMark/>
          </w:tcPr>
          <w:p w:rsidR="00895DC3" w:rsidRPr="00634466" w:rsidRDefault="00895DC3" w:rsidP="00493FF2">
            <w:pPr>
              <w:jc w:val="right"/>
              <w:rPr>
                <w:rFonts w:ascii="Calibri" w:eastAsia="Times New Roman" w:hAnsi="Calibri" w:cs="Arial"/>
                <w:color w:val="000000"/>
                <w:sz w:val="18"/>
                <w:szCs w:val="18"/>
                <w:lang w:eastAsia="en-GB"/>
              </w:rPr>
            </w:pPr>
          </w:p>
        </w:tc>
        <w:tc>
          <w:tcPr>
            <w:tcW w:w="946" w:type="dxa"/>
            <w:tcBorders>
              <w:top w:val="nil"/>
              <w:left w:val="nil"/>
              <w:bottom w:val="nil"/>
              <w:right w:val="nil"/>
            </w:tcBorders>
            <w:shd w:val="clear" w:color="auto" w:fill="auto"/>
            <w:noWrap/>
            <w:vAlign w:val="bottom"/>
            <w:hideMark/>
          </w:tcPr>
          <w:p w:rsidR="00895DC3" w:rsidRPr="00634466" w:rsidRDefault="00895DC3" w:rsidP="00493FF2">
            <w:pPr>
              <w:jc w:val="right"/>
              <w:rPr>
                <w:rFonts w:ascii="Arial" w:eastAsia="Times New Roman" w:hAnsi="Arial" w:cs="Arial"/>
                <w:b/>
                <w:bCs/>
                <w:sz w:val="18"/>
                <w:szCs w:val="18"/>
                <w:lang w:eastAsia="en-GB"/>
              </w:rPr>
            </w:pPr>
            <w:r w:rsidRPr="00634466">
              <w:rPr>
                <w:rFonts w:ascii="Arial" w:eastAsia="Times New Roman" w:hAnsi="Arial" w:cs="Arial"/>
                <w:b/>
                <w:bCs/>
                <w:sz w:val="18"/>
                <w:szCs w:val="18"/>
                <w:lang w:eastAsia="en-GB"/>
              </w:rPr>
              <w:t>100%</w:t>
            </w:r>
          </w:p>
        </w:tc>
        <w:tc>
          <w:tcPr>
            <w:tcW w:w="945" w:type="dxa"/>
            <w:tcBorders>
              <w:top w:val="nil"/>
              <w:left w:val="nil"/>
              <w:bottom w:val="nil"/>
              <w:right w:val="nil"/>
            </w:tcBorders>
            <w:shd w:val="clear" w:color="auto" w:fill="auto"/>
            <w:noWrap/>
            <w:vAlign w:val="bottom"/>
            <w:hideMark/>
          </w:tcPr>
          <w:p w:rsidR="00895DC3" w:rsidRPr="00634466" w:rsidRDefault="00895DC3" w:rsidP="00493FF2">
            <w:pPr>
              <w:jc w:val="right"/>
              <w:rPr>
                <w:rFonts w:ascii="Arial" w:eastAsia="Times New Roman" w:hAnsi="Arial" w:cs="Arial"/>
                <w:b/>
                <w:bCs/>
                <w:sz w:val="18"/>
                <w:szCs w:val="18"/>
                <w:lang w:eastAsia="en-GB"/>
              </w:rPr>
            </w:pPr>
            <w:r w:rsidRPr="00634466">
              <w:rPr>
                <w:rFonts w:ascii="Arial" w:eastAsia="Times New Roman" w:hAnsi="Arial" w:cs="Arial"/>
                <w:b/>
                <w:bCs/>
                <w:sz w:val="18"/>
                <w:szCs w:val="18"/>
                <w:lang w:eastAsia="en-GB"/>
              </w:rPr>
              <w:t>100%</w:t>
            </w:r>
          </w:p>
        </w:tc>
        <w:tc>
          <w:tcPr>
            <w:tcW w:w="945" w:type="dxa"/>
            <w:tcBorders>
              <w:top w:val="nil"/>
              <w:left w:val="nil"/>
              <w:bottom w:val="nil"/>
              <w:right w:val="nil"/>
            </w:tcBorders>
            <w:shd w:val="clear" w:color="auto" w:fill="auto"/>
            <w:noWrap/>
            <w:vAlign w:val="bottom"/>
            <w:hideMark/>
          </w:tcPr>
          <w:p w:rsidR="00895DC3" w:rsidRPr="00634466" w:rsidRDefault="00895DC3" w:rsidP="00493FF2">
            <w:pPr>
              <w:jc w:val="right"/>
              <w:rPr>
                <w:rFonts w:ascii="Arial" w:eastAsia="Times New Roman" w:hAnsi="Arial" w:cs="Arial"/>
                <w:b/>
                <w:bCs/>
                <w:sz w:val="18"/>
                <w:szCs w:val="18"/>
                <w:lang w:eastAsia="en-GB"/>
              </w:rPr>
            </w:pPr>
            <w:r w:rsidRPr="00634466">
              <w:rPr>
                <w:rFonts w:ascii="Arial" w:eastAsia="Times New Roman" w:hAnsi="Arial" w:cs="Arial"/>
                <w:b/>
                <w:bCs/>
                <w:sz w:val="18"/>
                <w:szCs w:val="18"/>
                <w:lang w:eastAsia="en-GB"/>
              </w:rPr>
              <w:t>100%</w:t>
            </w:r>
          </w:p>
        </w:tc>
      </w:tr>
      <w:tr w:rsidR="00895DC3" w:rsidRPr="00634466" w:rsidTr="00493FF2">
        <w:trPr>
          <w:trHeight w:val="255"/>
          <w:jc w:val="center"/>
        </w:trPr>
        <w:tc>
          <w:tcPr>
            <w:tcW w:w="656" w:type="dxa"/>
            <w:tcBorders>
              <w:top w:val="nil"/>
              <w:left w:val="nil"/>
              <w:bottom w:val="nil"/>
              <w:right w:val="nil"/>
            </w:tcBorders>
            <w:shd w:val="clear" w:color="auto" w:fill="auto"/>
            <w:noWrap/>
            <w:vAlign w:val="bottom"/>
          </w:tcPr>
          <w:p w:rsidR="00895DC3" w:rsidRPr="00634466" w:rsidRDefault="00895DC3" w:rsidP="00493FF2">
            <w:pPr>
              <w:rPr>
                <w:rFonts w:ascii="Calibri" w:eastAsia="Times New Roman" w:hAnsi="Calibri" w:cs="Arial"/>
                <w:color w:val="000000"/>
                <w:sz w:val="20"/>
                <w:szCs w:val="20"/>
                <w:lang w:eastAsia="en-GB"/>
              </w:rPr>
            </w:pPr>
          </w:p>
        </w:tc>
        <w:tc>
          <w:tcPr>
            <w:tcW w:w="716" w:type="dxa"/>
            <w:tcBorders>
              <w:top w:val="nil"/>
              <w:left w:val="nil"/>
              <w:bottom w:val="nil"/>
              <w:right w:val="nil"/>
            </w:tcBorders>
            <w:shd w:val="clear" w:color="auto" w:fill="auto"/>
            <w:noWrap/>
            <w:vAlign w:val="bottom"/>
          </w:tcPr>
          <w:p w:rsidR="00895DC3" w:rsidRPr="00634466" w:rsidRDefault="00895DC3" w:rsidP="00493FF2">
            <w:pPr>
              <w:jc w:val="right"/>
              <w:rPr>
                <w:rFonts w:ascii="Calibri" w:eastAsia="Times New Roman" w:hAnsi="Calibri" w:cs="Arial"/>
                <w:color w:val="000000"/>
                <w:sz w:val="18"/>
                <w:szCs w:val="18"/>
                <w:lang w:eastAsia="en-GB"/>
              </w:rPr>
            </w:pPr>
          </w:p>
        </w:tc>
        <w:tc>
          <w:tcPr>
            <w:tcW w:w="946" w:type="dxa"/>
            <w:tcBorders>
              <w:top w:val="nil"/>
              <w:left w:val="nil"/>
              <w:bottom w:val="nil"/>
              <w:right w:val="nil"/>
            </w:tcBorders>
            <w:shd w:val="clear" w:color="auto" w:fill="auto"/>
            <w:noWrap/>
            <w:vAlign w:val="bottom"/>
          </w:tcPr>
          <w:p w:rsidR="00895DC3" w:rsidRPr="00634466" w:rsidRDefault="00895DC3" w:rsidP="00493FF2">
            <w:pPr>
              <w:jc w:val="right"/>
              <w:rPr>
                <w:rFonts w:ascii="Arial" w:eastAsia="Times New Roman" w:hAnsi="Arial" w:cs="Arial"/>
                <w:b/>
                <w:bCs/>
                <w:sz w:val="18"/>
                <w:szCs w:val="18"/>
                <w:lang w:eastAsia="en-GB"/>
              </w:rPr>
            </w:pPr>
          </w:p>
        </w:tc>
        <w:tc>
          <w:tcPr>
            <w:tcW w:w="945" w:type="dxa"/>
            <w:tcBorders>
              <w:top w:val="nil"/>
              <w:left w:val="nil"/>
              <w:bottom w:val="nil"/>
              <w:right w:val="nil"/>
            </w:tcBorders>
            <w:shd w:val="clear" w:color="auto" w:fill="auto"/>
            <w:noWrap/>
            <w:vAlign w:val="bottom"/>
          </w:tcPr>
          <w:p w:rsidR="00895DC3" w:rsidRPr="00634466" w:rsidRDefault="00895DC3" w:rsidP="00493FF2">
            <w:pPr>
              <w:jc w:val="right"/>
              <w:rPr>
                <w:rFonts w:ascii="Arial" w:eastAsia="Times New Roman" w:hAnsi="Arial" w:cs="Arial"/>
                <w:b/>
                <w:bCs/>
                <w:sz w:val="18"/>
                <w:szCs w:val="18"/>
                <w:lang w:eastAsia="en-GB"/>
              </w:rPr>
            </w:pPr>
          </w:p>
        </w:tc>
        <w:tc>
          <w:tcPr>
            <w:tcW w:w="945" w:type="dxa"/>
            <w:tcBorders>
              <w:top w:val="nil"/>
              <w:left w:val="nil"/>
              <w:bottom w:val="nil"/>
              <w:right w:val="nil"/>
            </w:tcBorders>
            <w:shd w:val="clear" w:color="auto" w:fill="auto"/>
            <w:noWrap/>
            <w:vAlign w:val="bottom"/>
          </w:tcPr>
          <w:p w:rsidR="00895DC3" w:rsidRPr="00634466" w:rsidRDefault="00895DC3" w:rsidP="00493FF2">
            <w:pPr>
              <w:jc w:val="right"/>
              <w:rPr>
                <w:rFonts w:ascii="Arial" w:eastAsia="Times New Roman" w:hAnsi="Arial" w:cs="Arial"/>
                <w:b/>
                <w:bCs/>
                <w:sz w:val="18"/>
                <w:szCs w:val="18"/>
                <w:lang w:eastAsia="en-GB"/>
              </w:rPr>
            </w:pPr>
          </w:p>
        </w:tc>
      </w:tr>
    </w:tbl>
    <w:p w:rsidR="008E26B4" w:rsidRPr="00634466" w:rsidRDefault="008E26B4" w:rsidP="0021722E">
      <w:pPr>
        <w:pStyle w:val="Caption"/>
      </w:pPr>
      <w:r w:rsidRPr="00634466">
        <w:t>.</w:t>
      </w:r>
    </w:p>
    <w:p w:rsidR="008E26B4" w:rsidRPr="00634466" w:rsidRDefault="008E26B4" w:rsidP="008E26B4">
      <w:pPr>
        <w:spacing w:line="480" w:lineRule="auto"/>
      </w:pPr>
    </w:p>
    <w:p w:rsidR="00784F01" w:rsidRPr="00634466" w:rsidRDefault="008E26B4" w:rsidP="008E26B4">
      <w:pPr>
        <w:spacing w:line="480" w:lineRule="auto"/>
      </w:pPr>
      <w:r w:rsidRPr="00634466">
        <w:t>The rest of the Strathclyde region (RST) has somewhat different economic characteristics than Glasgow (GLA). In terms of population it is approximately 3 times the size of Glasgow. However, there are only 1.4 times as many jobs in RST. The lower job density in RST is explained by significant out-commuting to seek employment in GLA. The sub-regions ar</w:t>
      </w:r>
      <w:r w:rsidR="004302D1">
        <w:t>e not only linked through work, as r</w:t>
      </w:r>
      <w:r w:rsidRPr="00634466">
        <w:t xml:space="preserve">esidents undertake shopping trips across regional boundaries. The 2007 Scottish Household Survey contains a detailed travel habits survey. </w:t>
      </w:r>
      <w:fldSimple w:instr=" REF _Ref401837283 \h  \* MERGEFORMAT ">
        <w:r w:rsidR="00476FBF" w:rsidRPr="00634466">
          <w:t xml:space="preserve">Table </w:t>
        </w:r>
        <w:r w:rsidR="00476FBF">
          <w:t>3</w:t>
        </w:r>
      </w:fldSimple>
      <w:r w:rsidRPr="00634466">
        <w:t xml:space="preserve"> shows the composition of all shopping trips by residence</w:t>
      </w:r>
      <w:r w:rsidR="000E5424" w:rsidRPr="00634466">
        <w:t xml:space="preserve"> and the shopping destination. </w:t>
      </w:r>
    </w:p>
    <w:p w:rsidR="00784F01" w:rsidRPr="00634466" w:rsidRDefault="00784F01" w:rsidP="00784F01">
      <w:pPr>
        <w:pStyle w:val="Heading1"/>
        <w:numPr>
          <w:ilvl w:val="0"/>
          <w:numId w:val="6"/>
        </w:numPr>
        <w:spacing w:line="480" w:lineRule="auto"/>
      </w:pPr>
      <w:r w:rsidRPr="00634466">
        <w:t>Construction of the Input-Output table</w:t>
      </w:r>
    </w:p>
    <w:p w:rsidR="00C17D67" w:rsidRPr="00634466" w:rsidRDefault="00784F01" w:rsidP="00C17D67">
      <w:pPr>
        <w:spacing w:line="480" w:lineRule="auto"/>
      </w:pPr>
      <w:r w:rsidRPr="00634466">
        <w:t xml:space="preserve">The Scottish Input-Output table for 2006 is disaggregated into three sub-regions. The parent IO table, as illustrated in </w:t>
      </w:r>
      <w:fldSimple w:instr=" REF _Ref401842411 \h  \* MERGEFORMAT ">
        <w:r w:rsidR="00476FBF" w:rsidRPr="00634466">
          <w:t xml:space="preserve">Figure </w:t>
        </w:r>
        <w:r w:rsidR="00476FBF">
          <w:t>1</w:t>
        </w:r>
      </w:fldSimple>
      <w:r w:rsidRPr="00634466">
        <w:t xml:space="preserve">, has </w:t>
      </w:r>
      <w:proofErr w:type="spellStart"/>
      <w:r w:rsidRPr="00634466">
        <w:rPr>
          <w:i/>
        </w:rPr>
        <w:t>i</w:t>
      </w:r>
      <w:proofErr w:type="spellEnd"/>
      <w:r w:rsidRPr="00634466">
        <w:rPr>
          <w:i/>
        </w:rPr>
        <w:t xml:space="preserve">=j </w:t>
      </w:r>
      <w:r w:rsidRPr="00634466">
        <w:t xml:space="preserve">intermediate sectors, </w:t>
      </w:r>
      <w:r w:rsidRPr="00634466">
        <w:rPr>
          <w:i/>
        </w:rPr>
        <w:t>q</w:t>
      </w:r>
      <w:r w:rsidRPr="00634466">
        <w:t xml:space="preserve"> final demand sectors and </w:t>
      </w:r>
      <w:r w:rsidRPr="00634466">
        <w:rPr>
          <w:i/>
        </w:rPr>
        <w:t xml:space="preserve">p </w:t>
      </w:r>
      <w:r w:rsidRPr="00634466">
        <w:t>primary sectors</w:t>
      </w:r>
      <w:r w:rsidRPr="00634466">
        <w:rPr>
          <w:rStyle w:val="FootnoteReference"/>
        </w:rPr>
        <w:footnoteReference w:id="7"/>
      </w:r>
      <w:r w:rsidR="00C17D67">
        <w:t xml:space="preserve">. </w:t>
      </w:r>
      <w:r w:rsidR="00C17D67" w:rsidRPr="00634466">
        <w:t>The notation is as follows (small bold cases for vectors and capital bold cases for matrices):</w:t>
      </w:r>
    </w:p>
    <w:p w:rsidR="00C17D67" w:rsidRPr="00634466" w:rsidRDefault="00C17D67" w:rsidP="00C17D67">
      <w:pPr>
        <w:spacing w:line="480" w:lineRule="auto"/>
        <w:ind w:firstLine="720"/>
      </w:pPr>
      <w:r w:rsidRPr="00634466">
        <w:rPr>
          <w:b/>
        </w:rPr>
        <w:t>x</w:t>
      </w:r>
      <w:r w:rsidRPr="00634466">
        <w:t xml:space="preserve"> = i×1 and 1×j vectors of outputs</w:t>
      </w:r>
      <w:r w:rsidR="00097A49">
        <w:t>.</w:t>
      </w:r>
    </w:p>
    <w:p w:rsidR="00C17D67" w:rsidRPr="00634466" w:rsidRDefault="00C17D67" w:rsidP="00C17D67">
      <w:pPr>
        <w:spacing w:line="480" w:lineRule="auto"/>
        <w:ind w:firstLine="720"/>
      </w:pPr>
      <w:r w:rsidRPr="00634466">
        <w:rPr>
          <w:b/>
        </w:rPr>
        <w:t>Z</w:t>
      </w:r>
      <w:r w:rsidRPr="00634466">
        <w:t xml:space="preserve"> = </w:t>
      </w:r>
      <w:proofErr w:type="spellStart"/>
      <w:r w:rsidRPr="00634466">
        <w:t>i</w:t>
      </w:r>
      <w:proofErr w:type="spellEnd"/>
      <w:r w:rsidRPr="00634466">
        <w:t xml:space="preserve"> × j matrix-of intermediate demand</w:t>
      </w:r>
      <w:r w:rsidR="00097A49">
        <w:t>.</w:t>
      </w:r>
    </w:p>
    <w:p w:rsidR="00C17D67" w:rsidRPr="00634466" w:rsidRDefault="00C17D67" w:rsidP="00C17D67">
      <w:pPr>
        <w:spacing w:line="480" w:lineRule="auto"/>
        <w:ind w:firstLine="720"/>
      </w:pPr>
      <w:r w:rsidRPr="00634466">
        <w:rPr>
          <w:b/>
        </w:rPr>
        <w:t>F</w:t>
      </w:r>
      <w:r w:rsidRPr="00634466">
        <w:t xml:space="preserve"> = </w:t>
      </w:r>
      <w:proofErr w:type="spellStart"/>
      <w:r w:rsidRPr="00634466">
        <w:t>i</w:t>
      </w:r>
      <w:proofErr w:type="spellEnd"/>
      <w:r w:rsidRPr="00634466">
        <w:t xml:space="preserve"> × q matrix-of final demand</w:t>
      </w:r>
      <w:r w:rsidR="00097A49">
        <w:t>.</w:t>
      </w:r>
    </w:p>
    <w:p w:rsidR="00C17D67" w:rsidRPr="00634466" w:rsidRDefault="00C17D67" w:rsidP="00C17D67">
      <w:pPr>
        <w:spacing w:line="480" w:lineRule="auto"/>
        <w:ind w:firstLine="720"/>
      </w:pPr>
      <w:r w:rsidRPr="00634466">
        <w:rPr>
          <w:b/>
        </w:rPr>
        <w:t xml:space="preserve">V </w:t>
      </w:r>
      <w:r w:rsidRPr="00634466">
        <w:t>= p × j</w:t>
      </w:r>
      <w:r w:rsidRPr="00634466">
        <w:rPr>
          <w:b/>
        </w:rPr>
        <w:t xml:space="preserve"> </w:t>
      </w:r>
      <w:r w:rsidRPr="00634466">
        <w:t>matrix of primary costs</w:t>
      </w:r>
      <w:r w:rsidR="00097A49">
        <w:t>.</w:t>
      </w:r>
    </w:p>
    <w:p w:rsidR="00784F01" w:rsidRDefault="00784F01" w:rsidP="00784F01">
      <w:pPr>
        <w:spacing w:line="480" w:lineRule="auto"/>
      </w:pPr>
    </w:p>
    <w:p w:rsidR="00784F01" w:rsidRPr="00634466" w:rsidRDefault="00784F01" w:rsidP="0021722E">
      <w:pPr>
        <w:pStyle w:val="Caption"/>
      </w:pPr>
      <w:bookmarkStart w:id="10" w:name="_Ref401842411"/>
      <w:r w:rsidRPr="00634466">
        <w:t xml:space="preserve">Figure </w:t>
      </w:r>
      <w:r w:rsidR="00BB6961" w:rsidRPr="00634466">
        <w:fldChar w:fldCharType="begin"/>
      </w:r>
      <w:r w:rsidR="004A1262" w:rsidRPr="00634466">
        <w:instrText xml:space="preserve"> SEQ Figure \* ARABIC </w:instrText>
      </w:r>
      <w:r w:rsidR="00BB6961" w:rsidRPr="00634466">
        <w:fldChar w:fldCharType="separate"/>
      </w:r>
      <w:r w:rsidR="00476FBF">
        <w:rPr>
          <w:noProof/>
        </w:rPr>
        <w:t>1</w:t>
      </w:r>
      <w:r w:rsidR="00BB6961" w:rsidRPr="00634466">
        <w:rPr>
          <w:noProof/>
        </w:rPr>
        <w:fldChar w:fldCharType="end"/>
      </w:r>
      <w:bookmarkEnd w:id="10"/>
      <w:r w:rsidR="008A521D">
        <w:t xml:space="preserve"> Single region IO </w:t>
      </w:r>
      <w:r w:rsidRPr="00634466">
        <w:t>table for Scotland</w:t>
      </w:r>
    </w:p>
    <w:p w:rsidR="00784F01" w:rsidRDefault="00784F01" w:rsidP="00784F01">
      <w:pPr>
        <w:jc w:val="center"/>
      </w:pPr>
    </w:p>
    <w:p w:rsidR="00FF566A" w:rsidRDefault="00FF566A" w:rsidP="00784F01">
      <w:pPr>
        <w:jc w:val="center"/>
      </w:pPr>
    </w:p>
    <w:p w:rsidR="00FF566A" w:rsidRDefault="00FF566A" w:rsidP="00784F01">
      <w:pPr>
        <w:jc w:val="center"/>
      </w:pPr>
    </w:p>
    <w:p w:rsidR="007A7991" w:rsidRDefault="007A7991" w:rsidP="00784F01">
      <w:pPr>
        <w:jc w:val="center"/>
      </w:pPr>
    </w:p>
    <w:p w:rsidR="00FF566A" w:rsidRPr="00634466" w:rsidRDefault="00FF566A" w:rsidP="007A7991">
      <w:pPr>
        <w:jc w:val="center"/>
      </w:pPr>
      <w:r w:rsidRPr="00FF566A">
        <w:rPr>
          <w:noProof/>
          <w:lang w:eastAsia="en-GB"/>
        </w:rPr>
        <w:drawing>
          <wp:inline distT="0" distB="0" distL="0" distR="0">
            <wp:extent cx="2542032" cy="23408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152" t="7328" r="21929" b="3072"/>
                    <a:stretch/>
                  </pic:blipFill>
                  <pic:spPr bwMode="auto">
                    <a:xfrm>
                      <a:off x="0" y="0"/>
                      <a:ext cx="2542032" cy="23408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84F01" w:rsidRPr="00634466" w:rsidRDefault="00784F01" w:rsidP="00784F01">
      <w:pPr>
        <w:jc w:val="center"/>
      </w:pPr>
    </w:p>
    <w:p w:rsidR="00784F01" w:rsidRPr="00634466" w:rsidRDefault="00784F01" w:rsidP="00784F01">
      <w:pPr>
        <w:spacing w:line="480" w:lineRule="auto"/>
      </w:pPr>
      <w:bookmarkStart w:id="11" w:name="_Ref286838813"/>
      <w:bookmarkStart w:id="12" w:name="_Ref288836505"/>
      <w:r w:rsidRPr="00634466">
        <w:t xml:space="preserve">The disaggregation process is carried out at the most disaggregated level possible (126 sectors) and is aggregated subsequently to simplify presentation. The disaggregation occurs in 4 stages: </w:t>
      </w:r>
    </w:p>
    <w:p w:rsidR="00784F01" w:rsidRPr="00634466" w:rsidRDefault="00784F01" w:rsidP="00784F01">
      <w:pPr>
        <w:numPr>
          <w:ilvl w:val="0"/>
          <w:numId w:val="3"/>
        </w:numPr>
        <w:tabs>
          <w:tab w:val="clear" w:pos="360"/>
          <w:tab w:val="num" w:pos="851"/>
        </w:tabs>
        <w:spacing w:line="480" w:lineRule="auto"/>
        <w:ind w:left="851"/>
        <w:jc w:val="both"/>
      </w:pPr>
      <w:bookmarkStart w:id="13" w:name="_Ref307401796"/>
      <w:r w:rsidRPr="00634466">
        <w:t>Estimate sector gross output totals</w:t>
      </w:r>
      <w:bookmarkEnd w:id="13"/>
    </w:p>
    <w:p w:rsidR="00784F01" w:rsidRPr="00634466" w:rsidRDefault="00784F01" w:rsidP="00784F01">
      <w:pPr>
        <w:numPr>
          <w:ilvl w:val="0"/>
          <w:numId w:val="3"/>
        </w:numPr>
        <w:tabs>
          <w:tab w:val="clear" w:pos="360"/>
          <w:tab w:val="num" w:pos="851"/>
        </w:tabs>
        <w:spacing w:line="480" w:lineRule="auto"/>
        <w:ind w:left="851"/>
        <w:jc w:val="both"/>
      </w:pPr>
      <w:r w:rsidRPr="00634466">
        <w:t>Estimate input coefficients (A-matrices) and intermediate transactions (Z-matrices)</w:t>
      </w:r>
    </w:p>
    <w:p w:rsidR="00784F01" w:rsidRPr="00634466" w:rsidRDefault="00784F01" w:rsidP="00784F01">
      <w:pPr>
        <w:numPr>
          <w:ilvl w:val="0"/>
          <w:numId w:val="3"/>
        </w:numPr>
        <w:tabs>
          <w:tab w:val="clear" w:pos="360"/>
          <w:tab w:val="num" w:pos="851"/>
        </w:tabs>
        <w:spacing w:line="480" w:lineRule="auto"/>
        <w:ind w:left="851"/>
        <w:jc w:val="both"/>
      </w:pPr>
      <w:r w:rsidRPr="00634466">
        <w:t>Estimate primary inputs</w:t>
      </w:r>
    </w:p>
    <w:p w:rsidR="00784F01" w:rsidRPr="00634466" w:rsidRDefault="00784F01" w:rsidP="00784F01">
      <w:pPr>
        <w:numPr>
          <w:ilvl w:val="0"/>
          <w:numId w:val="3"/>
        </w:numPr>
        <w:tabs>
          <w:tab w:val="clear" w:pos="360"/>
          <w:tab w:val="num" w:pos="851"/>
        </w:tabs>
        <w:spacing w:line="480" w:lineRule="auto"/>
        <w:ind w:left="851"/>
        <w:jc w:val="both"/>
      </w:pPr>
      <w:r w:rsidRPr="00634466">
        <w:t>Estimate final demands and balance table</w:t>
      </w:r>
    </w:p>
    <w:p w:rsidR="00784F01" w:rsidRPr="00634466" w:rsidRDefault="00784F01" w:rsidP="00784F01">
      <w:pPr>
        <w:spacing w:line="480" w:lineRule="auto"/>
        <w:jc w:val="both"/>
      </w:pPr>
    </w:p>
    <w:p w:rsidR="00784F01" w:rsidRPr="00634466" w:rsidRDefault="00784F01" w:rsidP="00784F01">
      <w:pPr>
        <w:spacing w:line="480" w:lineRule="auto"/>
      </w:pPr>
      <w:r w:rsidRPr="00634466">
        <w:t>Data on employment by sector and NUTS 3 region are obtained from the 2006 Annual Business Inquiry (ABI) using the NOMIS data portal</w:t>
      </w:r>
      <w:r w:rsidRPr="00634466">
        <w:rPr>
          <w:rStyle w:val="FootnoteReference"/>
        </w:rPr>
        <w:footnoteReference w:id="8"/>
      </w:r>
      <w:r w:rsidRPr="00634466">
        <w:t xml:space="preserve">. The IO sectors refer to specific Standard Industrial Classification (SIC) categories and therefore employment levels from the ABI can be matched to each sector. </w:t>
      </w:r>
      <w:bookmarkStart w:id="14" w:name="_Ref286841812"/>
      <w:bookmarkEnd w:id="11"/>
      <w:bookmarkEnd w:id="12"/>
      <w:r w:rsidRPr="00634466">
        <w:t xml:space="preserve">An outline of the resulting interregional IO table is presented in </w:t>
      </w:r>
      <w:fldSimple w:instr=" REF _Ref401842539 \h  \* MERGEFORMAT ">
        <w:r w:rsidR="00476FBF" w:rsidRPr="00634466">
          <w:t xml:space="preserve">Figure </w:t>
        </w:r>
        <w:r w:rsidR="00476FBF">
          <w:t>2</w:t>
        </w:r>
      </w:fldSimple>
      <w:r w:rsidRPr="00634466">
        <w:t xml:space="preserve">. This contains three sub-regions L. When analysing interactions across sub-regions it is useful to distinguish between the row and column region of the matrix. These are identified in superscripts using r and s. The order follows the familiar row/column convention for matrix elements, where r represents rows and s represents columns. The sub-regions are labelled as follows: G represents Glasgow, W the rest of the Strathclyde region and B the rest of Scotland. For example the matrix </w:t>
      </w:r>
      <w:r w:rsidRPr="00634466">
        <w:rPr>
          <w:b/>
        </w:rPr>
        <w:t>Z</w:t>
      </w:r>
      <w:r w:rsidRPr="00634466">
        <w:rPr>
          <w:b/>
          <w:vertAlign w:val="superscript"/>
        </w:rPr>
        <w:t>WG</w:t>
      </w:r>
      <w:r w:rsidRPr="00634466">
        <w:t xml:space="preserve"> contains the elements for </w:t>
      </w:r>
      <w:r w:rsidRPr="00634466">
        <w:lastRenderedPageBreak/>
        <w:t>the intermediate demand rows (origin</w:t>
      </w:r>
      <w:r w:rsidR="00094714" w:rsidRPr="00634466">
        <w:t xml:space="preserve"> of the demand</w:t>
      </w:r>
      <w:r w:rsidRPr="00634466">
        <w:t>) of the rest of Strathclyde region (W) and the intermediate expenditure column of Glasgow (G), which is the destination of the expenditures.</w:t>
      </w:r>
    </w:p>
    <w:p w:rsidR="00784F01" w:rsidRPr="00634466" w:rsidRDefault="00784F01" w:rsidP="00784F01">
      <w:pPr>
        <w:spacing w:line="480" w:lineRule="auto"/>
      </w:pPr>
    </w:p>
    <w:p w:rsidR="00784F01" w:rsidRPr="00634466" w:rsidRDefault="00784F01" w:rsidP="0021722E">
      <w:pPr>
        <w:pStyle w:val="Caption"/>
      </w:pPr>
      <w:bookmarkStart w:id="15" w:name="_Ref401842539"/>
      <w:bookmarkStart w:id="16" w:name="_Ref288834459"/>
      <w:bookmarkStart w:id="17" w:name="_Ref293494108"/>
      <w:bookmarkStart w:id="18" w:name="_Ref288834444"/>
      <w:r w:rsidRPr="00634466">
        <w:t xml:space="preserve">Figure </w:t>
      </w:r>
      <w:r w:rsidR="00BB6961" w:rsidRPr="00634466">
        <w:fldChar w:fldCharType="begin"/>
      </w:r>
      <w:r w:rsidR="004A1262" w:rsidRPr="00634466">
        <w:instrText xml:space="preserve"> SEQ Figure \* ARABIC </w:instrText>
      </w:r>
      <w:r w:rsidR="00BB6961" w:rsidRPr="00634466">
        <w:fldChar w:fldCharType="separate"/>
      </w:r>
      <w:r w:rsidR="00476FBF">
        <w:rPr>
          <w:noProof/>
        </w:rPr>
        <w:t>2</w:t>
      </w:r>
      <w:r w:rsidR="00BB6961" w:rsidRPr="00634466">
        <w:rPr>
          <w:noProof/>
        </w:rPr>
        <w:fldChar w:fldCharType="end"/>
      </w:r>
      <w:bookmarkEnd w:id="15"/>
      <w:r w:rsidRPr="00634466">
        <w:t xml:space="preserve"> Interregional Input-Output table for three regions.</w:t>
      </w:r>
    </w:p>
    <w:p w:rsidR="007A7991" w:rsidRPr="00634466" w:rsidRDefault="007A7991" w:rsidP="00784F01">
      <w:pPr>
        <w:jc w:val="center"/>
      </w:pPr>
      <w:r w:rsidRPr="007A7991">
        <w:rPr>
          <w:noProof/>
          <w:lang w:eastAsia="en-GB"/>
        </w:rPr>
        <w:drawing>
          <wp:inline distT="0" distB="0" distL="0" distR="0">
            <wp:extent cx="3977640" cy="330098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7640" cy="3300984"/>
                    </a:xfrm>
                    <a:prstGeom prst="rect">
                      <a:avLst/>
                    </a:prstGeom>
                    <a:noFill/>
                    <a:ln>
                      <a:noFill/>
                    </a:ln>
                  </pic:spPr>
                </pic:pic>
              </a:graphicData>
            </a:graphic>
          </wp:inline>
        </w:drawing>
      </w:r>
    </w:p>
    <w:bookmarkEnd w:id="14"/>
    <w:bookmarkEnd w:id="16"/>
    <w:bookmarkEnd w:id="17"/>
    <w:bookmarkEnd w:id="18"/>
    <w:p w:rsidR="00784F01" w:rsidRPr="00634466" w:rsidRDefault="00784F01" w:rsidP="00784F01">
      <w:pPr>
        <w:spacing w:line="480" w:lineRule="auto"/>
        <w:jc w:val="center"/>
      </w:pPr>
    </w:p>
    <w:p w:rsidR="00784F01" w:rsidRPr="00634466" w:rsidRDefault="00784F01" w:rsidP="00784F01">
      <w:pPr>
        <w:spacing w:line="480" w:lineRule="auto"/>
      </w:pPr>
      <w:r w:rsidRPr="00634466">
        <w:t xml:space="preserve">The household consumption category of final demand has a region of origin and a region of destination. This is represented by the i×1 vector </w:t>
      </w:r>
      <w:r w:rsidRPr="00634466">
        <w:rPr>
          <w:b/>
        </w:rPr>
        <w:t>h</w:t>
      </w:r>
      <w:r w:rsidRPr="00634466">
        <w:rPr>
          <w:b/>
          <w:vertAlign w:val="superscript"/>
        </w:rPr>
        <w:t>rs</w:t>
      </w:r>
      <w:r w:rsidRPr="00634466">
        <w:t xml:space="preserve">. </w:t>
      </w:r>
      <w:r w:rsidR="00094714" w:rsidRPr="00634466">
        <w:t>Sales to t</w:t>
      </w:r>
      <w:r w:rsidRPr="00634466">
        <w:t xml:space="preserve">he </w:t>
      </w:r>
      <w:r w:rsidRPr="00634466">
        <w:rPr>
          <w:i/>
        </w:rPr>
        <w:t>q</w:t>
      </w:r>
      <w:r w:rsidRPr="00634466">
        <w:rPr>
          <w:i/>
          <w:vertAlign w:val="subscript"/>
        </w:rPr>
        <w:t xml:space="preserve"> </w:t>
      </w:r>
      <w:r w:rsidRPr="00634466">
        <w:t xml:space="preserve">final demand categories are not assigned a </w:t>
      </w:r>
      <w:r w:rsidR="00C5429E" w:rsidRPr="00634466">
        <w:t xml:space="preserve">particular </w:t>
      </w:r>
      <w:r w:rsidR="00094714" w:rsidRPr="00634466">
        <w:t>spatial destination</w:t>
      </w:r>
      <w:r w:rsidRPr="00634466">
        <w:t xml:space="preserve"> (</w:t>
      </w:r>
      <w:r w:rsidR="00094714" w:rsidRPr="00634466">
        <w:t>w</w:t>
      </w:r>
      <w:r w:rsidRPr="00634466">
        <w:t>ithin the interregional IO table</w:t>
      </w:r>
      <w:r w:rsidR="004A1262" w:rsidRPr="00634466">
        <w:t>), i.e. final demand from</w:t>
      </w:r>
      <w:r w:rsidRPr="00634466">
        <w:t xml:space="preserve"> government</w:t>
      </w:r>
      <w:r w:rsidR="004A1262" w:rsidRPr="00634466">
        <w:t xml:space="preserve">, </w:t>
      </w:r>
      <w:r w:rsidRPr="00634466">
        <w:t>capital formation and export</w:t>
      </w:r>
      <w:r w:rsidR="004A1262" w:rsidRPr="00634466">
        <w:t>s to the rest of the UK and the rest of the World</w:t>
      </w:r>
      <w:r w:rsidRPr="00634466">
        <w:t xml:space="preserve">. These matrices are denoted as </w:t>
      </w:r>
      <w:r w:rsidRPr="00634466">
        <w:rPr>
          <w:b/>
        </w:rPr>
        <w:t>F</w:t>
      </w:r>
      <w:r w:rsidRPr="00634466">
        <w:rPr>
          <w:b/>
          <w:vertAlign w:val="superscript"/>
        </w:rPr>
        <w:t>r*</w:t>
      </w:r>
      <w:r w:rsidRPr="00634466">
        <w:t xml:space="preserve">. Similarly for primary inputs, Compensation of Employees flows from the place of work to the place of residence, as denoted by the 1×j vectors </w:t>
      </w:r>
      <w:proofErr w:type="spellStart"/>
      <w:r w:rsidRPr="00634466">
        <w:rPr>
          <w:b/>
        </w:rPr>
        <w:t>l</w:t>
      </w:r>
      <w:r w:rsidRPr="00634466">
        <w:rPr>
          <w:b/>
          <w:vertAlign w:val="superscript"/>
        </w:rPr>
        <w:t>rs</w:t>
      </w:r>
      <w:proofErr w:type="spellEnd"/>
      <w:r w:rsidRPr="00634466">
        <w:t xml:space="preserve">. The </w:t>
      </w:r>
      <w:r w:rsidRPr="00634466">
        <w:rPr>
          <w:i/>
        </w:rPr>
        <w:t>p</w:t>
      </w:r>
      <w:r w:rsidRPr="00634466">
        <w:rPr>
          <w:i/>
          <w:vertAlign w:val="subscript"/>
        </w:rPr>
        <w:t xml:space="preserve"> </w:t>
      </w:r>
      <w:r w:rsidRPr="00634466">
        <w:t>primary input categories</w:t>
      </w:r>
      <w:r w:rsidR="004A1262" w:rsidRPr="00634466">
        <w:t xml:space="preserve"> (primarily other value added and imports from the rest of the UK and the rest of the World)</w:t>
      </w:r>
      <w:r w:rsidRPr="00634466">
        <w:t xml:space="preserve"> are not assigned a spatial origin</w:t>
      </w:r>
      <w:r w:rsidR="00097A49">
        <w:t xml:space="preserve"> (i.e. the primary costs are not assigned a spatial destination)</w:t>
      </w:r>
      <w:r w:rsidRPr="00634466">
        <w:t xml:space="preserve">. These matrices are denoted as </w:t>
      </w:r>
      <w:r w:rsidRPr="00634466">
        <w:rPr>
          <w:b/>
        </w:rPr>
        <w:t>V</w:t>
      </w:r>
      <w:r w:rsidRPr="00634466">
        <w:rPr>
          <w:b/>
          <w:vertAlign w:val="superscript"/>
        </w:rPr>
        <w:t>*s</w:t>
      </w:r>
      <w:r w:rsidRPr="00634466">
        <w:t>.</w:t>
      </w:r>
    </w:p>
    <w:p w:rsidR="00784F01" w:rsidRPr="00634466" w:rsidRDefault="00784F01" w:rsidP="00784F01">
      <w:pPr>
        <w:pStyle w:val="Heading2"/>
        <w:numPr>
          <w:ilvl w:val="1"/>
          <w:numId w:val="6"/>
        </w:numPr>
        <w:spacing w:line="480" w:lineRule="auto"/>
      </w:pPr>
      <w:bookmarkStart w:id="19" w:name="_Ref287544452"/>
      <w:bookmarkStart w:id="20" w:name="_Toc309642123"/>
      <w:r w:rsidRPr="00634466">
        <w:lastRenderedPageBreak/>
        <w:t>Step 1: Sector gross output totals for GLA-RST-</w:t>
      </w:r>
      <w:bookmarkEnd w:id="19"/>
      <w:r w:rsidRPr="00634466">
        <w:t>ROS</w:t>
      </w:r>
      <w:bookmarkEnd w:id="20"/>
    </w:p>
    <w:p w:rsidR="00784F01" w:rsidRPr="00634466" w:rsidRDefault="00784F01" w:rsidP="00784F01">
      <w:pPr>
        <w:spacing w:line="480" w:lineRule="auto"/>
      </w:pPr>
      <w:r w:rsidRPr="00634466">
        <w:t>To derive gross output totals by industrial sector and sub-region</w:t>
      </w:r>
      <w:r w:rsidR="00097A49">
        <w:t>,</w:t>
      </w:r>
      <w:r w:rsidRPr="00634466">
        <w:t xml:space="preserve"> employment is used to disaggregate output levels from the Scottish input-output table:</w:t>
      </w:r>
    </w:p>
    <w:p w:rsidR="00784F01" w:rsidRPr="00634466" w:rsidRDefault="00784F01" w:rsidP="00784F01">
      <w:pPr>
        <w:spacing w:line="480" w:lineRule="auto"/>
      </w:pPr>
    </w:p>
    <w:p w:rsidR="00784F01" w:rsidRPr="00634466" w:rsidRDefault="00BB6961" w:rsidP="00784F01">
      <w:pPr>
        <w:spacing w:line="480" w:lineRule="auto"/>
        <w:rPr>
          <w:rFonts w:eastAsiaTheme="minorEastAsia"/>
        </w:rPr>
      </w:pPr>
      <m:oMathPara>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N</m:t>
              </m:r>
            </m:sup>
          </m:sSubSup>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L</m:t>
                      </m:r>
                    </m:sup>
                  </m:sSubSup>
                </m:num>
                <m:den>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den>
              </m:f>
            </m:e>
          </m:d>
        </m:oMath>
      </m:oMathPara>
    </w:p>
    <w:p w:rsidR="00784F01" w:rsidRPr="00634466" w:rsidRDefault="00784F01" w:rsidP="00784F01">
      <w:pPr>
        <w:spacing w:line="480" w:lineRule="auto"/>
      </w:pPr>
    </w:p>
    <w:p w:rsidR="00784F01" w:rsidRPr="00634466" w:rsidRDefault="00784F01" w:rsidP="00784F01">
      <w:pPr>
        <w:spacing w:line="480" w:lineRule="auto"/>
      </w:pPr>
      <w:r w:rsidRPr="00634466">
        <w:t xml:space="preserve">Where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oMath>
      <w:r w:rsidRPr="00634466">
        <w:rPr>
          <w:rFonts w:eastAsiaTheme="minorEastAsia"/>
        </w:rPr>
        <w:t xml:space="preserve"> </w:t>
      </w:r>
      <w:r w:rsidRPr="00634466">
        <w:t xml:space="preserve">refers to output of sector </w:t>
      </w:r>
      <w:proofErr w:type="spellStart"/>
      <w:r w:rsidRPr="00634466">
        <w:rPr>
          <w:i/>
        </w:rPr>
        <w:t>i</w:t>
      </w:r>
      <w:proofErr w:type="spellEnd"/>
      <w:r w:rsidRPr="00634466">
        <w:t xml:space="preserve"> in region </w:t>
      </w:r>
      <w:r w:rsidRPr="00634466">
        <w:rPr>
          <w:i/>
        </w:rPr>
        <w:t>L</w:t>
      </w:r>
      <w:r w:rsidRPr="00634466">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N</m:t>
            </m:r>
          </m:sup>
        </m:sSubSup>
      </m:oMath>
      <w:r w:rsidRPr="00634466">
        <w:rPr>
          <w:rFonts w:eastAsiaTheme="minorEastAsia"/>
        </w:rPr>
        <w:t xml:space="preserve"> </w:t>
      </w:r>
      <w:r w:rsidRPr="00634466">
        <w:t xml:space="preserve">refers to output of sector </w:t>
      </w:r>
      <w:proofErr w:type="spellStart"/>
      <w:r w:rsidRPr="00634466">
        <w:rPr>
          <w:i/>
        </w:rPr>
        <w:t>i</w:t>
      </w:r>
      <w:proofErr w:type="spellEnd"/>
      <w:r w:rsidRPr="00634466">
        <w:t xml:space="preserve"> in Scotland. Similarly,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L</m:t>
            </m:r>
          </m:sup>
        </m:sSubSup>
      </m:oMath>
      <w:r w:rsidRPr="00634466">
        <w:t xml:space="preserve">and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oMath>
      <w:r w:rsidRPr="00634466">
        <w:rPr>
          <w:rFonts w:eastAsiaTheme="minorEastAsia"/>
        </w:rPr>
        <w:t xml:space="preserve"> </w:t>
      </w:r>
      <w:r w:rsidRPr="00634466">
        <w:t xml:space="preserve">denote employment in sector </w:t>
      </w:r>
      <w:proofErr w:type="spellStart"/>
      <w:r w:rsidRPr="00634466">
        <w:rPr>
          <w:i/>
        </w:rPr>
        <w:t>i</w:t>
      </w:r>
      <w:proofErr w:type="spellEnd"/>
      <w:r w:rsidRPr="00634466">
        <w:t xml:space="preserve"> in region </w:t>
      </w:r>
      <w:r w:rsidRPr="00634466">
        <w:rPr>
          <w:i/>
        </w:rPr>
        <w:t>L</w:t>
      </w:r>
      <w:r w:rsidRPr="00634466">
        <w:t xml:space="preserve"> and Scotland, respectively. </w:t>
      </w:r>
    </w:p>
    <w:p w:rsidR="00784F01" w:rsidRPr="00634466" w:rsidRDefault="00784F01" w:rsidP="00784F01">
      <w:pPr>
        <w:pStyle w:val="Heading2"/>
        <w:numPr>
          <w:ilvl w:val="1"/>
          <w:numId w:val="6"/>
        </w:numPr>
        <w:spacing w:line="480" w:lineRule="auto"/>
      </w:pPr>
      <w:bookmarkStart w:id="21" w:name="_Toc196023725"/>
      <w:bookmarkStart w:id="22" w:name="_Toc206215723"/>
      <w:bookmarkStart w:id="23" w:name="_Toc224371058"/>
      <w:bookmarkStart w:id="24" w:name="_Toc309642124"/>
      <w:bookmarkStart w:id="25" w:name="_Ref402863564"/>
      <w:bookmarkStart w:id="26" w:name="_Toc196023724"/>
      <w:bookmarkStart w:id="27" w:name="_Toc206215722"/>
      <w:bookmarkStart w:id="28" w:name="_Toc224371057"/>
      <w:r w:rsidRPr="00634466">
        <w:t xml:space="preserve">Step 2: </w:t>
      </w:r>
      <w:bookmarkEnd w:id="21"/>
      <w:bookmarkEnd w:id="22"/>
      <w:bookmarkEnd w:id="23"/>
      <w:r w:rsidRPr="00634466">
        <w:t xml:space="preserve">Intermediate </w:t>
      </w:r>
      <w:bookmarkEnd w:id="24"/>
      <w:r w:rsidRPr="00634466">
        <w:t>inputs</w:t>
      </w:r>
      <w:bookmarkEnd w:id="25"/>
    </w:p>
    <w:p w:rsidR="00784F01" w:rsidRPr="00634466" w:rsidRDefault="00784F01" w:rsidP="00784F01">
      <w:pPr>
        <w:spacing w:line="480" w:lineRule="auto"/>
        <w:rPr>
          <w:position w:val="-14"/>
        </w:rPr>
      </w:pPr>
      <w:r w:rsidRPr="00634466">
        <w:rPr>
          <w:position w:val="-14"/>
        </w:rPr>
        <w:t>The share of intermediate purchases sourced locally are estima</w:t>
      </w:r>
      <w:r w:rsidR="008A796E" w:rsidRPr="00634466">
        <w:rPr>
          <w:position w:val="-14"/>
        </w:rPr>
        <w:t xml:space="preserve">ted using FLQ’s, based on δ=0.3. This follows the recommendation of Flegg &amp; Webber (1997), which is supported by the work of </w:t>
      </w:r>
      <w:proofErr w:type="spellStart"/>
      <w:r w:rsidR="008A796E" w:rsidRPr="00634466">
        <w:rPr>
          <w:position w:val="-14"/>
        </w:rPr>
        <w:t>Flegg</w:t>
      </w:r>
      <w:proofErr w:type="spellEnd"/>
      <w:r w:rsidR="008A796E" w:rsidRPr="00634466">
        <w:rPr>
          <w:position w:val="-14"/>
        </w:rPr>
        <w:t xml:space="preserve"> &amp; </w:t>
      </w:r>
      <w:proofErr w:type="spellStart"/>
      <w:r w:rsidR="008A796E" w:rsidRPr="00634466">
        <w:rPr>
          <w:position w:val="-14"/>
        </w:rPr>
        <w:t>Tohmo</w:t>
      </w:r>
      <w:proofErr w:type="spellEnd"/>
      <w:r w:rsidR="008A796E" w:rsidRPr="00634466">
        <w:rPr>
          <w:position w:val="-14"/>
        </w:rPr>
        <w:t xml:space="preserve"> (</w:t>
      </w:r>
      <w:r w:rsidR="002F0269" w:rsidRPr="00634466">
        <w:rPr>
          <w:position w:val="-14"/>
        </w:rPr>
        <w:t>2013a</w:t>
      </w:r>
      <w:r w:rsidR="008A796E" w:rsidRPr="00634466">
        <w:rPr>
          <w:position w:val="-14"/>
        </w:rPr>
        <w:t>) as is summarised in</w:t>
      </w:r>
      <w:r w:rsidR="00322B92">
        <w:rPr>
          <w:position w:val="-14"/>
        </w:rPr>
        <w:t xml:space="preserve"> section </w:t>
      </w:r>
      <w:r w:rsidR="00BB6961">
        <w:rPr>
          <w:position w:val="-14"/>
        </w:rPr>
        <w:fldChar w:fldCharType="begin"/>
      </w:r>
      <w:r w:rsidR="00322B92">
        <w:rPr>
          <w:position w:val="-14"/>
        </w:rPr>
        <w:instrText xml:space="preserve"> REF _Ref424067237 \r \h </w:instrText>
      </w:r>
      <w:r w:rsidR="00BB6961">
        <w:rPr>
          <w:position w:val="-14"/>
        </w:rPr>
      </w:r>
      <w:r w:rsidR="00BB6961">
        <w:rPr>
          <w:position w:val="-14"/>
        </w:rPr>
        <w:fldChar w:fldCharType="separate"/>
      </w:r>
      <w:r w:rsidR="00476FBF">
        <w:rPr>
          <w:position w:val="-14"/>
        </w:rPr>
        <w:t>2</w:t>
      </w:r>
      <w:r w:rsidR="00BB6961">
        <w:rPr>
          <w:position w:val="-14"/>
        </w:rPr>
        <w:fldChar w:fldCharType="end"/>
      </w:r>
      <w:r w:rsidR="008A796E" w:rsidRPr="00634466">
        <w:rPr>
          <w:position w:val="-14"/>
        </w:rPr>
        <w:t xml:space="preserve">. </w:t>
      </w:r>
      <w:r w:rsidRPr="00634466">
        <w:rPr>
          <w:position w:val="-14"/>
        </w:rPr>
        <w:t>Using this method it is possible to estimate the</w:t>
      </w:r>
      <w:r w:rsidR="00097A49">
        <w:rPr>
          <w:position w:val="-14"/>
        </w:rPr>
        <w:t xml:space="preserve"> elements in the diagonal input-</w:t>
      </w:r>
      <w:r w:rsidRPr="00634466">
        <w:rPr>
          <w:position w:val="-14"/>
        </w:rPr>
        <w:t xml:space="preserve">coefficient matrices, that is: </w:t>
      </w:r>
      <w:r w:rsidRPr="00634466">
        <w:rPr>
          <w:b/>
          <w:position w:val="-14"/>
        </w:rPr>
        <w:t>A</w:t>
      </w:r>
      <w:r w:rsidRPr="00634466">
        <w:rPr>
          <w:b/>
          <w:position w:val="-14"/>
          <w:vertAlign w:val="superscript"/>
        </w:rPr>
        <w:t>GG</w:t>
      </w:r>
      <w:r w:rsidRPr="00634466">
        <w:rPr>
          <w:position w:val="-14"/>
        </w:rPr>
        <w:t>,</w:t>
      </w:r>
      <w:r w:rsidRPr="00634466">
        <w:rPr>
          <w:b/>
          <w:position w:val="-14"/>
        </w:rPr>
        <w:t xml:space="preserve"> A</w:t>
      </w:r>
      <w:r w:rsidRPr="00634466">
        <w:rPr>
          <w:b/>
          <w:position w:val="-14"/>
          <w:vertAlign w:val="superscript"/>
        </w:rPr>
        <w:t>WW</w:t>
      </w:r>
      <w:r w:rsidRPr="00634466">
        <w:rPr>
          <w:position w:val="-14"/>
        </w:rPr>
        <w:t>,</w:t>
      </w:r>
      <w:r w:rsidRPr="00634466">
        <w:rPr>
          <w:b/>
          <w:position w:val="-14"/>
        </w:rPr>
        <w:t xml:space="preserve"> </w:t>
      </w:r>
      <w:proofErr w:type="gramStart"/>
      <w:r w:rsidRPr="00634466">
        <w:rPr>
          <w:b/>
          <w:position w:val="-14"/>
        </w:rPr>
        <w:t>A</w:t>
      </w:r>
      <w:r w:rsidRPr="00634466">
        <w:rPr>
          <w:b/>
          <w:position w:val="-14"/>
          <w:vertAlign w:val="superscript"/>
        </w:rPr>
        <w:t>BB</w:t>
      </w:r>
      <w:proofErr w:type="gramEnd"/>
      <w:r w:rsidRPr="00634466">
        <w:rPr>
          <w:b/>
          <w:position w:val="-14"/>
        </w:rPr>
        <w:t xml:space="preserve">. </w:t>
      </w:r>
      <w:r w:rsidRPr="00634466">
        <w:rPr>
          <w:position w:val="-14"/>
        </w:rPr>
        <w:t xml:space="preserve">This leaves the issues of estimating the off-diagonal matrices of input coefficients. This proceeds sequentially. The LQ is used to disaggregate the residual input that was not sourced locally into inputs sourced from an adjacent region and a residual that is attributed to the farthest region. </w:t>
      </w:r>
    </w:p>
    <w:p w:rsidR="00784F01" w:rsidRPr="00634466" w:rsidRDefault="00784F01" w:rsidP="00784F01">
      <w:pPr>
        <w:spacing w:line="480" w:lineRule="auto"/>
      </w:pPr>
    </w:p>
    <w:p w:rsidR="00784F01" w:rsidRPr="00634466" w:rsidRDefault="00784F01" w:rsidP="00784F01">
      <w:pPr>
        <w:keepNext/>
        <w:widowControl w:val="0"/>
        <w:spacing w:line="480" w:lineRule="auto"/>
      </w:pPr>
      <w:r w:rsidRPr="00634466">
        <w:t xml:space="preserve">Illustrating this process for Glasgow we obtain the coefficients for inputs by Glasgow industries sourced in Glasgow </w:t>
      </w:r>
      <w:proofErr w:type="gramStart"/>
      <w:r w:rsidRPr="00634466">
        <w:t xml:space="preserve">as </w:t>
      </w:r>
      <m:oMath>
        <w:proofErr w:type="gramEnd"/>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GG</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N</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FLQ</m:t>
            </m:r>
          </m:e>
          <m:sub>
            <m:r>
              <m:rPr>
                <m:sty m:val="p"/>
              </m:rPr>
              <w:rPr>
                <w:rFonts w:ascii="Cambria Math" w:hAnsi="Cambria Math"/>
              </w:rPr>
              <m:t>ij</m:t>
            </m:r>
          </m:sub>
          <m:sup>
            <m:r>
              <m:rPr>
                <m:sty m:val="p"/>
              </m:rPr>
              <w:rPr>
                <w:rFonts w:ascii="Cambria Math" w:hAnsi="Cambria Math"/>
              </w:rPr>
              <m:t>G</m:t>
            </m:r>
          </m:sup>
        </m:sSubSup>
      </m:oMath>
      <w:r w:rsidR="005C35FE" w:rsidRPr="00634466">
        <w:rPr>
          <w:rFonts w:eastAsiaTheme="minorEastAsia"/>
        </w:rPr>
        <w:t>.</w:t>
      </w:r>
      <w:r w:rsidRPr="00634466">
        <w:t xml:space="preserve"> Not all intermediate inputs can be sourced locally and therefore we are left with a </w:t>
      </w:r>
      <w:proofErr w:type="gramStart"/>
      <w:r w:rsidRPr="00634466">
        <w:t xml:space="preserve">residual </w:t>
      </w:r>
      <m:oMath>
        <w:proofErr w:type="gramEnd"/>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ρG</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N</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GG</m:t>
            </m:r>
          </m:sup>
        </m:sSubSup>
      </m:oMath>
      <w:r w:rsidRPr="00634466">
        <w:t>. This needs to be split up to determine how much is sourced from each of the remaining sub-regions: The coefficient</w:t>
      </w:r>
      <w:r w:rsidR="00334353" w:rsidRPr="00634466">
        <w:t>s</w:t>
      </w:r>
      <w:r w:rsidRPr="00634466">
        <w:t xml:space="preserve"> for inputs into Glasgow production sectors that are sourced from RST are defined </w:t>
      </w:r>
      <w:proofErr w:type="gramStart"/>
      <w:r w:rsidRPr="00634466">
        <w:t xml:space="preserve">as </w:t>
      </w:r>
      <m:oMath>
        <w:proofErr w:type="gramEnd"/>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WG</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ρG</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FLQ</m:t>
            </m:r>
          </m:e>
          <m:sub>
            <m:r>
              <m:rPr>
                <m:sty m:val="p"/>
              </m:rPr>
              <w:rPr>
                <w:rFonts w:ascii="Cambria Math" w:hAnsi="Cambria Math"/>
              </w:rPr>
              <m:t>ij</m:t>
            </m:r>
          </m:sub>
          <m:sup>
            <m:r>
              <m:rPr>
                <m:sty m:val="p"/>
              </m:rPr>
              <w:rPr>
                <w:rFonts w:ascii="Cambria Math" w:hAnsi="Cambria Math"/>
              </w:rPr>
              <m:t>W</m:t>
            </m:r>
          </m:sup>
        </m:sSubSup>
      </m:oMath>
      <w:r w:rsidRPr="00634466">
        <w:t>. This conveniently leaves the inputs sourced from the ROS as a residual</w:t>
      </w:r>
      <w:proofErr w:type="gramStart"/>
      <w:r w:rsidRPr="00634466">
        <w:t xml:space="preserve">: </w:t>
      </w:r>
      <m:oMath>
        <w:proofErr w:type="gramEnd"/>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BG</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ρG</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ij</m:t>
            </m:r>
          </m:sub>
          <m:sup>
            <m:r>
              <m:rPr>
                <m:sty m:val="p"/>
              </m:rPr>
              <w:rPr>
                <w:rFonts w:ascii="Cambria Math" w:hAnsi="Cambria Math"/>
              </w:rPr>
              <m:t>WG</m:t>
            </m:r>
          </m:sup>
        </m:sSubSup>
      </m:oMath>
      <w:r w:rsidR="00334353" w:rsidRPr="00634466">
        <w:t>.</w:t>
      </w:r>
    </w:p>
    <w:p w:rsidR="00784F01" w:rsidRPr="00634466" w:rsidRDefault="00784F01" w:rsidP="00784F01">
      <w:pPr>
        <w:spacing w:line="480" w:lineRule="auto"/>
      </w:pPr>
    </w:p>
    <w:p w:rsidR="00784F01" w:rsidRPr="00634466" w:rsidRDefault="00784F01" w:rsidP="00784F01">
      <w:pPr>
        <w:spacing w:line="480" w:lineRule="auto"/>
      </w:pPr>
      <w:r w:rsidRPr="00634466">
        <w:lastRenderedPageBreak/>
        <w:t>The same procedure is applied to inputs for RST production sectors. What is not obtained locally is obtained from Glasgow, using the FLQ to adjust for the supply capacity of Glasgow sectors, and the residual is obtained from the ROS. Similarly, for the ROS, the next port of call is the RST and the residual is sourced from Glasgow.</w:t>
      </w:r>
      <w:r w:rsidRPr="00634466">
        <w:rPr>
          <w:rStyle w:val="FootnoteReference"/>
          <w:rFonts w:eastAsiaTheme="minorEastAsia"/>
        </w:rPr>
        <w:t xml:space="preserve"> </w:t>
      </w:r>
      <w:r w:rsidRPr="00634466">
        <w:t xml:space="preserve">Once all the input coefficient matrices have been derived they can be multiplied with the sectoral gross outputs estimated in section 3.3.3.1 to obtain the </w:t>
      </w:r>
      <w:proofErr w:type="spellStart"/>
      <w:r w:rsidRPr="00634466">
        <w:rPr>
          <w:b/>
        </w:rPr>
        <w:t>Z</w:t>
      </w:r>
      <w:r w:rsidRPr="00634466">
        <w:rPr>
          <w:b/>
          <w:vertAlign w:val="superscript"/>
        </w:rPr>
        <w:t>rs</w:t>
      </w:r>
      <w:proofErr w:type="spellEnd"/>
      <w:r w:rsidRPr="00634466">
        <w:t xml:space="preserve"> matrices of interregional intermediate transactions.</w:t>
      </w:r>
    </w:p>
    <w:p w:rsidR="00784F01" w:rsidRPr="00634466" w:rsidRDefault="00784F01" w:rsidP="00784F01">
      <w:pPr>
        <w:pStyle w:val="Heading2"/>
        <w:numPr>
          <w:ilvl w:val="1"/>
          <w:numId w:val="6"/>
        </w:numPr>
        <w:spacing w:line="480" w:lineRule="auto"/>
      </w:pPr>
      <w:bookmarkStart w:id="29" w:name="_Ref288311398"/>
      <w:bookmarkStart w:id="30" w:name="_Ref288311538"/>
      <w:bookmarkStart w:id="31" w:name="_Ref288651675"/>
      <w:bookmarkStart w:id="32" w:name="_Toc309642125"/>
      <w:r w:rsidRPr="00634466">
        <w:t xml:space="preserve">Step 3: Sector primary inputs for </w:t>
      </w:r>
      <w:bookmarkEnd w:id="26"/>
      <w:bookmarkEnd w:id="27"/>
      <w:bookmarkEnd w:id="28"/>
      <w:r w:rsidRPr="00634466">
        <w:t>GLA-RST-ROS</w:t>
      </w:r>
      <w:bookmarkEnd w:id="29"/>
      <w:bookmarkEnd w:id="30"/>
      <w:bookmarkEnd w:id="31"/>
      <w:bookmarkEnd w:id="32"/>
    </w:p>
    <w:p w:rsidR="00784F01" w:rsidRPr="00634466" w:rsidRDefault="00784F01" w:rsidP="00784F01">
      <w:pPr>
        <w:spacing w:line="480" w:lineRule="auto"/>
      </w:pPr>
      <w:r w:rsidRPr="00634466">
        <w:t xml:space="preserve">The matrices </w:t>
      </w:r>
      <w:r w:rsidRPr="00634466">
        <w:rPr>
          <w:b/>
        </w:rPr>
        <w:t>V</w:t>
      </w:r>
      <w:r w:rsidRPr="00634466">
        <w:rPr>
          <w:b/>
          <w:vertAlign w:val="superscript"/>
        </w:rPr>
        <w:t>*G</w:t>
      </w:r>
      <w:r w:rsidRPr="00634466">
        <w:t xml:space="preserve">, </w:t>
      </w:r>
      <w:r w:rsidRPr="00634466">
        <w:rPr>
          <w:b/>
        </w:rPr>
        <w:t>V</w:t>
      </w:r>
      <w:r w:rsidRPr="00634466">
        <w:rPr>
          <w:b/>
          <w:vertAlign w:val="superscript"/>
        </w:rPr>
        <w:t>*W</w:t>
      </w:r>
      <w:r w:rsidRPr="00634466">
        <w:t xml:space="preserve"> and </w:t>
      </w:r>
      <w:r w:rsidRPr="00634466">
        <w:rPr>
          <w:b/>
        </w:rPr>
        <w:t>V</w:t>
      </w:r>
      <w:r w:rsidRPr="00634466">
        <w:rPr>
          <w:b/>
          <w:vertAlign w:val="superscript"/>
        </w:rPr>
        <w:t xml:space="preserve">*B </w:t>
      </w:r>
      <w:r w:rsidRPr="00634466">
        <w:t>show the q primary inputs required fo</w:t>
      </w:r>
      <w:r w:rsidR="00926106" w:rsidRPr="00634466">
        <w:t xml:space="preserve">r each sector </w:t>
      </w:r>
      <w:r w:rsidR="008D4465">
        <w:t>j</w:t>
      </w:r>
      <w:r w:rsidR="00926106" w:rsidRPr="00634466">
        <w:t xml:space="preserve"> in each region L</w:t>
      </w:r>
      <w:r w:rsidRPr="00634466">
        <w:t>. However, as the * indicates, no specific origin is assigned to these inputs. It is assumed that industrial sectors in the sub-regions have the same requirements for primary inputs as production sectors in Scotland as a whole. This permits an estimation of the elements of these mat</w:t>
      </w:r>
      <w:r w:rsidR="00097A49">
        <w:t>rices by adjusting the national-</w:t>
      </w:r>
      <w:r w:rsidRPr="00634466">
        <w:t xml:space="preserve">level primary input requirement, such that: </w:t>
      </w:r>
    </w:p>
    <w:p w:rsidR="00784F01" w:rsidRPr="00634466" w:rsidRDefault="00BB6961" w:rsidP="00784F01">
      <w:pPr>
        <w:spacing w:line="480" w:lineRule="auto"/>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qj</m:t>
              </m:r>
            </m:sub>
            <m:sup>
              <m:r>
                <w:rPr>
                  <w:rFonts w:ascii="Cambria Math" w:hAnsi="Cambria Math"/>
                </w:rPr>
                <m:t>*s</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qj</m:t>
              </m:r>
            </m:sub>
            <m:sup>
              <m:r>
                <w:rPr>
                  <w:rFonts w:ascii="Cambria Math" w:hAnsi="Cambria Math"/>
                </w:rPr>
                <m:t>N</m:t>
              </m:r>
            </m:sup>
          </m:sSubSup>
          <m:d>
            <m:dPr>
              <m:begChr m:val="["/>
              <m:endChr m:val="]"/>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j</m:t>
                      </m:r>
                    </m:sub>
                    <m:sup>
                      <m:r>
                        <w:rPr>
                          <w:rFonts w:ascii="Cambria Math" w:eastAsiaTheme="minorEastAsia" w:hAnsi="Cambria Math"/>
                        </w:rPr>
                        <m:t>s</m:t>
                      </m:r>
                    </m:sup>
                  </m:sSubSup>
                </m:num>
                <m:den>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j</m:t>
                      </m:r>
                    </m:sub>
                    <m:sup>
                      <m:r>
                        <w:rPr>
                          <w:rFonts w:ascii="Cambria Math" w:eastAsiaTheme="minorEastAsia" w:hAnsi="Cambria Math"/>
                        </w:rPr>
                        <m:t>N</m:t>
                      </m:r>
                    </m:sup>
                  </m:sSubSup>
                </m:den>
              </m:f>
            </m:e>
          </m:d>
        </m:oMath>
      </m:oMathPara>
    </w:p>
    <w:p w:rsidR="00784F01" w:rsidRPr="00634466" w:rsidRDefault="00784F01" w:rsidP="00784F01">
      <w:pPr>
        <w:spacing w:line="480" w:lineRule="auto"/>
      </w:pPr>
      <w:r w:rsidRPr="00634466">
        <w:t xml:space="preserve">Where p stands for primary input of source </w:t>
      </w:r>
      <w:r w:rsidRPr="00634466">
        <w:rPr>
          <w:i/>
        </w:rPr>
        <w:t>q</w:t>
      </w:r>
      <w:r w:rsidRPr="00634466">
        <w:t xml:space="preserve"> (imports, other valued added, etc.) into sector </w:t>
      </w:r>
      <w:r w:rsidRPr="00634466">
        <w:rPr>
          <w:i/>
        </w:rPr>
        <w:t>j</w:t>
      </w:r>
      <w:r w:rsidRPr="00634466">
        <w:t xml:space="preserve">, in region </w:t>
      </w:r>
      <w:r w:rsidRPr="00634466">
        <w:rPr>
          <w:i/>
        </w:rPr>
        <w:t>s</w:t>
      </w:r>
      <w:r w:rsidRPr="00634466">
        <w:t xml:space="preserve"> and in Scotland (</w:t>
      </w:r>
      <w:r w:rsidRPr="00634466">
        <w:rPr>
          <w:i/>
        </w:rPr>
        <w:t>N</w:t>
      </w:r>
      <w:r w:rsidRPr="00634466">
        <w:t xml:space="preserve">) and </w:t>
      </w:r>
      <w:r w:rsidRPr="00634466">
        <w:rPr>
          <w:i/>
        </w:rPr>
        <w:t>E</w:t>
      </w:r>
      <w:r w:rsidRPr="00634466">
        <w:t xml:space="preserve"> stands for employment in sector </w:t>
      </w:r>
      <w:r w:rsidRPr="00634466">
        <w:rPr>
          <w:i/>
        </w:rPr>
        <w:t>j</w:t>
      </w:r>
      <w:r w:rsidRPr="00634466">
        <w:t xml:space="preserve"> in in region s and Scotland (</w:t>
      </w:r>
      <w:r w:rsidRPr="00634466">
        <w:rPr>
          <w:i/>
        </w:rPr>
        <w:t>N</w:t>
      </w:r>
      <w:r w:rsidRPr="00634466">
        <w:t>).</w:t>
      </w:r>
    </w:p>
    <w:p w:rsidR="00784F01" w:rsidRPr="00634466" w:rsidRDefault="00784F01" w:rsidP="00784F01">
      <w:pPr>
        <w:spacing w:line="480" w:lineRule="auto"/>
      </w:pPr>
    </w:p>
    <w:p w:rsidR="00784F01" w:rsidRPr="00634466" w:rsidRDefault="00784F01" w:rsidP="00784F01">
      <w:pPr>
        <w:spacing w:line="480" w:lineRule="auto"/>
      </w:pPr>
      <w:r w:rsidRPr="00634466">
        <w:t>For one category of primary inputs, the compensation of labour, the spatial origin is explicitly identified</w:t>
      </w:r>
      <w:r w:rsidR="008D4465">
        <w:t>. T</w:t>
      </w:r>
      <w:r w:rsidRPr="00634466">
        <w:t xml:space="preserve">he share of commuters in the local labour supply is used as a proxy for the share of wages flowing to the sub-region where the commuters reside, such that: </w:t>
      </w:r>
    </w:p>
    <w:p w:rsidR="00784F01" w:rsidRPr="00634466" w:rsidRDefault="00BB6961" w:rsidP="00784F01">
      <w:pPr>
        <w:spacing w:line="480" w:lineRule="auto"/>
        <w:rPr>
          <w:rFonts w:eastAsiaTheme="minorEastAsia"/>
        </w:rPr>
      </w:pPr>
      <m:oMathPara>
        <m:oMath>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N</m:t>
              </m:r>
            </m:sup>
          </m:sSubSup>
          <m:d>
            <m:dPr>
              <m:begChr m:val="["/>
              <m:endChr m:val="]"/>
              <m:ctrlPr>
                <w:rPr>
                  <w:rFonts w:ascii="Cambria Math" w:eastAsiaTheme="minorEastAsia" w:hAnsi="Cambria Math"/>
                  <w:i/>
                </w:rPr>
              </m:ctrlPr>
            </m:dPr>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j</m:t>
                      </m:r>
                    </m:sub>
                    <m:sup>
                      <m:r>
                        <w:rPr>
                          <w:rFonts w:ascii="Cambria Math" w:eastAsiaTheme="minorEastAsia" w:hAnsi="Cambria Math"/>
                        </w:rPr>
                        <m:t>s</m:t>
                      </m:r>
                    </m:sup>
                  </m:sSubSup>
                </m:num>
                <m:den>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j</m:t>
                      </m:r>
                    </m:sub>
                    <m:sup>
                      <m:r>
                        <w:rPr>
                          <w:rFonts w:ascii="Cambria Math" w:eastAsiaTheme="minorEastAsia" w:hAnsi="Cambria Math"/>
                        </w:rPr>
                        <m:t>N</m:t>
                      </m:r>
                    </m:sup>
                  </m:sSubSup>
                </m:den>
              </m:f>
            </m:e>
          </m:d>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rs</m:t>
              </m:r>
            </m:sup>
          </m:sSup>
        </m:oMath>
      </m:oMathPara>
    </w:p>
    <w:p w:rsidR="00784F01" w:rsidRPr="00634466" w:rsidRDefault="00784F01" w:rsidP="00784F01">
      <w:pPr>
        <w:spacing w:line="480" w:lineRule="auto"/>
      </w:pPr>
      <w:r w:rsidRPr="00634466">
        <w:t xml:space="preserve">where </w:t>
      </w:r>
      <w:proofErr w:type="spellStart"/>
      <w:r w:rsidRPr="00634466">
        <w:t>c</w:t>
      </w:r>
      <w:r w:rsidRPr="00634466">
        <w:rPr>
          <w:vertAlign w:val="superscript"/>
        </w:rPr>
        <w:t>rs</w:t>
      </w:r>
      <w:proofErr w:type="spellEnd"/>
      <w:r w:rsidRPr="00634466">
        <w:rPr>
          <w:vertAlign w:val="superscript"/>
        </w:rPr>
        <w:t xml:space="preserve"> </w:t>
      </w:r>
      <w:r w:rsidRPr="00634466">
        <w:t xml:space="preserve">is a scalar that represents the share of employment in region s provided by workers living in region r. This is calculated based on the 2011 census data presented in </w:t>
      </w:r>
      <w:fldSimple w:instr=" REF _Ref401843592 \h  \* MERGEFORMAT ">
        <w:r w:rsidR="00476FBF" w:rsidRPr="00476FBF">
          <w:rPr>
            <w:b/>
            <w:bCs/>
            <w:lang w:val="en-US"/>
          </w:rPr>
          <w:t>Table 2</w:t>
        </w:r>
      </w:fldSimple>
      <w:r w:rsidRPr="00634466">
        <w:t xml:space="preserve">. By using these data it is implicitly assumed that commuters are spread equally across sectors and that commuters get equally compensated as local workers. </w:t>
      </w:r>
    </w:p>
    <w:p w:rsidR="00784F01" w:rsidRPr="00634466" w:rsidRDefault="00784F01" w:rsidP="00784F01">
      <w:pPr>
        <w:pStyle w:val="Heading2"/>
        <w:numPr>
          <w:ilvl w:val="1"/>
          <w:numId w:val="6"/>
        </w:numPr>
        <w:spacing w:line="480" w:lineRule="auto"/>
      </w:pPr>
      <w:bookmarkStart w:id="33" w:name="_Toc196023726"/>
      <w:bookmarkStart w:id="34" w:name="_Toc206215724"/>
      <w:bookmarkStart w:id="35" w:name="_Toc224371059"/>
      <w:bookmarkStart w:id="36" w:name="_Toc309642126"/>
      <w:r w:rsidRPr="00634466">
        <w:lastRenderedPageBreak/>
        <w:t>Step 4: Final demand totals</w:t>
      </w:r>
      <w:bookmarkEnd w:id="33"/>
      <w:bookmarkEnd w:id="34"/>
      <w:bookmarkEnd w:id="35"/>
      <w:r w:rsidRPr="00634466">
        <w:t xml:space="preserve"> and balancing</w:t>
      </w:r>
      <w:bookmarkEnd w:id="36"/>
    </w:p>
    <w:p w:rsidR="00784F01" w:rsidRPr="00634466" w:rsidRDefault="00784F01" w:rsidP="00784F01">
      <w:pPr>
        <w:spacing w:line="480" w:lineRule="auto"/>
      </w:pPr>
      <w:r w:rsidRPr="00634466">
        <w:t xml:space="preserve">Wherever possible, published data are used to identify the level of a particular final demand category in each region. </w:t>
      </w:r>
      <w:r w:rsidR="006F0BAB" w:rsidRPr="00634466">
        <w:t>A summary of the</w:t>
      </w:r>
      <w:r w:rsidRPr="00634466">
        <w:t xml:space="preserve"> methods</w:t>
      </w:r>
      <w:r w:rsidR="006F0BAB" w:rsidRPr="00634466">
        <w:t xml:space="preserve"> used</w:t>
      </w:r>
      <w:r w:rsidRPr="00634466">
        <w:t xml:space="preserve"> </w:t>
      </w:r>
      <w:bookmarkStart w:id="37" w:name="_Ref287622541"/>
      <w:r w:rsidRPr="00634466">
        <w:t xml:space="preserve">is provided in </w:t>
      </w:r>
      <w:fldSimple w:instr=" REF _Ref405560341 \h  \* MERGEFORMAT ">
        <w:r w:rsidR="00476FBF" w:rsidRPr="00634466">
          <w:t xml:space="preserve">Table </w:t>
        </w:r>
        <w:r w:rsidR="00476FBF">
          <w:t>4</w:t>
        </w:r>
      </w:fldSimple>
      <w:r w:rsidR="006F0BAB" w:rsidRPr="00634466">
        <w:t xml:space="preserve"> and detailed in subsequent sub-sections</w:t>
      </w:r>
      <w:r w:rsidRPr="00634466">
        <w:t>.</w:t>
      </w:r>
    </w:p>
    <w:p w:rsidR="00784F01" w:rsidRPr="00634466" w:rsidRDefault="00784F01" w:rsidP="00784F01">
      <w:pPr>
        <w:spacing w:line="480" w:lineRule="auto"/>
        <w:rPr>
          <w:b/>
          <w:bCs/>
          <w:sz w:val="20"/>
          <w:szCs w:val="20"/>
        </w:rPr>
      </w:pPr>
    </w:p>
    <w:p w:rsidR="00784F01" w:rsidRPr="00634466" w:rsidRDefault="00784F01" w:rsidP="0021722E">
      <w:pPr>
        <w:pStyle w:val="Caption"/>
      </w:pPr>
      <w:bookmarkStart w:id="38" w:name="_Ref405560341"/>
      <w:r w:rsidRPr="00634466">
        <w:t xml:space="preserve">Table </w:t>
      </w:r>
      <w:r w:rsidR="00BB6961" w:rsidRPr="00634466">
        <w:fldChar w:fldCharType="begin"/>
      </w:r>
      <w:r w:rsidR="004A1262" w:rsidRPr="00634466">
        <w:instrText xml:space="preserve"> SEQ Table \* ARABIC </w:instrText>
      </w:r>
      <w:r w:rsidR="00BB6961" w:rsidRPr="00634466">
        <w:fldChar w:fldCharType="separate"/>
      </w:r>
      <w:r w:rsidR="00476FBF">
        <w:rPr>
          <w:noProof/>
        </w:rPr>
        <w:t>4</w:t>
      </w:r>
      <w:r w:rsidR="00BB6961" w:rsidRPr="00634466">
        <w:rPr>
          <w:noProof/>
        </w:rPr>
        <w:fldChar w:fldCharType="end"/>
      </w:r>
      <w:bookmarkEnd w:id="37"/>
      <w:bookmarkEnd w:id="38"/>
      <w:r w:rsidRPr="00634466">
        <w:t xml:space="preserve"> Overview of disaggregation approaches by final demand category.</w:t>
      </w:r>
    </w:p>
    <w:tbl>
      <w:tblPr>
        <w:tblW w:w="0" w:type="auto"/>
        <w:jc w:val="center"/>
        <w:tblLook w:val="04A0"/>
      </w:tblPr>
      <w:tblGrid>
        <w:gridCol w:w="429"/>
        <w:gridCol w:w="1984"/>
        <w:gridCol w:w="1199"/>
        <w:gridCol w:w="1420"/>
        <w:gridCol w:w="1770"/>
        <w:gridCol w:w="2018"/>
      </w:tblGrid>
      <w:tr w:rsidR="00784F01" w:rsidRPr="00634466" w:rsidTr="00AE7191">
        <w:trPr>
          <w:trHeight w:hRule="exact" w:val="509"/>
          <w:jc w:val="center"/>
        </w:trPr>
        <w:tc>
          <w:tcPr>
            <w:tcW w:w="429" w:type="dxa"/>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c>
          <w:tcPr>
            <w:tcW w:w="0" w:type="auto"/>
            <w:tcBorders>
              <w:top w:val="nil"/>
              <w:left w:val="nil"/>
              <w:bottom w:val="nil"/>
              <w:right w:val="nil"/>
            </w:tcBorders>
            <w:shd w:val="clear" w:color="auto" w:fill="auto"/>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Total value £m</w:t>
            </w:r>
          </w:p>
        </w:tc>
        <w:tc>
          <w:tcPr>
            <w:tcW w:w="0" w:type="auto"/>
            <w:tcBorders>
              <w:top w:val="nil"/>
              <w:left w:val="nil"/>
              <w:bottom w:val="nil"/>
              <w:right w:val="nil"/>
            </w:tcBorders>
            <w:shd w:val="clear" w:color="auto" w:fill="auto"/>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 of final demand</w:t>
            </w:r>
          </w:p>
        </w:tc>
        <w:tc>
          <w:tcPr>
            <w:tcW w:w="0" w:type="auto"/>
            <w:tcBorders>
              <w:top w:val="nil"/>
              <w:left w:val="nil"/>
              <w:bottom w:val="nil"/>
              <w:right w:val="nil"/>
            </w:tcBorders>
            <w:shd w:val="clear" w:color="auto" w:fill="auto"/>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Disaggregation method</w:t>
            </w:r>
          </w:p>
        </w:tc>
        <w:tc>
          <w:tcPr>
            <w:tcW w:w="2018" w:type="dxa"/>
            <w:tcBorders>
              <w:top w:val="nil"/>
              <w:left w:val="nil"/>
              <w:bottom w:val="nil"/>
              <w:right w:val="nil"/>
            </w:tcBorders>
            <w:shd w:val="clear" w:color="auto" w:fill="auto"/>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Data source</w:t>
            </w:r>
          </w:p>
        </w:tc>
      </w:tr>
      <w:tr w:rsidR="00784F01" w:rsidRPr="00634466" w:rsidTr="00AE7191">
        <w:trPr>
          <w:trHeight w:hRule="exact" w:val="284"/>
          <w:jc w:val="center"/>
        </w:trPr>
        <w:tc>
          <w:tcPr>
            <w:tcW w:w="2413" w:type="dxa"/>
            <w:gridSpan w:val="2"/>
            <w:tcBorders>
              <w:top w:val="single" w:sz="8" w:space="0" w:color="auto"/>
              <w:left w:val="nil"/>
              <w:bottom w:val="nil"/>
              <w:right w:val="nil"/>
            </w:tcBorders>
            <w:shd w:val="clear" w:color="auto" w:fill="auto"/>
            <w:noWrap/>
            <w:vAlign w:val="center"/>
            <w:hideMark/>
          </w:tcPr>
          <w:p w:rsidR="00784F01" w:rsidRPr="00634466" w:rsidRDefault="00784F01" w:rsidP="00BE533F">
            <w:pPr>
              <w:rPr>
                <w:rFonts w:ascii="Calibri" w:hAnsi="Calibri" w:cs="Arial"/>
                <w:b/>
                <w:bCs/>
                <w:sz w:val="16"/>
                <w:szCs w:val="16"/>
              </w:rPr>
            </w:pPr>
            <w:r w:rsidRPr="00634466">
              <w:rPr>
                <w:rFonts w:ascii="Calibri" w:hAnsi="Calibri" w:cs="Arial"/>
                <w:b/>
                <w:bCs/>
                <w:sz w:val="16"/>
                <w:szCs w:val="16"/>
              </w:rPr>
              <w:t>Final consumption expenditure</w:t>
            </w:r>
          </w:p>
        </w:tc>
        <w:tc>
          <w:tcPr>
            <w:tcW w:w="0" w:type="auto"/>
            <w:tcBorders>
              <w:top w:val="single" w:sz="8" w:space="0" w:color="auto"/>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single" w:sz="8" w:space="0" w:color="auto"/>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single" w:sz="8" w:space="0" w:color="auto"/>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2018" w:type="dxa"/>
            <w:tcBorders>
              <w:top w:val="single" w:sz="8" w:space="0" w:color="auto"/>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r>
      <w:tr w:rsidR="00784F01" w:rsidRPr="00634466" w:rsidTr="00AE7191">
        <w:trPr>
          <w:trHeight w:hRule="exact" w:val="864"/>
          <w:jc w:val="center"/>
        </w:trPr>
        <w:tc>
          <w:tcPr>
            <w:tcW w:w="429" w:type="dxa"/>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rPr>
                <w:rFonts w:ascii="Calibri" w:hAnsi="Calibri" w:cs="Arial"/>
                <w:sz w:val="16"/>
                <w:szCs w:val="16"/>
              </w:rPr>
            </w:pPr>
            <w:r w:rsidRPr="00634466">
              <w:rPr>
                <w:rFonts w:ascii="Calibri" w:hAnsi="Calibri" w:cs="Arial"/>
                <w:sz w:val="16"/>
                <w:szCs w:val="16"/>
              </w:rPr>
              <w:t> </w:t>
            </w:r>
          </w:p>
        </w:tc>
        <w:tc>
          <w:tcPr>
            <w:tcW w:w="0" w:type="auto"/>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rPr>
                <w:rFonts w:ascii="Calibri" w:hAnsi="Calibri" w:cs="Arial"/>
                <w:b/>
                <w:bCs/>
                <w:sz w:val="16"/>
                <w:szCs w:val="16"/>
              </w:rPr>
            </w:pPr>
            <w:r w:rsidRPr="00634466">
              <w:rPr>
                <w:rFonts w:ascii="Calibri" w:hAnsi="Calibri" w:cs="Arial"/>
                <w:b/>
                <w:bCs/>
                <w:sz w:val="16"/>
                <w:szCs w:val="16"/>
              </w:rPr>
              <w:t>Households</w:t>
            </w:r>
          </w:p>
        </w:tc>
        <w:tc>
          <w:tcPr>
            <w:tcW w:w="0" w:type="auto"/>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jc w:val="center"/>
              <w:rPr>
                <w:rFonts w:ascii="Calibri" w:hAnsi="Calibri" w:cs="Arial"/>
                <w:sz w:val="16"/>
                <w:szCs w:val="16"/>
              </w:rPr>
            </w:pPr>
            <w:r w:rsidRPr="00634466">
              <w:rPr>
                <w:rFonts w:ascii="Calibri" w:hAnsi="Calibri" w:cs="Arial"/>
                <w:sz w:val="16"/>
                <w:szCs w:val="16"/>
              </w:rPr>
              <w:t>36,002</w:t>
            </w:r>
          </w:p>
        </w:tc>
        <w:tc>
          <w:tcPr>
            <w:tcW w:w="0" w:type="auto"/>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jc w:val="center"/>
              <w:rPr>
                <w:rFonts w:ascii="Calibri" w:hAnsi="Calibri" w:cs="Arial"/>
                <w:sz w:val="16"/>
                <w:szCs w:val="16"/>
              </w:rPr>
            </w:pPr>
            <w:r w:rsidRPr="00634466">
              <w:rPr>
                <w:rFonts w:ascii="Calibri" w:hAnsi="Calibri" w:cs="Arial"/>
                <w:sz w:val="16"/>
                <w:szCs w:val="16"/>
              </w:rPr>
              <w:t>28.2%</w:t>
            </w:r>
          </w:p>
        </w:tc>
        <w:tc>
          <w:tcPr>
            <w:tcW w:w="0" w:type="auto"/>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jc w:val="center"/>
              <w:rPr>
                <w:rFonts w:ascii="Calibri" w:hAnsi="Calibri" w:cs="Arial"/>
                <w:sz w:val="16"/>
                <w:szCs w:val="16"/>
              </w:rPr>
            </w:pPr>
            <w:r w:rsidRPr="00634466">
              <w:rPr>
                <w:rFonts w:ascii="Calibri" w:hAnsi="Calibri" w:cs="Arial"/>
                <w:sz w:val="16"/>
                <w:szCs w:val="16"/>
              </w:rPr>
              <w:t>Secondary data</w:t>
            </w:r>
          </w:p>
        </w:tc>
        <w:tc>
          <w:tcPr>
            <w:tcW w:w="2018" w:type="dxa"/>
            <w:tcBorders>
              <w:top w:val="dashed" w:sz="4" w:space="0" w:color="auto"/>
              <w:left w:val="nil"/>
              <w:bottom w:val="dashed" w:sz="4" w:space="0" w:color="auto"/>
              <w:right w:val="nil"/>
            </w:tcBorders>
            <w:shd w:val="clear" w:color="auto" w:fill="auto"/>
            <w:noWrap/>
            <w:vAlign w:val="center"/>
            <w:hideMark/>
          </w:tcPr>
          <w:p w:rsidR="00784F01" w:rsidRPr="00634466" w:rsidRDefault="00784F01" w:rsidP="00AE7191">
            <w:pPr>
              <w:jc w:val="center"/>
              <w:rPr>
                <w:rFonts w:ascii="Calibri" w:hAnsi="Calibri" w:cs="Arial"/>
                <w:sz w:val="16"/>
                <w:szCs w:val="16"/>
              </w:rPr>
            </w:pPr>
            <w:r w:rsidRPr="00634466">
              <w:rPr>
                <w:rFonts w:ascii="Calibri" w:hAnsi="Calibri" w:cs="Arial"/>
                <w:sz w:val="16"/>
                <w:szCs w:val="16"/>
              </w:rPr>
              <w:t xml:space="preserve">ONS GDHI, Census commuting data, shopping trips data from Scottish Household Survey. </w:t>
            </w:r>
          </w:p>
        </w:tc>
      </w:tr>
      <w:tr w:rsidR="00784F01" w:rsidRPr="00634466" w:rsidTr="00AE7191">
        <w:trPr>
          <w:trHeight w:hRule="exact" w:val="284"/>
          <w:jc w:val="center"/>
        </w:trPr>
        <w:tc>
          <w:tcPr>
            <w:tcW w:w="429" w:type="dxa"/>
            <w:tcBorders>
              <w:top w:val="nil"/>
              <w:left w:val="nil"/>
              <w:bottom w:val="nil"/>
              <w:right w:val="nil"/>
            </w:tcBorders>
            <w:shd w:val="clear" w:color="auto" w:fill="auto"/>
            <w:noWrap/>
            <w:vAlign w:val="center"/>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nil"/>
              <w:right w:val="nil"/>
            </w:tcBorders>
            <w:shd w:val="clear" w:color="auto" w:fill="auto"/>
            <w:noWrap/>
            <w:vAlign w:val="center"/>
            <w:hideMark/>
          </w:tcPr>
          <w:p w:rsidR="00784F01" w:rsidRPr="00634466" w:rsidRDefault="00784F01" w:rsidP="00BE533F">
            <w:pPr>
              <w:rPr>
                <w:rFonts w:ascii="Calibri" w:hAnsi="Calibri" w:cs="Arial"/>
                <w:b/>
                <w:bCs/>
                <w:sz w:val="16"/>
                <w:szCs w:val="16"/>
              </w:rPr>
            </w:pPr>
            <w:r w:rsidRPr="00634466">
              <w:rPr>
                <w:rFonts w:ascii="Calibri" w:hAnsi="Calibri" w:cs="Arial"/>
                <w:b/>
                <w:bCs/>
                <w:sz w:val="16"/>
                <w:szCs w:val="16"/>
              </w:rPr>
              <w:t>NPISHs</w:t>
            </w: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2,472</w:t>
            </w: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1.9%</w:t>
            </w:r>
          </w:p>
        </w:tc>
        <w:tc>
          <w:tcPr>
            <w:tcW w:w="0" w:type="auto"/>
            <w:vMerge w:val="restart"/>
            <w:tcBorders>
              <w:top w:val="nil"/>
              <w:left w:val="nil"/>
              <w:bottom w:val="dashed" w:sz="4" w:space="0" w:color="000000"/>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Pro rata</w:t>
            </w:r>
          </w:p>
        </w:tc>
        <w:tc>
          <w:tcPr>
            <w:tcW w:w="2018" w:type="dxa"/>
            <w:vMerge w:val="restart"/>
            <w:tcBorders>
              <w:top w:val="nil"/>
              <w:left w:val="nil"/>
              <w:bottom w:val="dashed" w:sz="4" w:space="0" w:color="000000"/>
              <w:right w:val="nil"/>
            </w:tcBorders>
            <w:shd w:val="clear" w:color="auto" w:fill="auto"/>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Based on employment share from ABI</w:t>
            </w:r>
          </w:p>
        </w:tc>
      </w:tr>
      <w:tr w:rsidR="00784F01" w:rsidRPr="00634466" w:rsidTr="00AE7191">
        <w:trPr>
          <w:trHeight w:hRule="exact" w:val="284"/>
          <w:jc w:val="center"/>
        </w:trPr>
        <w:tc>
          <w:tcPr>
            <w:tcW w:w="429" w:type="dxa"/>
            <w:tcBorders>
              <w:top w:val="nil"/>
              <w:left w:val="nil"/>
              <w:bottom w:val="dashed" w:sz="4" w:space="0" w:color="auto"/>
              <w:right w:val="nil"/>
            </w:tcBorders>
            <w:shd w:val="clear" w:color="auto" w:fill="auto"/>
            <w:noWrap/>
            <w:vAlign w:val="center"/>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rPr>
                <w:rFonts w:ascii="Calibri" w:hAnsi="Calibri" w:cs="Arial"/>
                <w:b/>
                <w:bCs/>
                <w:sz w:val="16"/>
                <w:szCs w:val="16"/>
              </w:rPr>
            </w:pPr>
            <w:r w:rsidRPr="00634466">
              <w:rPr>
                <w:rFonts w:ascii="Calibri" w:hAnsi="Calibri" w:cs="Arial"/>
                <w:b/>
                <w:bCs/>
                <w:sz w:val="16"/>
                <w:szCs w:val="16"/>
              </w:rPr>
              <w:t>Tourist Exp</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1,816</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1.4%</w:t>
            </w:r>
          </w:p>
        </w:tc>
        <w:tc>
          <w:tcPr>
            <w:tcW w:w="0" w:type="auto"/>
            <w:vMerge/>
            <w:tcBorders>
              <w:top w:val="nil"/>
              <w:left w:val="nil"/>
              <w:bottom w:val="dashed" w:sz="4" w:space="0" w:color="000000"/>
              <w:right w:val="nil"/>
            </w:tcBorders>
            <w:vAlign w:val="center"/>
            <w:hideMark/>
          </w:tcPr>
          <w:p w:rsidR="00784F01" w:rsidRPr="00634466" w:rsidRDefault="00784F01" w:rsidP="00BE533F">
            <w:pPr>
              <w:rPr>
                <w:rFonts w:ascii="Calibri" w:hAnsi="Calibri" w:cs="Arial"/>
                <w:sz w:val="16"/>
                <w:szCs w:val="16"/>
              </w:rPr>
            </w:pPr>
          </w:p>
        </w:tc>
        <w:tc>
          <w:tcPr>
            <w:tcW w:w="2018" w:type="dxa"/>
            <w:vMerge/>
            <w:tcBorders>
              <w:top w:val="nil"/>
              <w:left w:val="nil"/>
              <w:bottom w:val="dashed" w:sz="4" w:space="0" w:color="000000"/>
              <w:right w:val="nil"/>
            </w:tcBorders>
            <w:vAlign w:val="center"/>
            <w:hideMark/>
          </w:tcPr>
          <w:p w:rsidR="00784F01" w:rsidRPr="00634466" w:rsidRDefault="00784F01" w:rsidP="00BE533F">
            <w:pPr>
              <w:rPr>
                <w:rFonts w:ascii="Calibri" w:hAnsi="Calibri" w:cs="Arial"/>
                <w:sz w:val="16"/>
                <w:szCs w:val="16"/>
              </w:rPr>
            </w:pPr>
          </w:p>
        </w:tc>
      </w:tr>
      <w:tr w:rsidR="00784F01" w:rsidRPr="00634466" w:rsidTr="00AE7191">
        <w:trPr>
          <w:trHeight w:hRule="exact" w:val="284"/>
          <w:jc w:val="center"/>
        </w:trPr>
        <w:tc>
          <w:tcPr>
            <w:tcW w:w="429" w:type="dxa"/>
            <w:tcBorders>
              <w:top w:val="nil"/>
              <w:left w:val="nil"/>
              <w:bottom w:val="nil"/>
              <w:right w:val="nil"/>
            </w:tcBorders>
            <w:shd w:val="clear" w:color="auto" w:fill="auto"/>
            <w:noWrap/>
            <w:vAlign w:val="center"/>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nil"/>
              <w:right w:val="nil"/>
            </w:tcBorders>
            <w:shd w:val="clear" w:color="auto" w:fill="auto"/>
            <w:noWrap/>
            <w:vAlign w:val="center"/>
            <w:hideMark/>
          </w:tcPr>
          <w:p w:rsidR="00784F01" w:rsidRPr="00634466" w:rsidRDefault="00784F01" w:rsidP="00BE533F">
            <w:pPr>
              <w:rPr>
                <w:rFonts w:ascii="Calibri" w:hAnsi="Calibri" w:cs="Arial"/>
                <w:b/>
                <w:bCs/>
                <w:sz w:val="16"/>
                <w:szCs w:val="16"/>
              </w:rPr>
            </w:pPr>
            <w:r w:rsidRPr="00634466">
              <w:rPr>
                <w:rFonts w:ascii="Calibri" w:hAnsi="Calibri" w:cs="Arial"/>
                <w:b/>
                <w:bCs/>
                <w:sz w:val="16"/>
                <w:szCs w:val="16"/>
              </w:rPr>
              <w:t>Central Government</w:t>
            </w: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17,106</w:t>
            </w: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13.4%</w:t>
            </w:r>
          </w:p>
        </w:tc>
        <w:tc>
          <w:tcPr>
            <w:tcW w:w="0" w:type="auto"/>
            <w:vMerge w:val="restart"/>
            <w:tcBorders>
              <w:top w:val="nil"/>
              <w:left w:val="nil"/>
              <w:bottom w:val="dashed" w:sz="4" w:space="0" w:color="000000"/>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Secondary data</w:t>
            </w:r>
          </w:p>
        </w:tc>
        <w:tc>
          <w:tcPr>
            <w:tcW w:w="2018" w:type="dxa"/>
            <w:vMerge w:val="restart"/>
            <w:tcBorders>
              <w:top w:val="nil"/>
              <w:left w:val="nil"/>
              <w:bottom w:val="dashed" w:sz="4" w:space="0" w:color="000000"/>
              <w:right w:val="nil"/>
            </w:tcBorders>
            <w:shd w:val="clear" w:color="auto" w:fill="auto"/>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Regional Government Accounts Hillis (1998)</w:t>
            </w:r>
          </w:p>
        </w:tc>
      </w:tr>
      <w:tr w:rsidR="00784F01" w:rsidRPr="00634466" w:rsidTr="00AE7191">
        <w:trPr>
          <w:trHeight w:hRule="exact" w:val="284"/>
          <w:jc w:val="center"/>
        </w:trPr>
        <w:tc>
          <w:tcPr>
            <w:tcW w:w="429" w:type="dxa"/>
            <w:tcBorders>
              <w:top w:val="nil"/>
              <w:left w:val="nil"/>
              <w:bottom w:val="dashed" w:sz="4" w:space="0" w:color="auto"/>
              <w:right w:val="nil"/>
            </w:tcBorders>
            <w:shd w:val="clear" w:color="auto" w:fill="auto"/>
            <w:noWrap/>
            <w:vAlign w:val="center"/>
            <w:hideMark/>
          </w:tcPr>
          <w:p w:rsidR="00784F01" w:rsidRPr="00634466" w:rsidRDefault="00784F0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rPr>
                <w:rFonts w:ascii="Calibri" w:hAnsi="Calibri" w:cs="Arial"/>
                <w:b/>
                <w:bCs/>
                <w:sz w:val="16"/>
                <w:szCs w:val="16"/>
              </w:rPr>
            </w:pPr>
            <w:r w:rsidRPr="00634466">
              <w:rPr>
                <w:rFonts w:ascii="Calibri" w:hAnsi="Calibri" w:cs="Arial"/>
                <w:b/>
                <w:bCs/>
                <w:sz w:val="16"/>
                <w:szCs w:val="16"/>
              </w:rPr>
              <w:t>Local Government</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10,662</w:t>
            </w:r>
          </w:p>
        </w:tc>
        <w:tc>
          <w:tcPr>
            <w:tcW w:w="0" w:type="auto"/>
            <w:tcBorders>
              <w:top w:val="nil"/>
              <w:left w:val="nil"/>
              <w:bottom w:val="dashed" w:sz="4" w:space="0" w:color="auto"/>
              <w:right w:val="nil"/>
            </w:tcBorders>
            <w:shd w:val="clear" w:color="auto" w:fill="auto"/>
            <w:noWrap/>
            <w:vAlign w:val="center"/>
            <w:hideMark/>
          </w:tcPr>
          <w:p w:rsidR="00784F01" w:rsidRPr="00634466" w:rsidRDefault="00784F01" w:rsidP="00BE533F">
            <w:pPr>
              <w:jc w:val="center"/>
              <w:rPr>
                <w:rFonts w:ascii="Calibri" w:hAnsi="Calibri" w:cs="Arial"/>
                <w:sz w:val="16"/>
                <w:szCs w:val="16"/>
              </w:rPr>
            </w:pPr>
            <w:r w:rsidRPr="00634466">
              <w:rPr>
                <w:rFonts w:ascii="Calibri" w:hAnsi="Calibri" w:cs="Arial"/>
                <w:sz w:val="16"/>
                <w:szCs w:val="16"/>
              </w:rPr>
              <w:t>8.4%</w:t>
            </w:r>
          </w:p>
        </w:tc>
        <w:tc>
          <w:tcPr>
            <w:tcW w:w="0" w:type="auto"/>
            <w:vMerge/>
            <w:tcBorders>
              <w:top w:val="nil"/>
              <w:left w:val="nil"/>
              <w:bottom w:val="dashed" w:sz="4" w:space="0" w:color="auto"/>
              <w:right w:val="nil"/>
            </w:tcBorders>
            <w:vAlign w:val="center"/>
            <w:hideMark/>
          </w:tcPr>
          <w:p w:rsidR="00784F01" w:rsidRPr="00634466" w:rsidRDefault="00784F01" w:rsidP="00BE533F">
            <w:pPr>
              <w:rPr>
                <w:rFonts w:ascii="Calibri" w:hAnsi="Calibri" w:cs="Arial"/>
                <w:sz w:val="16"/>
                <w:szCs w:val="16"/>
              </w:rPr>
            </w:pPr>
          </w:p>
        </w:tc>
        <w:tc>
          <w:tcPr>
            <w:tcW w:w="2018" w:type="dxa"/>
            <w:vMerge/>
            <w:tcBorders>
              <w:top w:val="nil"/>
              <w:left w:val="nil"/>
              <w:bottom w:val="dashed" w:sz="4" w:space="0" w:color="auto"/>
              <w:right w:val="nil"/>
            </w:tcBorders>
            <w:vAlign w:val="center"/>
            <w:hideMark/>
          </w:tcPr>
          <w:p w:rsidR="00784F01" w:rsidRPr="00634466" w:rsidRDefault="00784F01" w:rsidP="00BE533F">
            <w:pPr>
              <w:rPr>
                <w:rFonts w:ascii="Calibri" w:hAnsi="Calibri" w:cs="Arial"/>
                <w:sz w:val="16"/>
                <w:szCs w:val="16"/>
              </w:rPr>
            </w:pPr>
          </w:p>
        </w:tc>
      </w:tr>
      <w:tr w:rsidR="00AE7191" w:rsidRPr="00634466" w:rsidTr="00AE7191">
        <w:trPr>
          <w:trHeight w:hRule="exact" w:val="284"/>
          <w:jc w:val="center"/>
        </w:trPr>
        <w:tc>
          <w:tcPr>
            <w:tcW w:w="2413" w:type="dxa"/>
            <w:gridSpan w:val="2"/>
            <w:tcBorders>
              <w:top w:val="dashed" w:sz="4" w:space="0" w:color="auto"/>
              <w:left w:val="nil"/>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Gross capital formation</w:t>
            </w:r>
          </w:p>
        </w:tc>
        <w:tc>
          <w:tcPr>
            <w:tcW w:w="0" w:type="auto"/>
            <w:tcBorders>
              <w:top w:val="dashed" w:sz="4" w:space="0" w:color="auto"/>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0" w:type="auto"/>
            <w:tcBorders>
              <w:top w:val="dashed" w:sz="4" w:space="0" w:color="auto"/>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0" w:type="auto"/>
            <w:tcBorders>
              <w:top w:val="dashed" w:sz="4" w:space="0" w:color="auto"/>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2018" w:type="dxa"/>
            <w:vMerge w:val="restart"/>
            <w:tcBorders>
              <w:top w:val="dashed" w:sz="4" w:space="0" w:color="auto"/>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Based on employment share from ABI</w:t>
            </w:r>
          </w:p>
        </w:tc>
      </w:tr>
      <w:tr w:rsidR="00AE7191" w:rsidRPr="00634466" w:rsidTr="00AE7191">
        <w:trPr>
          <w:trHeight w:hRule="exact" w:val="284"/>
          <w:jc w:val="center"/>
        </w:trPr>
        <w:tc>
          <w:tcPr>
            <w:tcW w:w="429" w:type="dxa"/>
            <w:tcBorders>
              <w:left w:val="nil"/>
              <w:bottom w:val="nil"/>
              <w:right w:val="nil"/>
            </w:tcBorders>
            <w:shd w:val="clear" w:color="auto" w:fill="auto"/>
            <w:noWrap/>
            <w:vAlign w:val="center"/>
            <w:hideMark/>
          </w:tcPr>
          <w:p w:rsidR="00AE7191" w:rsidRPr="00634466" w:rsidRDefault="00AE7191" w:rsidP="00BE533F">
            <w:pPr>
              <w:rPr>
                <w:rFonts w:ascii="Calibri" w:hAnsi="Calibri" w:cs="Arial"/>
                <w:sz w:val="16"/>
                <w:szCs w:val="16"/>
              </w:rPr>
            </w:pPr>
            <w:r w:rsidRPr="00634466">
              <w:rPr>
                <w:rFonts w:ascii="Calibri" w:hAnsi="Calibri" w:cs="Arial"/>
                <w:sz w:val="16"/>
                <w:szCs w:val="16"/>
              </w:rPr>
              <w:t> </w:t>
            </w:r>
          </w:p>
        </w:tc>
        <w:tc>
          <w:tcPr>
            <w:tcW w:w="0" w:type="auto"/>
            <w:tcBorders>
              <w:left w:val="nil"/>
              <w:bottom w:val="nil"/>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GFCF</w:t>
            </w:r>
          </w:p>
        </w:tc>
        <w:tc>
          <w:tcPr>
            <w:tcW w:w="0" w:type="auto"/>
            <w:tcBorders>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8,701</w:t>
            </w:r>
          </w:p>
        </w:tc>
        <w:tc>
          <w:tcPr>
            <w:tcW w:w="0" w:type="auto"/>
            <w:tcBorders>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6.8%</w:t>
            </w:r>
          </w:p>
        </w:tc>
        <w:tc>
          <w:tcPr>
            <w:tcW w:w="0" w:type="auto"/>
            <w:vMerge w:val="restart"/>
            <w:tcBorders>
              <w:left w:val="nil"/>
              <w:bottom w:val="dashed" w:sz="4" w:space="0" w:color="000000"/>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Pro rata</w:t>
            </w:r>
          </w:p>
        </w:tc>
        <w:tc>
          <w:tcPr>
            <w:tcW w:w="2018" w:type="dxa"/>
            <w:vMerge/>
            <w:tcBorders>
              <w:left w:val="nil"/>
              <w:right w:val="nil"/>
            </w:tcBorders>
            <w:shd w:val="clear" w:color="auto" w:fill="auto"/>
            <w:vAlign w:val="center"/>
            <w:hideMark/>
          </w:tcPr>
          <w:p w:rsidR="00AE7191" w:rsidRPr="00634466" w:rsidRDefault="00AE7191" w:rsidP="00BE533F">
            <w:pPr>
              <w:jc w:val="center"/>
              <w:rPr>
                <w:rFonts w:ascii="Calibri" w:hAnsi="Calibri" w:cs="Arial"/>
                <w:sz w:val="16"/>
                <w:szCs w:val="16"/>
              </w:rPr>
            </w:pPr>
          </w:p>
        </w:tc>
      </w:tr>
      <w:tr w:rsidR="00AE7191" w:rsidRPr="00634466" w:rsidTr="00AE7191">
        <w:trPr>
          <w:trHeight w:hRule="exact" w:val="284"/>
          <w:jc w:val="center"/>
        </w:trPr>
        <w:tc>
          <w:tcPr>
            <w:tcW w:w="429" w:type="dxa"/>
            <w:tcBorders>
              <w:top w:val="nil"/>
              <w:left w:val="nil"/>
              <w:bottom w:val="nil"/>
              <w:right w:val="nil"/>
            </w:tcBorders>
            <w:shd w:val="clear" w:color="auto" w:fill="auto"/>
            <w:noWrap/>
            <w:vAlign w:val="center"/>
            <w:hideMark/>
          </w:tcPr>
          <w:p w:rsidR="00AE7191" w:rsidRPr="00634466" w:rsidRDefault="00AE7191" w:rsidP="00BE533F">
            <w:pPr>
              <w:rPr>
                <w:rFonts w:ascii="Calibri" w:hAnsi="Calibri" w:cs="Arial"/>
                <w:sz w:val="16"/>
                <w:szCs w:val="16"/>
              </w:rPr>
            </w:pPr>
          </w:p>
        </w:tc>
        <w:tc>
          <w:tcPr>
            <w:tcW w:w="0" w:type="auto"/>
            <w:tcBorders>
              <w:top w:val="nil"/>
              <w:left w:val="nil"/>
              <w:bottom w:val="nil"/>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Valuables</w:t>
            </w:r>
          </w:p>
        </w:tc>
        <w:tc>
          <w:tcPr>
            <w:tcW w:w="0" w:type="auto"/>
            <w:tcBorders>
              <w:top w:val="nil"/>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36</w:t>
            </w:r>
          </w:p>
        </w:tc>
        <w:tc>
          <w:tcPr>
            <w:tcW w:w="0" w:type="auto"/>
            <w:tcBorders>
              <w:top w:val="nil"/>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0.0%</w:t>
            </w:r>
          </w:p>
        </w:tc>
        <w:tc>
          <w:tcPr>
            <w:tcW w:w="0" w:type="auto"/>
            <w:vMerge/>
            <w:tcBorders>
              <w:top w:val="dashed" w:sz="4" w:space="0" w:color="auto"/>
              <w:left w:val="nil"/>
              <w:bottom w:val="dashed" w:sz="4" w:space="0" w:color="000000"/>
              <w:right w:val="nil"/>
            </w:tcBorders>
            <w:vAlign w:val="center"/>
            <w:hideMark/>
          </w:tcPr>
          <w:p w:rsidR="00AE7191" w:rsidRPr="00634466" w:rsidRDefault="00AE7191" w:rsidP="00BE533F">
            <w:pPr>
              <w:rPr>
                <w:rFonts w:ascii="Calibri" w:hAnsi="Calibri" w:cs="Arial"/>
                <w:sz w:val="16"/>
                <w:szCs w:val="16"/>
              </w:rPr>
            </w:pPr>
          </w:p>
        </w:tc>
        <w:tc>
          <w:tcPr>
            <w:tcW w:w="2018" w:type="dxa"/>
            <w:vMerge/>
            <w:tcBorders>
              <w:left w:val="nil"/>
              <w:right w:val="nil"/>
            </w:tcBorders>
            <w:vAlign w:val="center"/>
            <w:hideMark/>
          </w:tcPr>
          <w:p w:rsidR="00AE7191" w:rsidRPr="00634466" w:rsidRDefault="00AE7191" w:rsidP="00BE533F">
            <w:pPr>
              <w:rPr>
                <w:rFonts w:ascii="Calibri" w:hAnsi="Calibri" w:cs="Arial"/>
                <w:sz w:val="16"/>
                <w:szCs w:val="16"/>
              </w:rPr>
            </w:pPr>
          </w:p>
        </w:tc>
      </w:tr>
      <w:tr w:rsidR="00AE7191" w:rsidRPr="00634466" w:rsidTr="00AE7191">
        <w:trPr>
          <w:trHeight w:hRule="exact" w:val="284"/>
          <w:jc w:val="center"/>
        </w:trPr>
        <w:tc>
          <w:tcPr>
            <w:tcW w:w="429" w:type="dxa"/>
            <w:tcBorders>
              <w:top w:val="nil"/>
              <w:left w:val="nil"/>
              <w:bottom w:val="dashed" w:sz="4" w:space="0" w:color="auto"/>
              <w:right w:val="nil"/>
            </w:tcBorders>
            <w:shd w:val="clear" w:color="auto" w:fill="auto"/>
            <w:noWrap/>
            <w:vAlign w:val="center"/>
            <w:hideMark/>
          </w:tcPr>
          <w:p w:rsidR="00AE7191" w:rsidRPr="00634466" w:rsidRDefault="00AE719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dashed" w:sz="4" w:space="0" w:color="auto"/>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Change in Inventories</w:t>
            </w:r>
          </w:p>
        </w:tc>
        <w:tc>
          <w:tcPr>
            <w:tcW w:w="0" w:type="auto"/>
            <w:tcBorders>
              <w:top w:val="nil"/>
              <w:left w:val="nil"/>
              <w:bottom w:val="dashed" w:sz="4" w:space="0" w:color="auto"/>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184</w:t>
            </w:r>
          </w:p>
        </w:tc>
        <w:tc>
          <w:tcPr>
            <w:tcW w:w="0" w:type="auto"/>
            <w:tcBorders>
              <w:top w:val="nil"/>
              <w:left w:val="nil"/>
              <w:bottom w:val="dashed" w:sz="4" w:space="0" w:color="auto"/>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0.1%</w:t>
            </w:r>
          </w:p>
        </w:tc>
        <w:tc>
          <w:tcPr>
            <w:tcW w:w="0" w:type="auto"/>
            <w:vMerge/>
            <w:tcBorders>
              <w:top w:val="dashed" w:sz="4" w:space="0" w:color="auto"/>
              <w:left w:val="nil"/>
              <w:bottom w:val="dashed" w:sz="4" w:space="0" w:color="000000"/>
              <w:right w:val="nil"/>
            </w:tcBorders>
            <w:vAlign w:val="center"/>
            <w:hideMark/>
          </w:tcPr>
          <w:p w:rsidR="00AE7191" w:rsidRPr="00634466" w:rsidRDefault="00AE7191" w:rsidP="00BE533F">
            <w:pPr>
              <w:rPr>
                <w:rFonts w:ascii="Calibri" w:hAnsi="Calibri" w:cs="Arial"/>
                <w:sz w:val="16"/>
                <w:szCs w:val="16"/>
              </w:rPr>
            </w:pPr>
          </w:p>
        </w:tc>
        <w:tc>
          <w:tcPr>
            <w:tcW w:w="2018" w:type="dxa"/>
            <w:vMerge/>
            <w:tcBorders>
              <w:left w:val="nil"/>
              <w:bottom w:val="dashed" w:sz="4" w:space="0" w:color="000000"/>
              <w:right w:val="nil"/>
            </w:tcBorders>
            <w:vAlign w:val="center"/>
            <w:hideMark/>
          </w:tcPr>
          <w:p w:rsidR="00AE7191" w:rsidRPr="00634466" w:rsidRDefault="00AE7191" w:rsidP="00BE533F">
            <w:pPr>
              <w:rPr>
                <w:rFonts w:ascii="Calibri" w:hAnsi="Calibri" w:cs="Arial"/>
                <w:sz w:val="16"/>
                <w:szCs w:val="16"/>
              </w:rPr>
            </w:pPr>
          </w:p>
        </w:tc>
      </w:tr>
      <w:tr w:rsidR="00AE7191" w:rsidRPr="00634466" w:rsidTr="00AE7191">
        <w:trPr>
          <w:trHeight w:hRule="exact" w:val="284"/>
          <w:jc w:val="center"/>
        </w:trPr>
        <w:tc>
          <w:tcPr>
            <w:tcW w:w="2413" w:type="dxa"/>
            <w:gridSpan w:val="2"/>
            <w:tcBorders>
              <w:top w:val="nil"/>
              <w:left w:val="nil"/>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Exports</w:t>
            </w:r>
          </w:p>
        </w:tc>
        <w:tc>
          <w:tcPr>
            <w:tcW w:w="0" w:type="auto"/>
            <w:tcBorders>
              <w:top w:val="nil"/>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0" w:type="auto"/>
            <w:tcBorders>
              <w:top w:val="nil"/>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0" w:type="auto"/>
            <w:tcBorders>
              <w:top w:val="nil"/>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p>
        </w:tc>
        <w:tc>
          <w:tcPr>
            <w:tcW w:w="2018" w:type="dxa"/>
            <w:vMerge w:val="restart"/>
            <w:tcBorders>
              <w:top w:val="nil"/>
              <w:left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Control total from Scottish IO but spatial dispersion determined as a balancing item</w:t>
            </w:r>
          </w:p>
        </w:tc>
      </w:tr>
      <w:tr w:rsidR="00AE7191" w:rsidRPr="00634466" w:rsidTr="00AE7191">
        <w:trPr>
          <w:trHeight w:hRule="exact" w:val="284"/>
          <w:jc w:val="center"/>
        </w:trPr>
        <w:tc>
          <w:tcPr>
            <w:tcW w:w="429" w:type="dxa"/>
            <w:tcBorders>
              <w:left w:val="nil"/>
              <w:bottom w:val="nil"/>
              <w:right w:val="nil"/>
            </w:tcBorders>
            <w:shd w:val="clear" w:color="auto" w:fill="auto"/>
            <w:noWrap/>
            <w:vAlign w:val="center"/>
            <w:hideMark/>
          </w:tcPr>
          <w:p w:rsidR="00AE7191" w:rsidRPr="00634466" w:rsidRDefault="00AE7191" w:rsidP="00BE533F">
            <w:pPr>
              <w:rPr>
                <w:rFonts w:ascii="Calibri" w:hAnsi="Calibri" w:cs="Arial"/>
                <w:sz w:val="16"/>
                <w:szCs w:val="16"/>
              </w:rPr>
            </w:pPr>
            <w:r w:rsidRPr="00634466">
              <w:rPr>
                <w:rFonts w:ascii="Calibri" w:hAnsi="Calibri" w:cs="Arial"/>
                <w:sz w:val="16"/>
                <w:szCs w:val="16"/>
              </w:rPr>
              <w:t> </w:t>
            </w:r>
          </w:p>
        </w:tc>
        <w:tc>
          <w:tcPr>
            <w:tcW w:w="0" w:type="auto"/>
            <w:tcBorders>
              <w:left w:val="nil"/>
              <w:bottom w:val="nil"/>
              <w:right w:val="nil"/>
            </w:tcBorders>
            <w:shd w:val="clear" w:color="auto" w:fill="auto"/>
            <w:noWrap/>
            <w:vAlign w:val="center"/>
            <w:hideMark/>
          </w:tcPr>
          <w:p w:rsidR="00AE7191" w:rsidRPr="00634466" w:rsidRDefault="00AE7191" w:rsidP="00BE533F">
            <w:pPr>
              <w:rPr>
                <w:rFonts w:ascii="Calibri" w:hAnsi="Calibri" w:cs="Arial"/>
                <w:b/>
                <w:bCs/>
                <w:sz w:val="16"/>
                <w:szCs w:val="16"/>
              </w:rPr>
            </w:pPr>
            <w:r w:rsidRPr="00634466">
              <w:rPr>
                <w:rFonts w:ascii="Calibri" w:hAnsi="Calibri" w:cs="Arial"/>
                <w:b/>
                <w:bCs/>
                <w:sz w:val="16"/>
                <w:szCs w:val="16"/>
              </w:rPr>
              <w:t>RUK</w:t>
            </w:r>
          </w:p>
        </w:tc>
        <w:tc>
          <w:tcPr>
            <w:tcW w:w="0" w:type="auto"/>
            <w:tcBorders>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33,297</w:t>
            </w:r>
          </w:p>
        </w:tc>
        <w:tc>
          <w:tcPr>
            <w:tcW w:w="0" w:type="auto"/>
            <w:tcBorders>
              <w:left w:val="nil"/>
              <w:bottom w:val="nil"/>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26.1%</w:t>
            </w:r>
          </w:p>
        </w:tc>
        <w:tc>
          <w:tcPr>
            <w:tcW w:w="0" w:type="auto"/>
            <w:vMerge w:val="restart"/>
            <w:tcBorders>
              <w:left w:val="nil"/>
              <w:bottom w:val="single" w:sz="8" w:space="0" w:color="000000"/>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Residual</w:t>
            </w:r>
          </w:p>
        </w:tc>
        <w:tc>
          <w:tcPr>
            <w:tcW w:w="2018" w:type="dxa"/>
            <w:vMerge/>
            <w:tcBorders>
              <w:left w:val="nil"/>
              <w:right w:val="nil"/>
            </w:tcBorders>
            <w:shd w:val="clear" w:color="auto" w:fill="auto"/>
            <w:vAlign w:val="center"/>
            <w:hideMark/>
          </w:tcPr>
          <w:p w:rsidR="00AE7191" w:rsidRPr="00634466" w:rsidRDefault="00AE7191" w:rsidP="00BE533F">
            <w:pPr>
              <w:jc w:val="center"/>
              <w:rPr>
                <w:rFonts w:ascii="Calibri" w:hAnsi="Calibri" w:cs="Arial"/>
                <w:sz w:val="16"/>
                <w:szCs w:val="16"/>
              </w:rPr>
            </w:pPr>
          </w:p>
        </w:tc>
      </w:tr>
      <w:tr w:rsidR="00AE7191" w:rsidRPr="00634466" w:rsidTr="00AE7191">
        <w:trPr>
          <w:trHeight w:hRule="exact" w:val="284"/>
          <w:jc w:val="center"/>
        </w:trPr>
        <w:tc>
          <w:tcPr>
            <w:tcW w:w="429" w:type="dxa"/>
            <w:tcBorders>
              <w:top w:val="nil"/>
              <w:left w:val="nil"/>
              <w:bottom w:val="single" w:sz="8" w:space="0" w:color="auto"/>
              <w:right w:val="nil"/>
            </w:tcBorders>
            <w:shd w:val="clear" w:color="auto" w:fill="auto"/>
            <w:noWrap/>
            <w:vAlign w:val="center"/>
            <w:hideMark/>
          </w:tcPr>
          <w:p w:rsidR="00AE7191" w:rsidRPr="00634466" w:rsidRDefault="00AE7191" w:rsidP="00BE533F">
            <w:pPr>
              <w:rPr>
                <w:rFonts w:ascii="Calibri" w:hAnsi="Calibri" w:cs="Arial"/>
                <w:sz w:val="16"/>
                <w:szCs w:val="16"/>
              </w:rPr>
            </w:pPr>
            <w:r w:rsidRPr="00634466">
              <w:rPr>
                <w:rFonts w:ascii="Calibri" w:hAnsi="Calibri" w:cs="Arial"/>
                <w:sz w:val="16"/>
                <w:szCs w:val="16"/>
              </w:rPr>
              <w:t> </w:t>
            </w:r>
          </w:p>
        </w:tc>
        <w:tc>
          <w:tcPr>
            <w:tcW w:w="0" w:type="auto"/>
            <w:tcBorders>
              <w:top w:val="nil"/>
              <w:left w:val="nil"/>
              <w:bottom w:val="single" w:sz="8" w:space="0" w:color="auto"/>
              <w:right w:val="nil"/>
            </w:tcBorders>
            <w:shd w:val="clear" w:color="auto" w:fill="auto"/>
            <w:noWrap/>
            <w:vAlign w:val="center"/>
            <w:hideMark/>
          </w:tcPr>
          <w:p w:rsidR="00AE7191" w:rsidRPr="00634466" w:rsidRDefault="00AE7191" w:rsidP="00BE533F">
            <w:pPr>
              <w:rPr>
                <w:rFonts w:ascii="Calibri" w:hAnsi="Calibri" w:cs="Arial"/>
                <w:b/>
                <w:bCs/>
                <w:sz w:val="16"/>
                <w:szCs w:val="16"/>
              </w:rPr>
            </w:pPr>
            <w:proofErr w:type="spellStart"/>
            <w:r w:rsidRPr="00634466">
              <w:rPr>
                <w:rFonts w:ascii="Calibri" w:hAnsi="Calibri" w:cs="Arial"/>
                <w:b/>
                <w:bCs/>
                <w:sz w:val="16"/>
                <w:szCs w:val="16"/>
              </w:rPr>
              <w:t>RoW</w:t>
            </w:r>
            <w:proofErr w:type="spellEnd"/>
          </w:p>
        </w:tc>
        <w:tc>
          <w:tcPr>
            <w:tcW w:w="0" w:type="auto"/>
            <w:tcBorders>
              <w:top w:val="nil"/>
              <w:left w:val="nil"/>
              <w:bottom w:val="single" w:sz="8" w:space="0" w:color="auto"/>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17,394</w:t>
            </w:r>
          </w:p>
        </w:tc>
        <w:tc>
          <w:tcPr>
            <w:tcW w:w="0" w:type="auto"/>
            <w:tcBorders>
              <w:top w:val="nil"/>
              <w:left w:val="nil"/>
              <w:bottom w:val="single" w:sz="8" w:space="0" w:color="auto"/>
              <w:right w:val="nil"/>
            </w:tcBorders>
            <w:shd w:val="clear" w:color="auto" w:fill="auto"/>
            <w:noWrap/>
            <w:vAlign w:val="center"/>
            <w:hideMark/>
          </w:tcPr>
          <w:p w:rsidR="00AE7191" w:rsidRPr="00634466" w:rsidRDefault="00AE7191" w:rsidP="00BE533F">
            <w:pPr>
              <w:jc w:val="center"/>
              <w:rPr>
                <w:rFonts w:ascii="Calibri" w:hAnsi="Calibri" w:cs="Arial"/>
                <w:sz w:val="16"/>
                <w:szCs w:val="16"/>
              </w:rPr>
            </w:pPr>
            <w:r w:rsidRPr="00634466">
              <w:rPr>
                <w:rFonts w:ascii="Calibri" w:hAnsi="Calibri" w:cs="Arial"/>
                <w:sz w:val="16"/>
                <w:szCs w:val="16"/>
              </w:rPr>
              <w:t>13.6%</w:t>
            </w:r>
          </w:p>
        </w:tc>
        <w:tc>
          <w:tcPr>
            <w:tcW w:w="0" w:type="auto"/>
            <w:vMerge/>
            <w:tcBorders>
              <w:top w:val="dashed" w:sz="4" w:space="0" w:color="auto"/>
              <w:left w:val="nil"/>
              <w:bottom w:val="single" w:sz="8" w:space="0" w:color="000000"/>
              <w:right w:val="nil"/>
            </w:tcBorders>
            <w:vAlign w:val="center"/>
            <w:hideMark/>
          </w:tcPr>
          <w:p w:rsidR="00AE7191" w:rsidRPr="00634466" w:rsidRDefault="00AE7191" w:rsidP="00BE533F">
            <w:pPr>
              <w:rPr>
                <w:rFonts w:ascii="Calibri" w:hAnsi="Calibri" w:cs="Arial"/>
                <w:sz w:val="16"/>
                <w:szCs w:val="16"/>
              </w:rPr>
            </w:pPr>
          </w:p>
        </w:tc>
        <w:tc>
          <w:tcPr>
            <w:tcW w:w="2018" w:type="dxa"/>
            <w:vMerge/>
            <w:tcBorders>
              <w:left w:val="nil"/>
              <w:bottom w:val="single" w:sz="8" w:space="0" w:color="000000"/>
              <w:right w:val="nil"/>
            </w:tcBorders>
            <w:vAlign w:val="center"/>
            <w:hideMark/>
          </w:tcPr>
          <w:p w:rsidR="00AE7191" w:rsidRPr="00634466" w:rsidRDefault="00AE7191" w:rsidP="00BE533F">
            <w:pPr>
              <w:rPr>
                <w:rFonts w:ascii="Calibri" w:hAnsi="Calibri" w:cs="Arial"/>
                <w:sz w:val="16"/>
                <w:szCs w:val="16"/>
              </w:rPr>
            </w:pPr>
          </w:p>
        </w:tc>
      </w:tr>
      <w:tr w:rsidR="00784F01" w:rsidRPr="00634466" w:rsidTr="00AE7191">
        <w:trPr>
          <w:trHeight w:hRule="exact" w:val="284"/>
          <w:jc w:val="center"/>
        </w:trPr>
        <w:tc>
          <w:tcPr>
            <w:tcW w:w="429" w:type="dxa"/>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c>
          <w:tcPr>
            <w:tcW w:w="0" w:type="auto"/>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127,669</w:t>
            </w:r>
          </w:p>
        </w:tc>
        <w:tc>
          <w:tcPr>
            <w:tcW w:w="0" w:type="auto"/>
            <w:tcBorders>
              <w:top w:val="nil"/>
              <w:left w:val="nil"/>
              <w:bottom w:val="nil"/>
              <w:right w:val="nil"/>
            </w:tcBorders>
            <w:shd w:val="clear" w:color="auto" w:fill="auto"/>
            <w:noWrap/>
            <w:vAlign w:val="center"/>
            <w:hideMark/>
          </w:tcPr>
          <w:p w:rsidR="00784F01" w:rsidRPr="00634466" w:rsidRDefault="00784F01" w:rsidP="00BE533F">
            <w:pPr>
              <w:jc w:val="center"/>
              <w:rPr>
                <w:rFonts w:ascii="Calibri" w:hAnsi="Calibri" w:cs="Arial"/>
                <w:b/>
                <w:bCs/>
                <w:sz w:val="16"/>
                <w:szCs w:val="16"/>
              </w:rPr>
            </w:pPr>
            <w:r w:rsidRPr="00634466">
              <w:rPr>
                <w:rFonts w:ascii="Calibri" w:hAnsi="Calibri" w:cs="Arial"/>
                <w:b/>
                <w:bCs/>
                <w:sz w:val="16"/>
                <w:szCs w:val="16"/>
              </w:rPr>
              <w:t>100%</w:t>
            </w:r>
          </w:p>
        </w:tc>
        <w:tc>
          <w:tcPr>
            <w:tcW w:w="0" w:type="auto"/>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c>
          <w:tcPr>
            <w:tcW w:w="2018" w:type="dxa"/>
            <w:tcBorders>
              <w:top w:val="nil"/>
              <w:left w:val="nil"/>
              <w:bottom w:val="nil"/>
              <w:right w:val="nil"/>
            </w:tcBorders>
            <w:shd w:val="clear" w:color="auto" w:fill="auto"/>
            <w:noWrap/>
            <w:vAlign w:val="bottom"/>
            <w:hideMark/>
          </w:tcPr>
          <w:p w:rsidR="00784F01" w:rsidRPr="00634466" w:rsidRDefault="00784F01" w:rsidP="00BE533F">
            <w:pPr>
              <w:rPr>
                <w:rFonts w:ascii="Calibri" w:hAnsi="Calibri" w:cs="Arial"/>
                <w:sz w:val="16"/>
                <w:szCs w:val="16"/>
              </w:rPr>
            </w:pPr>
          </w:p>
        </w:tc>
      </w:tr>
    </w:tbl>
    <w:p w:rsidR="00784F01" w:rsidRPr="00634466" w:rsidRDefault="00784F01" w:rsidP="00784F01"/>
    <w:p w:rsidR="00784F01" w:rsidRPr="00634466" w:rsidRDefault="00784F01" w:rsidP="0021722E">
      <w:pPr>
        <w:pStyle w:val="Caption"/>
      </w:pPr>
    </w:p>
    <w:p w:rsidR="00784F01" w:rsidRPr="00634466" w:rsidRDefault="00784F01" w:rsidP="00784F01">
      <w:pPr>
        <w:pStyle w:val="Heading3"/>
        <w:numPr>
          <w:ilvl w:val="2"/>
          <w:numId w:val="6"/>
        </w:numPr>
        <w:spacing w:line="480" w:lineRule="auto"/>
      </w:pPr>
      <w:bookmarkStart w:id="39" w:name="_Ref288651458"/>
      <w:r w:rsidRPr="00634466">
        <w:t>Household demand</w:t>
      </w:r>
      <w:bookmarkEnd w:id="39"/>
    </w:p>
    <w:p w:rsidR="00784F01" w:rsidRPr="00634466" w:rsidRDefault="00784F01" w:rsidP="00784F01">
      <w:pPr>
        <w:spacing w:line="480" w:lineRule="auto"/>
      </w:pPr>
      <w:r w:rsidRPr="00634466">
        <w:t xml:space="preserve">The single region IO table for Scotland provides an ix1 vector of household consumption demand </w:t>
      </w:r>
      <m:oMath>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N</m:t>
            </m:r>
          </m:sup>
        </m:sSup>
      </m:oMath>
      <w:r w:rsidRPr="00634466">
        <w:rPr>
          <w:b/>
        </w:rPr>
        <w:t xml:space="preserve">. </w:t>
      </w:r>
      <w:r w:rsidRPr="00634466">
        <w:t>In order</w:t>
      </w:r>
      <w:r w:rsidR="00097A49">
        <w:t xml:space="preserve"> to capture interregional </w:t>
      </w:r>
      <w:proofErr w:type="spellStart"/>
      <w:r w:rsidR="00097A49">
        <w:t>spill</w:t>
      </w:r>
      <w:r w:rsidRPr="00634466">
        <w:t>over</w:t>
      </w:r>
      <w:proofErr w:type="spellEnd"/>
      <w:r w:rsidRPr="00634466">
        <w:t xml:space="preserve"> of household final demand it is necessary to disaggregate it into an </w:t>
      </w:r>
      <m:oMath>
        <m:r>
          <w:rPr>
            <w:rFonts w:ascii="Cambria Math" w:hAnsi="Cambria Math"/>
          </w:rPr>
          <m:t>ri×s</m:t>
        </m:r>
      </m:oMath>
      <w:r w:rsidRPr="00634466">
        <w:rPr>
          <w:b/>
          <w:vertAlign w:val="superscript"/>
        </w:rPr>
        <w:t xml:space="preserve"> </w:t>
      </w:r>
      <w:r w:rsidRPr="00634466">
        <w:t xml:space="preserve">matrix of household final demand by origin and </w:t>
      </w:r>
      <w:proofErr w:type="gramStart"/>
      <w:r w:rsidRPr="00634466">
        <w:t>destination</w:t>
      </w:r>
      <w:r w:rsidR="007542C7" w:rsidRPr="00634466">
        <w:t xml:space="preserve"> </w:t>
      </w:r>
      <m:oMath>
        <w:proofErr w:type="gramEnd"/>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rs</m:t>
            </m:r>
          </m:sup>
        </m:sSup>
      </m:oMath>
      <w:r w:rsidRPr="00634466">
        <w:rPr>
          <w:b/>
        </w:rPr>
        <w:t xml:space="preserve">. </w:t>
      </w:r>
      <w:r w:rsidRPr="00634466">
        <w:t xml:space="preserve">This can be portioned into a 3×3 matrix of i×1 vectors </w:t>
      </w:r>
      <m:oMath>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rs</m:t>
            </m:r>
          </m:sup>
        </m:sSup>
      </m:oMath>
      <w:r w:rsidRPr="00634466">
        <w:rPr>
          <w:b/>
        </w:rPr>
        <w:t xml:space="preserve"> </w:t>
      </w:r>
      <w:r w:rsidRPr="00634466">
        <w:t>showing household final demand by place of destination (r) and origin (s):</w:t>
      </w:r>
    </w:p>
    <w:p w:rsidR="00784F01" w:rsidRPr="00634466" w:rsidRDefault="00BB6961" w:rsidP="00784F01">
      <w:pPr>
        <w:spacing w:line="480" w:lineRule="auto"/>
        <w:rPr>
          <w:b/>
        </w:rPr>
      </w:pPr>
      <m:oMathPara>
        <m:oMath>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rs</m:t>
              </m:r>
            </m:sup>
          </m:sSup>
          <m:r>
            <m:rPr>
              <m:sty m:val="bi"/>
            </m:rPr>
            <w:rPr>
              <w:rFonts w:ascii="Cambria Math" w:hAnsi="Cambria Math"/>
            </w:rPr>
            <m:t>=</m:t>
          </m:r>
          <m:d>
            <m:dPr>
              <m:begChr m:val="|"/>
              <m:endChr m:val="|"/>
              <m:ctrlPr>
                <w:rPr>
                  <w:rFonts w:ascii="Cambria Math" w:hAnsi="Cambria Math"/>
                  <w:b/>
                  <w:i/>
                </w:rPr>
              </m:ctrlPr>
            </m:dPr>
            <m:e>
              <m:m>
                <m:mPr>
                  <m:mcs>
                    <m:mc>
                      <m:mcPr>
                        <m:count m:val="1"/>
                        <m:mcJc m:val="center"/>
                      </m:mcPr>
                    </m:mc>
                  </m:mcs>
                  <m:ctrlPr>
                    <w:rPr>
                      <w:rFonts w:ascii="Cambria Math" w:hAnsi="Cambria Math"/>
                      <w:b/>
                      <w:i/>
                    </w:rPr>
                  </m:ctrlPr>
                </m:mPr>
                <m:mr>
                  <m:e>
                    <m:m>
                      <m:mPr>
                        <m:mcs>
                          <m:mc>
                            <m:mcPr>
                              <m:count m:val="3"/>
                              <m:mcJc m:val="center"/>
                            </m:mcPr>
                          </m:mc>
                        </m:mcs>
                        <m:ctrlPr>
                          <w:rPr>
                            <w:rFonts w:ascii="Cambria Math" w:hAnsi="Cambria Math"/>
                            <w:b/>
                            <w:i/>
                          </w:rPr>
                        </m:ctrlPr>
                      </m:mPr>
                      <m:mr>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GG</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GW</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GB</m:t>
                              </m:r>
                            </m:sup>
                          </m:sSubSup>
                        </m:e>
                      </m:mr>
                      <m:mr>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WG</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WW</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WB</m:t>
                              </m:r>
                            </m:sup>
                          </m:sSubSup>
                        </m:e>
                      </m:mr>
                      <m:mr>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BG</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BW</m:t>
                              </m:r>
                            </m:sup>
                          </m:sSubSup>
                        </m:e>
                        <m:e>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BB</m:t>
                              </m:r>
                            </m:sup>
                          </m:sSubSup>
                        </m:e>
                      </m:mr>
                    </m:m>
                  </m:e>
                </m:mr>
              </m:m>
            </m:e>
          </m:d>
        </m:oMath>
      </m:oMathPara>
    </w:p>
    <w:p w:rsidR="00784F01" w:rsidRPr="00634466" w:rsidRDefault="00784F01" w:rsidP="00784F01">
      <w:pPr>
        <w:spacing w:line="480" w:lineRule="auto"/>
      </w:pPr>
    </w:p>
    <w:p w:rsidR="00784F01" w:rsidRPr="00634466" w:rsidRDefault="00784F01" w:rsidP="00784F01">
      <w:pPr>
        <w:spacing w:line="480" w:lineRule="auto"/>
      </w:pPr>
      <w:r w:rsidRPr="00634466">
        <w:lastRenderedPageBreak/>
        <w:t xml:space="preserve">This is achieved by using data for shopping trips as a first approximation for consumption flows in line with convention in the literature (see Section </w:t>
      </w:r>
      <w:fldSimple w:instr=" REF _Ref401933512 \r \h  \* MERGEFORMAT ">
        <w:r w:rsidR="00476FBF" w:rsidRPr="00476FBF">
          <w:rPr>
            <w:b/>
            <w:bCs/>
            <w:lang w:val="en-US"/>
          </w:rPr>
          <w:t>2.2</w:t>
        </w:r>
      </w:fldSimple>
      <w:r w:rsidRPr="00634466">
        <w:t>). The matrix is then balanced using a RAS procedure.</w:t>
      </w:r>
    </w:p>
    <w:p w:rsidR="00784F01" w:rsidRPr="00634466" w:rsidRDefault="00784F01" w:rsidP="00784F01">
      <w:pPr>
        <w:spacing w:line="480" w:lineRule="auto"/>
      </w:pPr>
    </w:p>
    <w:p w:rsidR="00784F01" w:rsidRPr="00634466" w:rsidRDefault="00784F01" w:rsidP="00784F01">
      <w:pPr>
        <w:spacing w:line="480" w:lineRule="auto"/>
      </w:pPr>
      <w:r w:rsidRPr="00634466">
        <w:t xml:space="preserve">Households in the sub-regions are taken to exhibit the same consumption pattern as households in Scotland as a whole. However, population varies between them, as does the average disposable income (see </w:t>
      </w:r>
      <w:fldSimple w:instr=" REF _Ref355083525 \h  \* MERGEFORMAT ">
        <w:r w:rsidR="00476FBF" w:rsidRPr="00476FBF">
          <w:rPr>
            <w:b/>
            <w:bCs/>
            <w:lang w:val="en-US"/>
          </w:rPr>
          <w:t>Table 1</w:t>
        </w:r>
      </w:fldSimple>
      <w:r w:rsidRPr="00634466">
        <w:t xml:space="preserve">) and households shop outside their local area. Therefore the level of household final demand will vary across the sub-regions. The vector of final demand of households shopping in region I and residing in region J is estimated as: </w:t>
      </w:r>
    </w:p>
    <w:p w:rsidR="00784F01" w:rsidRPr="00634466" w:rsidRDefault="00BB6961" w:rsidP="00784F01">
      <w:pPr>
        <w:spacing w:line="480" w:lineRule="auto"/>
        <w:rPr>
          <w:rFonts w:eastAsiaTheme="minorEastAsia"/>
        </w:rPr>
      </w:pPr>
      <m:oMathPara>
        <m:oMath>
          <m:sSubSup>
            <m:sSubSupPr>
              <m:ctrlPr>
                <w:rPr>
                  <w:rFonts w:ascii="Cambria Math" w:hAnsi="Cambria Math"/>
                  <w:b/>
                  <w:i/>
                </w:rPr>
              </m:ctrlPr>
            </m:sSubSupPr>
            <m:e>
              <m:r>
                <m:rPr>
                  <m:sty m:val="bi"/>
                </m:rPr>
                <w:rPr>
                  <w:rFonts w:ascii="Cambria Math" w:hAnsi="Cambria Math"/>
                </w:rPr>
                <m:t>h</m:t>
              </m:r>
            </m:e>
            <m:sub>
              <m:r>
                <m:rPr>
                  <m:sty m:val="bi"/>
                </m:rPr>
                <w:rPr>
                  <w:rFonts w:ascii="Cambria Math" w:hAnsi="Cambria Math"/>
                </w:rPr>
                <m:t xml:space="preserve"> </m:t>
              </m:r>
            </m:sub>
            <m:sup>
              <m:r>
                <m:rPr>
                  <m:sty m:val="bi"/>
                </m:rPr>
                <w:rPr>
                  <w:rFonts w:ascii="Cambria Math" w:hAnsi="Cambria Math"/>
                </w:rPr>
                <m:t>rs</m:t>
              </m:r>
            </m:sup>
          </m:sSubSup>
          <m:r>
            <w:rPr>
              <w:rFonts w:ascii="Cambria Math" w:eastAsiaTheme="minorEastAsia" w:hAnsi="Cambria Math"/>
            </w:rPr>
            <m:t>=</m:t>
          </m:r>
          <m:sSubSup>
            <m:sSubSupPr>
              <m:ctrlPr>
                <w:rPr>
                  <w:rFonts w:ascii="Cambria Math" w:eastAsiaTheme="minorEastAsia" w:hAnsi="Cambria Math"/>
                  <w:b/>
                  <w:i/>
                </w:rPr>
              </m:ctrlPr>
            </m:sSubSupPr>
            <m:e>
              <m:r>
                <m:rPr>
                  <m:sty m:val="bi"/>
                </m:rPr>
                <w:rPr>
                  <w:rFonts w:ascii="Cambria Math" w:eastAsiaTheme="minorEastAsia" w:hAnsi="Cambria Math"/>
                </w:rPr>
                <m:t>h</m:t>
              </m:r>
            </m:e>
            <m:sub>
              <m:r>
                <m:rPr>
                  <m:sty m:val="bi"/>
                </m:rPr>
                <w:rPr>
                  <w:rFonts w:ascii="Cambria Math" w:eastAsiaTheme="minorEastAsia" w:hAnsi="Cambria Math"/>
                </w:rPr>
                <m:t xml:space="preserve"> </m:t>
              </m:r>
            </m:sub>
            <m:sup>
              <m:r>
                <m:rPr>
                  <m:sty m:val="bi"/>
                </m:rPr>
                <w:rPr>
                  <w:rFonts w:ascii="Cambria Math" w:eastAsiaTheme="minorEastAsia" w:hAnsi="Cambria Math"/>
                </w:rPr>
                <m:t>N</m:t>
              </m:r>
            </m:sup>
          </m:sSubSup>
          <m:r>
            <m:rPr>
              <m:sty m:val="bi"/>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 xml:space="preserve"> </m:t>
              </m:r>
            </m:sub>
            <m:sup>
              <m:r>
                <w:rPr>
                  <w:rFonts w:ascii="Cambria Math" w:eastAsiaTheme="minorEastAsia" w:hAnsi="Cambria Math"/>
                </w:rPr>
                <m:t>rs</m:t>
              </m:r>
            </m:sup>
          </m:sSubSup>
        </m:oMath>
      </m:oMathPara>
    </w:p>
    <w:p w:rsidR="00784F01" w:rsidRPr="00634466" w:rsidRDefault="00784F01" w:rsidP="00784F01">
      <w:pPr>
        <w:spacing w:line="480" w:lineRule="auto"/>
        <w:rPr>
          <w:rFonts w:eastAsiaTheme="minorEastAsia"/>
        </w:rPr>
      </w:pPr>
      <w:r w:rsidRPr="00634466">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 xml:space="preserve"> </m:t>
            </m:r>
          </m:sub>
          <m:sup>
            <m:r>
              <w:rPr>
                <w:rFonts w:ascii="Cambria Math" w:eastAsiaTheme="minorEastAsia" w:hAnsi="Cambria Math"/>
              </w:rPr>
              <m:t>rs</m:t>
            </m:r>
          </m:sup>
        </m:sSubSup>
      </m:oMath>
      <w:r w:rsidRPr="00634466">
        <w:rPr>
          <w:rFonts w:eastAsiaTheme="minorEastAsia"/>
        </w:rPr>
        <w:t xml:space="preserve"> is a scalar that's defined </w:t>
      </w:r>
      <w:proofErr w:type="gramStart"/>
      <w:r w:rsidRPr="00634466">
        <w:rPr>
          <w:rFonts w:eastAsiaTheme="minorEastAsia"/>
        </w:rPr>
        <w:t>as:</w:t>
      </w:r>
      <w:proofErr w:type="gramEnd"/>
    </w:p>
    <w:p w:rsidR="00784F01" w:rsidRPr="00634466" w:rsidRDefault="00BB6961" w:rsidP="00784F01">
      <w:pPr>
        <w:spacing w:line="480" w:lineRule="auto"/>
      </w:pPr>
      <m:oMathPara>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 xml:space="preserve"> </m:t>
              </m:r>
            </m:sub>
            <m:sup>
              <m:r>
                <w:rPr>
                  <w:rFonts w:ascii="Cambria Math" w:eastAsiaTheme="minorEastAsia" w:hAnsi="Cambria Math"/>
                </w:rPr>
                <m:t>rs</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s</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rs</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s</m:t>
                  </m:r>
                </m:sup>
              </m:sSup>
            </m:num>
            <m:den>
              <m:nary>
                <m:naryPr>
                  <m:chr m:val="∑"/>
                  <m:limLoc m:val="undOvr"/>
                  <m:supHide m:val="on"/>
                  <m:ctrlPr>
                    <w:rPr>
                      <w:rFonts w:ascii="Cambria Math" w:eastAsiaTheme="minorEastAsia" w:hAnsi="Cambria Math"/>
                      <w:i/>
                    </w:rPr>
                  </m:ctrlPr>
                </m:naryPr>
                <m:sub>
                  <m:r>
                    <w:rPr>
                      <w:rFonts w:ascii="Cambria Math" w:eastAsiaTheme="minorEastAsia" w:hAnsi="Cambria Math"/>
                    </w:rPr>
                    <m:t>s</m:t>
                  </m:r>
                </m:sub>
                <m:sup/>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s</m:t>
                      </m:r>
                    </m:sup>
                  </m:sSup>
                </m:e>
              </m:nary>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rs</m:t>
                  </m:r>
                </m:sup>
              </m:sSup>
            </m:num>
            <m:den>
              <m:nary>
                <m:naryPr>
                  <m:chr m:val="∑"/>
                  <m:limLoc m:val="undOvr"/>
                  <m:supHide m:val="on"/>
                  <m:ctrlPr>
                    <w:rPr>
                      <w:rFonts w:ascii="Cambria Math" w:eastAsiaTheme="minorEastAsia" w:hAnsi="Cambria Math"/>
                      <w:i/>
                    </w:rPr>
                  </m:ctrlPr>
                </m:naryPr>
                <m:sub>
                  <m:r>
                    <w:rPr>
                      <w:rFonts w:ascii="Cambria Math" w:eastAsiaTheme="minorEastAsia" w:hAnsi="Cambria Math"/>
                    </w:rPr>
                    <m:t>r</m:t>
                  </m:r>
                </m:sub>
                <m:sup/>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rs</m:t>
                      </m:r>
                    </m:sup>
                  </m:sSup>
                </m:e>
              </m:nary>
            </m:den>
          </m:f>
        </m:oMath>
      </m:oMathPara>
    </w:p>
    <w:p w:rsidR="00784F01" w:rsidRPr="00634466" w:rsidRDefault="00784F01" w:rsidP="00784F01">
      <w:pPr>
        <w:spacing w:line="480" w:lineRule="auto"/>
        <w:rPr>
          <w:rFonts w:eastAsiaTheme="minorEastAsia"/>
        </w:rPr>
      </w:pPr>
      <w:proofErr w:type="gramStart"/>
      <w:r w:rsidRPr="00634466">
        <w:t>where</w:t>
      </w:r>
      <w:proofErr w:type="gramEnd"/>
      <w:r w:rsidRPr="00634466">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s</m:t>
            </m:r>
          </m:sup>
        </m:sSup>
      </m:oMath>
      <w:r w:rsidRPr="00634466">
        <w:rPr>
          <w:rFonts w:eastAsiaTheme="minorEastAsia"/>
        </w:rPr>
        <w:t xml:space="preserve"> is share of region </w:t>
      </w:r>
      <w:r w:rsidR="007014A4">
        <w:rPr>
          <w:rFonts w:eastAsiaTheme="minorEastAsia"/>
        </w:rPr>
        <w:t>s</w:t>
      </w:r>
      <w:r w:rsidRPr="00634466">
        <w:rPr>
          <w:rFonts w:eastAsiaTheme="minorEastAsia"/>
        </w:rPr>
        <w:t xml:space="preserve"> in total Gross Disposable Household Income in Scotland and </w:t>
      </w:r>
      <m:oMath>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rs</m:t>
            </m:r>
          </m:sup>
        </m:sSup>
      </m:oMath>
      <w:r w:rsidRPr="00634466">
        <w:rPr>
          <w:rFonts w:eastAsiaTheme="minorEastAsia"/>
        </w:rPr>
        <w:t xml:space="preserve"> is the share of all shopping trips by residents in region s to region r. These coefficients are calculated based on information in Tables 2 and 3.</w:t>
      </w:r>
    </w:p>
    <w:p w:rsidR="00784F01" w:rsidRPr="00634466" w:rsidRDefault="00784F01" w:rsidP="00784F01">
      <w:pPr>
        <w:spacing w:line="480" w:lineRule="auto"/>
        <w:rPr>
          <w:lang w:eastAsia="en-GB"/>
        </w:rPr>
      </w:pPr>
    </w:p>
    <w:p w:rsidR="00784F01" w:rsidRPr="00634466" w:rsidRDefault="00784F01" w:rsidP="00784F01">
      <w:pPr>
        <w:spacing w:line="480" w:lineRule="auto"/>
      </w:pPr>
      <w:r w:rsidRPr="00634466">
        <w:t xml:space="preserve">Assuming a uniform spatial distribution of consumption over all sectors is problematic, as supply conditions vary </w:t>
      </w:r>
      <w:r w:rsidR="001B60F2" w:rsidRPr="00634466">
        <w:t>across</w:t>
      </w:r>
      <w:r w:rsidR="007542C7" w:rsidRPr="00634466">
        <w:t xml:space="preserve"> regions</w:t>
      </w:r>
      <w:r w:rsidRPr="00634466">
        <w:t xml:space="preserve">. For instance, Glasgow’s demand for agricultural outputs outstrips the supply of the indigenous sector several times over. In this case, the relative frequency of shopping trips clearly understates the degree to which Glasgow households satisfy their demand in other sub-regions. Therefore a RAS procedure is used to balance the </w:t>
      </w:r>
      <m:oMath>
        <m:sSubSup>
          <m:sSubSupPr>
            <m:ctrlPr>
              <w:rPr>
                <w:rFonts w:ascii="Cambria Math" w:eastAsiaTheme="minorEastAsia" w:hAnsi="Cambria Math"/>
                <w:b/>
                <w:i/>
              </w:rPr>
            </m:ctrlPr>
          </m:sSubSupPr>
          <m:e>
            <m:r>
              <m:rPr>
                <m:sty m:val="bi"/>
              </m:rPr>
              <w:rPr>
                <w:rFonts w:ascii="Cambria Math" w:eastAsiaTheme="minorEastAsia" w:hAnsi="Cambria Math"/>
              </w:rPr>
              <m:t>H</m:t>
            </m:r>
          </m:e>
          <m:sub>
            <m:r>
              <m:rPr>
                <m:sty m:val="bi"/>
              </m:rPr>
              <w:rPr>
                <w:rFonts w:ascii="Cambria Math" w:eastAsiaTheme="minorEastAsia" w:hAnsi="Cambria Math"/>
              </w:rPr>
              <m:t xml:space="preserve">  </m:t>
            </m:r>
          </m:sub>
          <m:sup>
            <m:r>
              <m:rPr>
                <m:sty m:val="bi"/>
              </m:rPr>
              <w:rPr>
                <w:rFonts w:ascii="Cambria Math" w:eastAsiaTheme="minorEastAsia" w:hAnsi="Cambria Math"/>
              </w:rPr>
              <m:t>rs</m:t>
            </m:r>
          </m:sup>
        </m:sSubSup>
      </m:oMath>
      <w:r w:rsidRPr="00634466">
        <w:rPr>
          <w:rFonts w:eastAsiaTheme="minorEastAsia"/>
        </w:rPr>
        <w:t xml:space="preserve">matrix. </w:t>
      </w:r>
    </w:p>
    <w:p w:rsidR="00784F01" w:rsidRPr="00634466" w:rsidRDefault="00784F01" w:rsidP="00784F01">
      <w:pPr>
        <w:spacing w:line="480" w:lineRule="auto"/>
      </w:pPr>
    </w:p>
    <w:p w:rsidR="00784F01" w:rsidRPr="00634466" w:rsidRDefault="00784F01" w:rsidP="00784F01">
      <w:pPr>
        <w:spacing w:line="480" w:lineRule="auto"/>
      </w:pPr>
      <w:r w:rsidRPr="00634466">
        <w:t xml:space="preserve">RAS requires control totals for column and row sums. </w:t>
      </w:r>
      <w:proofErr w:type="gramStart"/>
      <w:r w:rsidRPr="00634466">
        <w:t>Y</w:t>
      </w:r>
      <w:r w:rsidR="007014A4">
        <w:rPr>
          <w:vertAlign w:val="superscript"/>
        </w:rPr>
        <w:t>s</w:t>
      </w:r>
      <w:r w:rsidRPr="00634466">
        <w:t xml:space="preserve"> is</w:t>
      </w:r>
      <w:proofErr w:type="gramEnd"/>
      <w:r w:rsidRPr="00634466">
        <w:t xml:space="preserve"> used for column sums, whereas employment shares in each region are used to derive row totals:</w:t>
      </w:r>
    </w:p>
    <w:p w:rsidR="00784F01" w:rsidRPr="00634466" w:rsidRDefault="00BB6961" w:rsidP="00784F01">
      <w:pPr>
        <w:spacing w:line="480" w:lineRule="auto"/>
      </w:pPr>
      <m:oMathPara>
        <m:oMath>
          <m:nary>
            <m:naryPr>
              <m:chr m:val="∑"/>
              <m:limLoc m:val="undOvr"/>
              <m:supHide m:val="on"/>
              <m:ctrlPr>
                <w:rPr>
                  <w:rFonts w:ascii="Cambria Math" w:hAnsi="Cambria Math"/>
                  <w:i/>
                </w:rPr>
              </m:ctrlPr>
            </m:naryPr>
            <m:sub>
              <m:r>
                <w:rPr>
                  <w:rFonts w:ascii="Cambria Math" w:hAnsi="Cambria Math"/>
                </w:rPr>
                <m:t>s</m:t>
              </m:r>
            </m:sub>
            <m:sup/>
            <m:e>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N</m:t>
                  </m:r>
                </m:sup>
              </m:sSubSup>
            </m:e>
          </m:nary>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r</m:t>
                      </m:r>
                    </m:sup>
                  </m:sSubSup>
                </m:num>
                <m:den>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den>
              </m:f>
            </m:e>
          </m:d>
        </m:oMath>
      </m:oMathPara>
    </w:p>
    <w:p w:rsidR="00784F01" w:rsidRPr="00634466" w:rsidRDefault="00784F01" w:rsidP="00784F01">
      <w:pPr>
        <w:spacing w:line="480" w:lineRule="auto"/>
      </w:pPr>
    </w:p>
    <w:p w:rsidR="00784F01" w:rsidRPr="00634466" w:rsidRDefault="00784F01" w:rsidP="00784F01">
      <w:pPr>
        <w:spacing w:line="480" w:lineRule="auto"/>
      </w:pPr>
      <w:proofErr w:type="gramStart"/>
      <w:r w:rsidRPr="00634466">
        <w:t>where</w:t>
      </w:r>
      <w:proofErr w:type="gramEnd"/>
      <w:r w:rsidRPr="00634466">
        <w:t xml:space="preserve"> </w:t>
      </w:r>
      <m:oMath>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rs</m:t>
            </m:r>
          </m:sup>
        </m:sSubSup>
      </m:oMath>
      <w:r w:rsidRPr="00634466">
        <w:rPr>
          <w:rFonts w:eastAsiaTheme="minorEastAsia"/>
        </w:rPr>
        <w:t xml:space="preserve">is the final demand of households in region s for the output of sector i in region r, </w:t>
      </w:r>
      <m:oMath>
        <m:sSubSup>
          <m:sSubSupPr>
            <m:ctrlPr>
              <w:rPr>
                <w:rFonts w:ascii="Cambria Math" w:hAnsi="Cambria Math"/>
                <w:i/>
              </w:rPr>
            </m:ctrlPr>
          </m:sSubSupPr>
          <m:e>
            <m:r>
              <w:rPr>
                <w:rFonts w:ascii="Cambria Math" w:hAnsi="Cambria Math"/>
              </w:rPr>
              <m:t>h</m:t>
            </m:r>
          </m:e>
          <m:sub>
            <m:r>
              <w:rPr>
                <w:rFonts w:ascii="Cambria Math" w:hAnsi="Cambria Math"/>
              </w:rPr>
              <m:t>i</m:t>
            </m:r>
          </m:sub>
          <m:sup>
            <m:r>
              <w:rPr>
                <w:rFonts w:ascii="Cambria Math" w:hAnsi="Cambria Math"/>
              </w:rPr>
              <m:t>N</m:t>
            </m:r>
          </m:sup>
        </m:sSubSup>
      </m:oMath>
      <w:r w:rsidRPr="00634466">
        <w:rPr>
          <w:rFonts w:eastAsiaTheme="minorEastAsia"/>
        </w:rPr>
        <w:t xml:space="preserve"> is </w:t>
      </w:r>
      <w:r w:rsidRPr="00634466">
        <w:t xml:space="preserve">household final demand for sector </w:t>
      </w:r>
      <w:proofErr w:type="spellStart"/>
      <w:r w:rsidRPr="00634466">
        <w:rPr>
          <w:i/>
        </w:rPr>
        <w:t>i</w:t>
      </w:r>
      <w:proofErr w:type="spellEnd"/>
      <w:r w:rsidRPr="00634466">
        <w:rPr>
          <w:i/>
        </w:rPr>
        <w:t xml:space="preserve"> </w:t>
      </w:r>
      <w:r w:rsidRPr="00634466">
        <w:t>in Scotland as a whole</w:t>
      </w:r>
      <m:oMath>
        <m:r>
          <w:rPr>
            <w:rFonts w:ascii="Cambria Math" w:hAnsi="Cambria Math"/>
          </w:rPr>
          <m:t xml:space="preserve"> </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r</m:t>
            </m:r>
          </m:sup>
        </m:sSubSup>
      </m:oMath>
      <w:r w:rsidRPr="00634466">
        <w:t xml:space="preserve"> is the FTE employment in sector </w:t>
      </w:r>
      <w:proofErr w:type="spellStart"/>
      <w:r w:rsidRPr="00634466">
        <w:rPr>
          <w:i/>
        </w:rPr>
        <w:t>i</w:t>
      </w:r>
      <w:proofErr w:type="spellEnd"/>
      <w:r w:rsidRPr="00634466">
        <w:rPr>
          <w:i/>
        </w:rPr>
        <w:t xml:space="preserve"> </w:t>
      </w:r>
      <w:r w:rsidRPr="00634466">
        <w:t xml:space="preserve">in region </w:t>
      </w:r>
      <w:r w:rsidR="004122B5">
        <w:t>r</w:t>
      </w:r>
      <w:r w:rsidRPr="00634466">
        <w:rPr>
          <w:i/>
        </w:rPr>
        <w:t xml:space="preserve"> </w:t>
      </w:r>
      <w:r w:rsidRPr="00634466">
        <w:t xml:space="preserve">and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oMath>
      <w:r w:rsidRPr="00634466">
        <w:t xml:space="preserve"> is the FTE employment in sector </w:t>
      </w:r>
      <w:proofErr w:type="spellStart"/>
      <w:r w:rsidRPr="00634466">
        <w:rPr>
          <w:i/>
        </w:rPr>
        <w:t>i</w:t>
      </w:r>
      <w:proofErr w:type="spellEnd"/>
      <w:r w:rsidRPr="00634466">
        <w:rPr>
          <w:i/>
        </w:rPr>
        <w:t xml:space="preserve"> </w:t>
      </w:r>
      <w:r w:rsidRPr="00634466">
        <w:t>in Scotland as a whole (</w:t>
      </w:r>
      <w:r w:rsidRPr="00634466">
        <w:rPr>
          <w:i/>
        </w:rPr>
        <w:t>N</w:t>
      </w:r>
      <w:r w:rsidRPr="00634466">
        <w:t>).</w:t>
      </w:r>
    </w:p>
    <w:p w:rsidR="00784F01" w:rsidRDefault="00784F01" w:rsidP="00784F01">
      <w:pPr>
        <w:pStyle w:val="Heading3"/>
        <w:numPr>
          <w:ilvl w:val="2"/>
          <w:numId w:val="6"/>
        </w:numPr>
        <w:spacing w:line="480" w:lineRule="auto"/>
      </w:pPr>
      <w:r w:rsidRPr="00634466">
        <w:t>Government demand</w:t>
      </w:r>
    </w:p>
    <w:p w:rsidR="00116B84" w:rsidRPr="00634466" w:rsidRDefault="00843C98" w:rsidP="00116B84">
      <w:pPr>
        <w:spacing w:line="480" w:lineRule="auto"/>
      </w:pPr>
      <w:r>
        <w:t xml:space="preserve">Data from regional government accounts </w:t>
      </w:r>
      <w:r w:rsidRPr="00843C98">
        <w:t>(Hillis, 1998)</w:t>
      </w:r>
      <w:r>
        <w:t xml:space="preserve"> and public sector employment by sub-region are used to disaggregate government final demand by sub-region</w:t>
      </w:r>
      <w:r w:rsidR="00116B84" w:rsidRPr="00843C98">
        <w:rPr>
          <w:rStyle w:val="FootnoteReference"/>
        </w:rPr>
        <w:footnoteReference w:id="9"/>
      </w:r>
      <w:r>
        <w:t xml:space="preserve">. </w:t>
      </w:r>
      <w:r w:rsidR="00116B84">
        <w:t xml:space="preserve">These data are used to construct weights, which in turn are </w:t>
      </w:r>
      <w:r w:rsidR="00784F01" w:rsidRPr="00843C98">
        <w:t>used to disaggregate the local</w:t>
      </w:r>
      <w:r w:rsidR="00FD55F7" w:rsidRPr="00843C98">
        <w:t xml:space="preserve"> government and central government final </w:t>
      </w:r>
      <w:r w:rsidR="00784F01" w:rsidRPr="00843C98">
        <w:t>dema</w:t>
      </w:r>
      <w:r w:rsidR="008A521D">
        <w:t xml:space="preserve">nd columns from the Scottish IO </w:t>
      </w:r>
      <w:r w:rsidR="00784F01" w:rsidRPr="00843C98">
        <w:t>table.</w:t>
      </w:r>
      <w:r w:rsidR="00784F01" w:rsidRPr="00634466">
        <w:t xml:space="preserve"> </w:t>
      </w:r>
      <w:r w:rsidR="00BB6961">
        <w:fldChar w:fldCharType="begin"/>
      </w:r>
      <w:r w:rsidR="00B252C8">
        <w:instrText xml:space="preserve"> REF _Ref431804512 \h </w:instrText>
      </w:r>
      <w:r w:rsidR="00BB6961">
        <w:fldChar w:fldCharType="separate"/>
      </w:r>
      <w:r w:rsidR="00476FBF" w:rsidRPr="00634466">
        <w:t xml:space="preserve">Table </w:t>
      </w:r>
      <w:r w:rsidR="00476FBF">
        <w:rPr>
          <w:noProof/>
        </w:rPr>
        <w:t>5</w:t>
      </w:r>
      <w:r w:rsidR="00BB6961">
        <w:fldChar w:fldCharType="end"/>
      </w:r>
      <w:r w:rsidR="00B252C8">
        <w:t xml:space="preserve"> </w:t>
      </w:r>
      <w:r w:rsidR="00116B84" w:rsidRPr="00634466">
        <w:t>reveals the breakdown of government expenditures in each of the 3 sub-regions. Local government expenditures are relatively larger in GLA and RST, whereas the converse holds for ROS.</w:t>
      </w:r>
    </w:p>
    <w:p w:rsidR="00784F01" w:rsidRPr="00634466" w:rsidRDefault="00784F01" w:rsidP="0021722E">
      <w:pPr>
        <w:pStyle w:val="Caption"/>
      </w:pPr>
      <w:bookmarkStart w:id="40" w:name="_Ref289952285"/>
    </w:p>
    <w:p w:rsidR="00784F01" w:rsidRPr="00634466" w:rsidRDefault="00784F01" w:rsidP="0021722E">
      <w:pPr>
        <w:pStyle w:val="Caption"/>
      </w:pPr>
      <w:bookmarkStart w:id="41" w:name="_Ref431804512"/>
      <w:proofErr w:type="gramStart"/>
      <w:r w:rsidRPr="00634466">
        <w:t xml:space="preserve">Table </w:t>
      </w:r>
      <w:r w:rsidR="00BB6961" w:rsidRPr="00634466">
        <w:fldChar w:fldCharType="begin"/>
      </w:r>
      <w:r w:rsidR="004A1262" w:rsidRPr="00634466">
        <w:instrText xml:space="preserve"> SEQ Table \* ARABIC </w:instrText>
      </w:r>
      <w:r w:rsidR="00BB6961" w:rsidRPr="00634466">
        <w:fldChar w:fldCharType="separate"/>
      </w:r>
      <w:r w:rsidR="00476FBF">
        <w:rPr>
          <w:noProof/>
        </w:rPr>
        <w:t>5</w:t>
      </w:r>
      <w:r w:rsidR="00BB6961" w:rsidRPr="00634466">
        <w:rPr>
          <w:noProof/>
        </w:rPr>
        <w:fldChar w:fldCharType="end"/>
      </w:r>
      <w:bookmarkEnd w:id="40"/>
      <w:bookmarkEnd w:id="41"/>
      <w:r w:rsidRPr="00634466">
        <w:t xml:space="preserve"> Breakdown of central- and local government expenditures by IO region.</w:t>
      </w:r>
      <w:proofErr w:type="gramEnd"/>
    </w:p>
    <w:tbl>
      <w:tblPr>
        <w:tblW w:w="2990" w:type="dxa"/>
        <w:jc w:val="center"/>
        <w:tblInd w:w="108" w:type="dxa"/>
        <w:tblLook w:val="04A0"/>
      </w:tblPr>
      <w:tblGrid>
        <w:gridCol w:w="1356"/>
        <w:gridCol w:w="819"/>
        <w:gridCol w:w="815"/>
      </w:tblGrid>
      <w:tr w:rsidR="00784F01" w:rsidRPr="00634466" w:rsidTr="00BE533F">
        <w:trPr>
          <w:trHeight w:val="270"/>
          <w:jc w:val="center"/>
        </w:trPr>
        <w:tc>
          <w:tcPr>
            <w:tcW w:w="1356" w:type="dxa"/>
            <w:tcBorders>
              <w:top w:val="nil"/>
              <w:left w:val="nil"/>
              <w:bottom w:val="nil"/>
              <w:right w:val="nil"/>
            </w:tcBorders>
            <w:shd w:val="clear" w:color="auto" w:fill="auto"/>
            <w:noWrap/>
            <w:vAlign w:val="center"/>
            <w:hideMark/>
          </w:tcPr>
          <w:p w:rsidR="00784F01" w:rsidRPr="00634466" w:rsidRDefault="00FD55F7" w:rsidP="00FD55F7">
            <w:pPr>
              <w:spacing w:line="360" w:lineRule="auto"/>
              <w:rPr>
                <w:rFonts w:ascii="Calibri" w:hAnsi="Calibri" w:cs="Arial"/>
                <w:b/>
                <w:bCs/>
                <w:sz w:val="18"/>
                <w:szCs w:val="20"/>
              </w:rPr>
            </w:pPr>
            <w:r>
              <w:rPr>
                <w:rFonts w:ascii="Calibri" w:hAnsi="Calibri" w:cs="Arial"/>
                <w:b/>
                <w:bCs/>
                <w:sz w:val="18"/>
                <w:szCs w:val="20"/>
              </w:rPr>
              <w:t>Sub-</w:t>
            </w:r>
            <w:r w:rsidR="00784F01" w:rsidRPr="00634466">
              <w:rPr>
                <w:rFonts w:ascii="Calibri" w:hAnsi="Calibri" w:cs="Arial"/>
                <w:b/>
                <w:bCs/>
                <w:sz w:val="18"/>
                <w:szCs w:val="20"/>
              </w:rPr>
              <w:t>region</w:t>
            </w:r>
          </w:p>
        </w:tc>
        <w:tc>
          <w:tcPr>
            <w:tcW w:w="819" w:type="dxa"/>
            <w:tcBorders>
              <w:top w:val="nil"/>
              <w:left w:val="nil"/>
              <w:bottom w:val="nil"/>
              <w:right w:val="nil"/>
            </w:tcBorders>
            <w:shd w:val="clear" w:color="auto" w:fill="auto"/>
            <w:vAlign w:val="center"/>
            <w:hideMark/>
          </w:tcPr>
          <w:p w:rsidR="00784F01" w:rsidRPr="00634466" w:rsidRDefault="00784F01" w:rsidP="00BE533F">
            <w:pPr>
              <w:spacing w:line="360" w:lineRule="auto"/>
              <w:jc w:val="center"/>
              <w:rPr>
                <w:rFonts w:ascii="Calibri" w:hAnsi="Calibri" w:cs="Arial"/>
                <w:b/>
                <w:bCs/>
                <w:sz w:val="18"/>
                <w:szCs w:val="20"/>
              </w:rPr>
            </w:pPr>
            <w:r w:rsidRPr="00634466">
              <w:rPr>
                <w:rFonts w:ascii="Calibri" w:hAnsi="Calibri" w:cs="Arial"/>
                <w:b/>
                <w:bCs/>
                <w:sz w:val="18"/>
                <w:szCs w:val="20"/>
              </w:rPr>
              <w:t>Central</w:t>
            </w:r>
          </w:p>
        </w:tc>
        <w:tc>
          <w:tcPr>
            <w:tcW w:w="815" w:type="dxa"/>
            <w:tcBorders>
              <w:top w:val="nil"/>
              <w:left w:val="nil"/>
              <w:bottom w:val="nil"/>
              <w:right w:val="nil"/>
            </w:tcBorders>
            <w:shd w:val="clear" w:color="auto" w:fill="auto"/>
            <w:vAlign w:val="center"/>
            <w:hideMark/>
          </w:tcPr>
          <w:p w:rsidR="00784F01" w:rsidRPr="00634466" w:rsidRDefault="00784F01" w:rsidP="00BE533F">
            <w:pPr>
              <w:spacing w:line="360" w:lineRule="auto"/>
              <w:jc w:val="center"/>
              <w:rPr>
                <w:rFonts w:ascii="Calibri" w:hAnsi="Calibri" w:cs="Arial"/>
                <w:b/>
                <w:bCs/>
                <w:sz w:val="18"/>
                <w:szCs w:val="20"/>
              </w:rPr>
            </w:pPr>
            <w:r w:rsidRPr="00634466">
              <w:rPr>
                <w:rFonts w:ascii="Calibri" w:hAnsi="Calibri" w:cs="Arial"/>
                <w:b/>
                <w:bCs/>
                <w:sz w:val="18"/>
                <w:szCs w:val="20"/>
              </w:rPr>
              <w:t>Local</w:t>
            </w:r>
          </w:p>
        </w:tc>
      </w:tr>
      <w:tr w:rsidR="00784F01" w:rsidRPr="00634466" w:rsidTr="00BE533F">
        <w:trPr>
          <w:trHeight w:val="255"/>
          <w:jc w:val="center"/>
        </w:trPr>
        <w:tc>
          <w:tcPr>
            <w:tcW w:w="1356" w:type="dxa"/>
            <w:tcBorders>
              <w:top w:val="single" w:sz="8" w:space="0" w:color="auto"/>
              <w:left w:val="nil"/>
              <w:bottom w:val="nil"/>
              <w:right w:val="nil"/>
            </w:tcBorders>
            <w:shd w:val="clear" w:color="auto" w:fill="auto"/>
            <w:vAlign w:val="center"/>
            <w:hideMark/>
          </w:tcPr>
          <w:p w:rsidR="00784F01" w:rsidRPr="00634466" w:rsidRDefault="00784F01" w:rsidP="00BE533F">
            <w:pPr>
              <w:spacing w:line="360" w:lineRule="auto"/>
              <w:rPr>
                <w:rFonts w:ascii="Calibri" w:hAnsi="Calibri" w:cs="Arial"/>
                <w:b/>
                <w:bCs/>
                <w:sz w:val="18"/>
                <w:szCs w:val="20"/>
              </w:rPr>
            </w:pPr>
            <w:r w:rsidRPr="00634466">
              <w:rPr>
                <w:rFonts w:ascii="Calibri" w:hAnsi="Calibri" w:cs="Arial"/>
                <w:b/>
                <w:bCs/>
                <w:sz w:val="18"/>
                <w:szCs w:val="20"/>
              </w:rPr>
              <w:t>GLA</w:t>
            </w:r>
          </w:p>
        </w:tc>
        <w:tc>
          <w:tcPr>
            <w:tcW w:w="819" w:type="dxa"/>
            <w:tcBorders>
              <w:top w:val="single" w:sz="8" w:space="0" w:color="auto"/>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17.1%</w:t>
            </w:r>
          </w:p>
        </w:tc>
        <w:tc>
          <w:tcPr>
            <w:tcW w:w="815" w:type="dxa"/>
            <w:tcBorders>
              <w:top w:val="single" w:sz="8" w:space="0" w:color="auto"/>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19.1%</w:t>
            </w:r>
          </w:p>
        </w:tc>
      </w:tr>
      <w:tr w:rsidR="00784F01" w:rsidRPr="00634466" w:rsidTr="00BE533F">
        <w:trPr>
          <w:trHeight w:val="255"/>
          <w:jc w:val="center"/>
        </w:trPr>
        <w:tc>
          <w:tcPr>
            <w:tcW w:w="1356" w:type="dxa"/>
            <w:tcBorders>
              <w:top w:val="nil"/>
              <w:left w:val="nil"/>
              <w:bottom w:val="nil"/>
              <w:right w:val="nil"/>
            </w:tcBorders>
            <w:shd w:val="clear" w:color="auto" w:fill="auto"/>
            <w:vAlign w:val="center"/>
            <w:hideMark/>
          </w:tcPr>
          <w:p w:rsidR="00784F01" w:rsidRPr="00634466" w:rsidRDefault="00784F01" w:rsidP="00BE533F">
            <w:pPr>
              <w:spacing w:line="360" w:lineRule="auto"/>
              <w:rPr>
                <w:rFonts w:ascii="Calibri" w:hAnsi="Calibri" w:cs="Arial"/>
                <w:b/>
                <w:bCs/>
                <w:sz w:val="18"/>
                <w:szCs w:val="20"/>
              </w:rPr>
            </w:pPr>
            <w:r w:rsidRPr="00634466">
              <w:rPr>
                <w:rFonts w:ascii="Calibri" w:hAnsi="Calibri" w:cs="Arial"/>
                <w:b/>
                <w:bCs/>
                <w:sz w:val="18"/>
                <w:szCs w:val="20"/>
              </w:rPr>
              <w:t>RST</w:t>
            </w:r>
          </w:p>
        </w:tc>
        <w:tc>
          <w:tcPr>
            <w:tcW w:w="819" w:type="dxa"/>
            <w:tcBorders>
              <w:top w:val="nil"/>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23.2%</w:t>
            </w:r>
          </w:p>
        </w:tc>
        <w:tc>
          <w:tcPr>
            <w:tcW w:w="815" w:type="dxa"/>
            <w:tcBorders>
              <w:top w:val="nil"/>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25.9%</w:t>
            </w:r>
          </w:p>
        </w:tc>
      </w:tr>
      <w:tr w:rsidR="00784F01" w:rsidRPr="00634466" w:rsidTr="00BE533F">
        <w:trPr>
          <w:trHeight w:val="270"/>
          <w:jc w:val="center"/>
        </w:trPr>
        <w:tc>
          <w:tcPr>
            <w:tcW w:w="1356" w:type="dxa"/>
            <w:tcBorders>
              <w:top w:val="nil"/>
              <w:left w:val="nil"/>
              <w:bottom w:val="single" w:sz="8" w:space="0" w:color="auto"/>
              <w:right w:val="nil"/>
            </w:tcBorders>
            <w:shd w:val="clear" w:color="auto" w:fill="auto"/>
            <w:vAlign w:val="center"/>
            <w:hideMark/>
          </w:tcPr>
          <w:p w:rsidR="00784F01" w:rsidRPr="00634466" w:rsidRDefault="00784F01" w:rsidP="00BE533F">
            <w:pPr>
              <w:spacing w:line="360" w:lineRule="auto"/>
              <w:rPr>
                <w:rFonts w:ascii="Calibri" w:hAnsi="Calibri" w:cs="Arial"/>
                <w:b/>
                <w:bCs/>
                <w:sz w:val="18"/>
                <w:szCs w:val="20"/>
              </w:rPr>
            </w:pPr>
            <w:r w:rsidRPr="00634466">
              <w:rPr>
                <w:rFonts w:ascii="Calibri" w:hAnsi="Calibri" w:cs="Arial"/>
                <w:b/>
                <w:bCs/>
                <w:sz w:val="18"/>
                <w:szCs w:val="20"/>
              </w:rPr>
              <w:t>ROS</w:t>
            </w:r>
          </w:p>
        </w:tc>
        <w:tc>
          <w:tcPr>
            <w:tcW w:w="819" w:type="dxa"/>
            <w:tcBorders>
              <w:top w:val="nil"/>
              <w:left w:val="nil"/>
              <w:bottom w:val="single" w:sz="8" w:space="0" w:color="auto"/>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59.7%</w:t>
            </w:r>
          </w:p>
        </w:tc>
        <w:tc>
          <w:tcPr>
            <w:tcW w:w="815" w:type="dxa"/>
            <w:tcBorders>
              <w:top w:val="nil"/>
              <w:left w:val="nil"/>
              <w:bottom w:val="single" w:sz="8" w:space="0" w:color="auto"/>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55.1%</w:t>
            </w:r>
          </w:p>
        </w:tc>
      </w:tr>
      <w:tr w:rsidR="00784F01" w:rsidRPr="00634466" w:rsidTr="00BE533F">
        <w:trPr>
          <w:trHeight w:val="255"/>
          <w:jc w:val="center"/>
        </w:trPr>
        <w:tc>
          <w:tcPr>
            <w:tcW w:w="1356" w:type="dxa"/>
            <w:tcBorders>
              <w:top w:val="nil"/>
              <w:left w:val="nil"/>
              <w:bottom w:val="nil"/>
              <w:right w:val="nil"/>
            </w:tcBorders>
            <w:shd w:val="clear" w:color="auto" w:fill="auto"/>
            <w:vAlign w:val="center"/>
            <w:hideMark/>
          </w:tcPr>
          <w:p w:rsidR="00784F01" w:rsidRPr="00634466" w:rsidRDefault="00FD55F7" w:rsidP="00FD55F7">
            <w:pPr>
              <w:spacing w:line="360" w:lineRule="auto"/>
              <w:rPr>
                <w:rFonts w:ascii="Calibri" w:hAnsi="Calibri" w:cs="Arial"/>
                <w:b/>
                <w:bCs/>
                <w:sz w:val="18"/>
                <w:szCs w:val="20"/>
              </w:rPr>
            </w:pPr>
            <w:r>
              <w:rPr>
                <w:rFonts w:ascii="Calibri" w:hAnsi="Calibri" w:cs="Arial"/>
                <w:b/>
                <w:bCs/>
                <w:sz w:val="18"/>
                <w:szCs w:val="20"/>
              </w:rPr>
              <w:t>T</w:t>
            </w:r>
            <w:r w:rsidR="00784F01" w:rsidRPr="00634466">
              <w:rPr>
                <w:rFonts w:ascii="Calibri" w:hAnsi="Calibri" w:cs="Arial"/>
                <w:b/>
                <w:bCs/>
                <w:sz w:val="18"/>
                <w:szCs w:val="20"/>
              </w:rPr>
              <w:t>otal</w:t>
            </w:r>
          </w:p>
        </w:tc>
        <w:tc>
          <w:tcPr>
            <w:tcW w:w="819" w:type="dxa"/>
            <w:tcBorders>
              <w:top w:val="nil"/>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100.0%</w:t>
            </w:r>
          </w:p>
        </w:tc>
        <w:tc>
          <w:tcPr>
            <w:tcW w:w="815" w:type="dxa"/>
            <w:tcBorders>
              <w:top w:val="nil"/>
              <w:left w:val="nil"/>
              <w:bottom w:val="nil"/>
              <w:right w:val="nil"/>
            </w:tcBorders>
            <w:shd w:val="clear" w:color="auto" w:fill="auto"/>
            <w:noWrap/>
            <w:vAlign w:val="center"/>
            <w:hideMark/>
          </w:tcPr>
          <w:p w:rsidR="00784F01" w:rsidRPr="00634466" w:rsidRDefault="00784F01" w:rsidP="00BE533F">
            <w:pPr>
              <w:spacing w:line="360" w:lineRule="auto"/>
              <w:jc w:val="center"/>
              <w:rPr>
                <w:rFonts w:ascii="Calibri" w:hAnsi="Calibri" w:cs="Arial"/>
                <w:sz w:val="18"/>
                <w:szCs w:val="20"/>
              </w:rPr>
            </w:pPr>
            <w:r w:rsidRPr="00634466">
              <w:rPr>
                <w:rFonts w:ascii="Calibri" w:hAnsi="Calibri" w:cs="Arial"/>
                <w:sz w:val="18"/>
                <w:szCs w:val="20"/>
              </w:rPr>
              <w:t>100.0%</w:t>
            </w:r>
          </w:p>
        </w:tc>
      </w:tr>
    </w:tbl>
    <w:p w:rsidR="00116B84" w:rsidRDefault="00116B84" w:rsidP="00116B84"/>
    <w:p w:rsidR="00784F01" w:rsidRPr="00634466" w:rsidRDefault="00784F01" w:rsidP="00784F01">
      <w:pPr>
        <w:pStyle w:val="Heading3"/>
        <w:numPr>
          <w:ilvl w:val="2"/>
          <w:numId w:val="6"/>
        </w:numPr>
        <w:spacing w:line="480" w:lineRule="auto"/>
      </w:pPr>
      <w:r w:rsidRPr="00634466">
        <w:t>NPISHs, Tourist Demand and Gross Capital Formation</w:t>
      </w:r>
    </w:p>
    <w:p w:rsidR="00784F01" w:rsidRPr="00634466" w:rsidRDefault="00784F01" w:rsidP="00784F01">
      <w:pPr>
        <w:spacing w:line="480" w:lineRule="auto"/>
      </w:pPr>
      <w:r w:rsidRPr="00634466">
        <w:t>For the disaggregation of the q final demand categories NPISHs (Non Profit Institutions Serving Households), Tourist Demand and the Gross Capital Formation</w:t>
      </w:r>
      <w:r w:rsidR="00E6350F">
        <w:t xml:space="preserve"> i</w:t>
      </w:r>
      <w:r w:rsidRPr="00634466">
        <w:t>t is assumed that demand for each sector is proportional to the share of total employment in that sector found in each sub-region, such that:</w:t>
      </w:r>
    </w:p>
    <w:p w:rsidR="00784F01" w:rsidRPr="00634466" w:rsidRDefault="00BB6961" w:rsidP="00784F01">
      <w:pPr>
        <w:spacing w:line="480" w:lineRule="auto"/>
        <w:jc w:val="center"/>
        <w:rPr>
          <w:rFonts w:eastAsiaTheme="minorEastAsia"/>
        </w:rPr>
      </w:pPr>
      <m:oMathPara>
        <m:oMath>
          <m:sSubSup>
            <m:sSubSupPr>
              <m:ctrlPr>
                <w:rPr>
                  <w:rFonts w:ascii="Cambria Math" w:hAnsi="Cambria Math"/>
                  <w:i/>
                </w:rPr>
              </m:ctrlPr>
            </m:sSubSupPr>
            <m:e>
              <m:r>
                <w:rPr>
                  <w:rFonts w:ascii="Cambria Math" w:hAnsi="Cambria Math"/>
                </w:rPr>
                <m:t>f</m:t>
              </m:r>
            </m:e>
            <m:sub>
              <m:r>
                <w:rPr>
                  <w:rFonts w:ascii="Cambria Math" w:hAnsi="Cambria Math"/>
                </w:rPr>
                <m:t>qi</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qi</m:t>
              </m:r>
            </m:sub>
            <m:sup>
              <m:r>
                <w:rPr>
                  <w:rFonts w:ascii="Cambria Math" w:hAnsi="Cambria Math"/>
                </w:rPr>
                <m:t>N</m:t>
              </m:r>
            </m:sup>
          </m:sSubSup>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L</m:t>
                      </m:r>
                    </m:sup>
                  </m:sSubSup>
                </m:num>
                <m:den>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den>
              </m:f>
            </m:e>
          </m:d>
        </m:oMath>
      </m:oMathPara>
    </w:p>
    <w:p w:rsidR="00784F01" w:rsidRPr="00634466" w:rsidRDefault="00784F01" w:rsidP="00784F01">
      <w:pPr>
        <w:spacing w:line="480" w:lineRule="auto"/>
      </w:pPr>
      <w:proofErr w:type="gramStart"/>
      <w:r w:rsidRPr="00634466">
        <w:t>where</w:t>
      </w:r>
      <w:proofErr w:type="gramEnd"/>
      <w:r w:rsidRPr="00634466">
        <w:t xml:space="preserve"> </w:t>
      </w:r>
      <m:oMath>
        <m:sSubSup>
          <m:sSubSupPr>
            <m:ctrlPr>
              <w:rPr>
                <w:rFonts w:ascii="Cambria Math" w:hAnsi="Cambria Math"/>
                <w:i/>
              </w:rPr>
            </m:ctrlPr>
          </m:sSubSupPr>
          <m:e>
            <m:r>
              <w:rPr>
                <w:rFonts w:ascii="Cambria Math" w:hAnsi="Cambria Math"/>
              </w:rPr>
              <m:t>F</m:t>
            </m:r>
          </m:e>
          <m:sub>
            <m:r>
              <w:rPr>
                <w:rFonts w:ascii="Cambria Math" w:hAnsi="Cambria Math"/>
              </w:rPr>
              <m:t>qi</m:t>
            </m:r>
          </m:sub>
          <m:sup>
            <m:r>
              <w:rPr>
                <w:rFonts w:ascii="Cambria Math" w:hAnsi="Cambria Math"/>
              </w:rPr>
              <m:t>L</m:t>
            </m:r>
          </m:sup>
        </m:sSubSup>
      </m:oMath>
      <w:r w:rsidRPr="00634466">
        <w:t xml:space="preserve"> is a final demand of category q, for sector </w:t>
      </w:r>
      <w:proofErr w:type="spellStart"/>
      <w:r w:rsidRPr="00634466">
        <w:rPr>
          <w:i/>
        </w:rPr>
        <w:t>i</w:t>
      </w:r>
      <w:proofErr w:type="spellEnd"/>
      <w:r w:rsidRPr="00634466">
        <w:rPr>
          <w:i/>
        </w:rPr>
        <w:t xml:space="preserve">, </w:t>
      </w:r>
      <w:r w:rsidRPr="00634466">
        <w:t xml:space="preserve">in region L; </w:t>
      </w:r>
      <m:oMath>
        <m:sSubSup>
          <m:sSubSupPr>
            <m:ctrlPr>
              <w:rPr>
                <w:rFonts w:ascii="Cambria Math" w:hAnsi="Cambria Math"/>
                <w:i/>
              </w:rPr>
            </m:ctrlPr>
          </m:sSubSupPr>
          <m:e>
            <m:r>
              <w:rPr>
                <w:rFonts w:ascii="Cambria Math" w:hAnsi="Cambria Math"/>
              </w:rPr>
              <m:t>F</m:t>
            </m:r>
          </m:e>
          <m:sub>
            <m:r>
              <w:rPr>
                <w:rFonts w:ascii="Cambria Math" w:hAnsi="Cambria Math"/>
              </w:rPr>
              <m:t>qi</m:t>
            </m:r>
          </m:sub>
          <m:sup>
            <m:r>
              <w:rPr>
                <w:rFonts w:ascii="Cambria Math" w:hAnsi="Cambria Math"/>
              </w:rPr>
              <m:t>N</m:t>
            </m:r>
          </m:sup>
        </m:sSubSup>
      </m:oMath>
      <w:r w:rsidRPr="00634466">
        <w:t xml:space="preserve"> is the final demand of category q, for sector </w:t>
      </w:r>
      <w:proofErr w:type="spellStart"/>
      <w:r w:rsidRPr="00634466">
        <w:rPr>
          <w:i/>
        </w:rPr>
        <w:t>i</w:t>
      </w:r>
      <w:proofErr w:type="spellEnd"/>
      <w:r w:rsidRPr="00634466">
        <w:rPr>
          <w:i/>
        </w:rPr>
        <w:t xml:space="preserve">, </w:t>
      </w:r>
      <w:r w:rsidRPr="00634466">
        <w:t>in Scotland as a whole (</w:t>
      </w:r>
      <w:r w:rsidRPr="00634466">
        <w:rPr>
          <w:i/>
        </w:rPr>
        <w:t>N</w:t>
      </w:r>
      <w:r w:rsidRPr="00634466">
        <w:t>);</w:t>
      </w:r>
      <m:oMath>
        <m:r>
          <w:rPr>
            <w:rFonts w:ascii="Cambria Math" w:hAnsi="Cambria Math"/>
          </w:rPr>
          <m:t xml:space="preserve"> </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L</m:t>
            </m:r>
          </m:sup>
        </m:sSubSup>
      </m:oMath>
      <w:r w:rsidRPr="00634466">
        <w:t xml:space="preserve"> is the FTE employment in sector </w:t>
      </w:r>
      <w:proofErr w:type="spellStart"/>
      <w:r w:rsidRPr="00634466">
        <w:rPr>
          <w:i/>
        </w:rPr>
        <w:t>i</w:t>
      </w:r>
      <w:proofErr w:type="spellEnd"/>
      <w:r w:rsidRPr="00634466">
        <w:rPr>
          <w:i/>
        </w:rPr>
        <w:t xml:space="preserve">, </w:t>
      </w:r>
      <w:r w:rsidRPr="00634466">
        <w:t>in region L;</w:t>
      </w:r>
      <w:r w:rsidRPr="00634466">
        <w:rPr>
          <w:i/>
        </w:rPr>
        <w:t xml:space="preserve"> </w:t>
      </w:r>
      <w:r w:rsidRPr="00634466">
        <w:t xml:space="preserve">and </w:t>
      </w:r>
      <m:oMath>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N</m:t>
            </m:r>
          </m:sup>
        </m:sSubSup>
      </m:oMath>
      <w:r w:rsidRPr="00634466">
        <w:t xml:space="preserve"> is the FTE employment, in sector </w:t>
      </w:r>
      <w:proofErr w:type="spellStart"/>
      <w:r w:rsidRPr="00634466">
        <w:rPr>
          <w:i/>
        </w:rPr>
        <w:t>i</w:t>
      </w:r>
      <w:proofErr w:type="spellEnd"/>
      <w:r w:rsidRPr="00634466">
        <w:t>,</w:t>
      </w:r>
      <w:r w:rsidRPr="00634466">
        <w:rPr>
          <w:i/>
        </w:rPr>
        <w:t xml:space="preserve"> </w:t>
      </w:r>
      <w:r w:rsidRPr="00634466">
        <w:t>in Scotland as a whole (</w:t>
      </w:r>
      <w:r w:rsidRPr="00634466">
        <w:rPr>
          <w:i/>
        </w:rPr>
        <w:t>N</w:t>
      </w:r>
      <w:r w:rsidRPr="00634466">
        <w:t>).</w:t>
      </w:r>
    </w:p>
    <w:p w:rsidR="00784F01" w:rsidRPr="00634466" w:rsidRDefault="00784F01" w:rsidP="00784F01">
      <w:pPr>
        <w:pStyle w:val="Heading3"/>
        <w:numPr>
          <w:ilvl w:val="2"/>
          <w:numId w:val="6"/>
        </w:numPr>
        <w:spacing w:line="480" w:lineRule="auto"/>
      </w:pPr>
      <w:r w:rsidRPr="00634466">
        <w:t>Exports and balancing</w:t>
      </w:r>
    </w:p>
    <w:p w:rsidR="00784F01" w:rsidRPr="00634466" w:rsidRDefault="00784F01" w:rsidP="00784F01">
      <w:pPr>
        <w:spacing w:line="480" w:lineRule="auto"/>
      </w:pPr>
      <w:r w:rsidRPr="00634466">
        <w:t>As the 3-region table is a disaggregat</w:t>
      </w:r>
      <w:r w:rsidR="008A521D">
        <w:t xml:space="preserve">ion of the balanced Scottish IO </w:t>
      </w:r>
      <w:r w:rsidRPr="00634466">
        <w:t>table</w:t>
      </w:r>
      <w:r w:rsidR="00E6350F">
        <w:t>,</w:t>
      </w:r>
      <w:r w:rsidRPr="00634466">
        <w:t xml:space="preserve"> it should by definition balance if constrained to each sector’s row and column total. Therefore there is no need to apply an </w:t>
      </w:r>
      <w:r w:rsidR="00E6350F">
        <w:t xml:space="preserve">adjustment procedure, as the IO </w:t>
      </w:r>
      <w:r w:rsidRPr="00634466">
        <w:t>table conforms to the accounting identity that column sum must equal row sums. As there is least information available for spatial distribution of RUK and ROW exports this is chosen</w:t>
      </w:r>
      <w:r w:rsidR="00893EB9">
        <w:t xml:space="preserve"> as a balancing row. </w:t>
      </w:r>
      <w:r w:rsidR="001B60F2" w:rsidRPr="00634466">
        <w:t>T</w:t>
      </w:r>
      <w:r w:rsidRPr="00634466">
        <w:t xml:space="preserve">he total exports of sector </w:t>
      </w:r>
      <w:proofErr w:type="spellStart"/>
      <w:r w:rsidRPr="00634466">
        <w:rPr>
          <w:i/>
        </w:rPr>
        <w:t>i</w:t>
      </w:r>
      <w:proofErr w:type="spellEnd"/>
      <w:r w:rsidRPr="00634466">
        <w:rPr>
          <w:i/>
        </w:rPr>
        <w:t xml:space="preserve"> </w:t>
      </w:r>
      <w:r w:rsidRPr="00634466">
        <w:t xml:space="preserve">in region </w:t>
      </w:r>
      <w:r w:rsidRPr="00634466">
        <w:rPr>
          <w:i/>
        </w:rPr>
        <w:t>r</w:t>
      </w:r>
      <w:r w:rsidRPr="00634466">
        <w:t xml:space="preserve"> is determined as that sector’s estimated gross output, less intermediate demand and less all the final demands estimated so far (i.e. everything but exports). This estimate for total exports is then attributed to RUK and ROW exports</w:t>
      </w:r>
      <w:r w:rsidR="001B60F2" w:rsidRPr="00634466">
        <w:t>,</w:t>
      </w:r>
      <w:r w:rsidRPr="00634466">
        <w:t xml:space="preserve"> </w:t>
      </w:r>
      <w:r w:rsidR="001B60F2" w:rsidRPr="00634466">
        <w:t>using weights</w:t>
      </w:r>
      <w:r w:rsidRPr="00634466">
        <w:t xml:space="preserve"> for RUK and ROW exports for sector </w:t>
      </w:r>
      <w:proofErr w:type="spellStart"/>
      <w:r w:rsidR="00E6350F">
        <w:rPr>
          <w:i/>
        </w:rPr>
        <w:t>i</w:t>
      </w:r>
      <w:proofErr w:type="spellEnd"/>
      <w:r w:rsidR="001B60F2" w:rsidRPr="00634466">
        <w:rPr>
          <w:i/>
        </w:rPr>
        <w:t xml:space="preserve">, </w:t>
      </w:r>
      <w:r w:rsidR="001B60F2" w:rsidRPr="00634466">
        <w:t>based on the Scottish IO table</w:t>
      </w:r>
      <w:r w:rsidR="001B60F2" w:rsidRPr="00634466">
        <w:rPr>
          <w:rStyle w:val="FootnoteReference"/>
        </w:rPr>
        <w:footnoteReference w:id="10"/>
      </w:r>
      <w:r w:rsidRPr="00634466">
        <w:t>. This concludes the disaggregation process.</w:t>
      </w:r>
      <w:bookmarkStart w:id="42" w:name="_Toc196023728"/>
      <w:bookmarkStart w:id="43" w:name="_Toc206215726"/>
      <w:bookmarkStart w:id="44" w:name="_Toc224371061"/>
    </w:p>
    <w:p w:rsidR="00784F01" w:rsidRPr="00634466" w:rsidRDefault="00784F01" w:rsidP="00784F01">
      <w:pPr>
        <w:pStyle w:val="Heading2"/>
        <w:numPr>
          <w:ilvl w:val="1"/>
          <w:numId w:val="6"/>
        </w:numPr>
        <w:spacing w:line="480" w:lineRule="auto"/>
      </w:pPr>
      <w:bookmarkStart w:id="45" w:name="_Ref424219271"/>
      <w:bookmarkEnd w:id="42"/>
      <w:bookmarkEnd w:id="43"/>
      <w:bookmarkEnd w:id="44"/>
      <w:r w:rsidRPr="00634466">
        <w:t>3-re</w:t>
      </w:r>
      <w:r w:rsidR="008A521D">
        <w:t xml:space="preserve">gion IO </w:t>
      </w:r>
      <w:r w:rsidRPr="00634466">
        <w:t>table</w:t>
      </w:r>
      <w:bookmarkEnd w:id="45"/>
    </w:p>
    <w:p w:rsidR="00B12FF4" w:rsidRPr="00634466" w:rsidRDefault="00784F01" w:rsidP="00E9258A">
      <w:pPr>
        <w:spacing w:line="480" w:lineRule="auto"/>
      </w:pPr>
      <w:r w:rsidRPr="00634466">
        <w:t>The interregional multipliers are shown in a disaggregated format in</w:t>
      </w:r>
      <w:r w:rsidR="00AA52F9" w:rsidRPr="00634466">
        <w:t xml:space="preserve"> </w:t>
      </w:r>
      <w:fldSimple w:instr=" REF _Ref354997970 \h  \* MERGEFORMAT ">
        <w:r w:rsidR="00476FBF" w:rsidRPr="00634466">
          <w:t xml:space="preserve">Table </w:t>
        </w:r>
        <w:r w:rsidR="00476FBF">
          <w:t>6</w:t>
        </w:r>
      </w:fldSimple>
      <w:r w:rsidRPr="00634466">
        <w:t>. The multipliers reveal the direct effect upon the host region and the kno</w:t>
      </w:r>
      <w:r w:rsidR="00E6350F">
        <w:t xml:space="preserve">ck-on effects for each of the 3 </w:t>
      </w:r>
      <w:r w:rsidRPr="00634466">
        <w:t>regions and Scotland as a whole. For ex</w:t>
      </w:r>
      <w:r w:rsidR="00E6350F">
        <w:t>ample, for Public administration</w:t>
      </w:r>
      <w:r w:rsidRPr="00634466">
        <w:t xml:space="preserve"> in Glasgow</w:t>
      </w:r>
      <w:r w:rsidR="00031C4E" w:rsidRPr="00634466">
        <w:t xml:space="preserve"> the total Scotland-wide Type I</w:t>
      </w:r>
      <w:r w:rsidRPr="00634466">
        <w:t xml:space="preserve"> output multiplier</w:t>
      </w:r>
      <w:r w:rsidR="00E6350F">
        <w:t xml:space="preserve"> is 1.43</w:t>
      </w:r>
      <w:r w:rsidRPr="00634466">
        <w:t xml:space="preserve">. This is composed of the direct </w:t>
      </w:r>
      <w:r w:rsidR="00031C4E" w:rsidRPr="00634466">
        <w:t>impact</w:t>
      </w:r>
      <w:r w:rsidRPr="00634466">
        <w:t xml:space="preserve"> upon the host region GLA (1) in addition</w:t>
      </w:r>
      <w:r w:rsidR="00031C4E" w:rsidRPr="00634466">
        <w:t xml:space="preserve"> to</w:t>
      </w:r>
      <w:r w:rsidR="00E6350F">
        <w:t xml:space="preserve"> indirect impacts upon GLA (0.10), RST (0.10) and ROS (0.23</w:t>
      </w:r>
      <w:r w:rsidRPr="00634466">
        <w:t>).</w:t>
      </w:r>
      <w:r w:rsidR="00031C4E" w:rsidRPr="00634466">
        <w:t xml:space="preserve"> In this case </w:t>
      </w:r>
      <w:r w:rsidR="00E6350F">
        <w:t>mor</w:t>
      </w:r>
      <w:r w:rsidR="00301583">
        <w:t xml:space="preserve">e </w:t>
      </w:r>
      <w:r w:rsidR="00E6350F">
        <w:t xml:space="preserve">than three quarters of </w:t>
      </w:r>
      <w:r w:rsidR="00031C4E" w:rsidRPr="00634466">
        <w:t>the indirect impacts are incurred outside the host region. Conversely, some sectors are much more locally contain</w:t>
      </w:r>
      <w:r w:rsidR="005F12E5" w:rsidRPr="00634466">
        <w:t>ed. For instance Finance &amp; Business</w:t>
      </w:r>
      <w:r w:rsidR="00031C4E" w:rsidRPr="00634466">
        <w:t xml:space="preserve"> in ROS, </w:t>
      </w:r>
      <w:r w:rsidR="00407C8C" w:rsidRPr="00634466">
        <w:t>where the total indirect impacts amount to 0.</w:t>
      </w:r>
      <w:r w:rsidR="005F12E5" w:rsidRPr="00634466">
        <w:t>37</w:t>
      </w:r>
      <w:r w:rsidR="00407C8C" w:rsidRPr="00634466">
        <w:t xml:space="preserve">, of which </w:t>
      </w:r>
      <w:r w:rsidR="005F12E5" w:rsidRPr="00634466">
        <w:t xml:space="preserve">approximately three quarters </w:t>
      </w:r>
      <w:r w:rsidR="00407C8C" w:rsidRPr="00634466">
        <w:t>are incurred locally.</w:t>
      </w:r>
      <w:r w:rsidR="003F513B" w:rsidRPr="00634466">
        <w:t xml:space="preserve"> </w:t>
      </w:r>
      <w:r w:rsidR="00D477A9" w:rsidRPr="00634466">
        <w:t>When c</w:t>
      </w:r>
      <w:r w:rsidR="003F513B" w:rsidRPr="00634466">
        <w:t>ombined</w:t>
      </w:r>
      <w:r w:rsidR="00D477A9" w:rsidRPr="00634466">
        <w:t>,</w:t>
      </w:r>
      <w:r w:rsidR="003F513B" w:rsidRPr="00634466">
        <w:t xml:space="preserve"> the effects on </w:t>
      </w:r>
      <w:r w:rsidR="003F513B" w:rsidRPr="00634466">
        <w:lastRenderedPageBreak/>
        <w:t>individual regions add up to the multiplier for Scotland as a whole (SCO)</w:t>
      </w:r>
      <w:r w:rsidR="00D477A9" w:rsidRPr="00634466">
        <w:rPr>
          <w:rStyle w:val="FootnoteReference"/>
        </w:rPr>
        <w:t xml:space="preserve"> </w:t>
      </w:r>
      <w:r w:rsidR="00D477A9" w:rsidRPr="00634466">
        <w:rPr>
          <w:rStyle w:val="FootnoteReference"/>
        </w:rPr>
        <w:footnoteReference w:id="11"/>
      </w:r>
      <w:r w:rsidR="003F513B" w:rsidRPr="00634466">
        <w:t xml:space="preserve">. </w:t>
      </w:r>
      <w:r w:rsidR="00E9258A" w:rsidRPr="00634466">
        <w:t xml:space="preserve"> </w:t>
      </w:r>
      <w:r w:rsidRPr="00634466">
        <w:t>From the multipliers, it is clear that interregional intermediate trade (indirec</w:t>
      </w:r>
      <w:r w:rsidR="008A521D">
        <w:t xml:space="preserve">t effects as gauged by the Type </w:t>
      </w:r>
      <w:r w:rsidRPr="00634466">
        <w:t>I multiplier) drives significant spill-over effects, but that this varies across sectors and sub-regions.</w:t>
      </w:r>
      <w:r w:rsidR="000B1715" w:rsidRPr="00634466">
        <w:t xml:space="preserve"> </w:t>
      </w:r>
      <w:r w:rsidR="008A521D">
        <w:t xml:space="preserve">Type </w:t>
      </w:r>
      <w:r w:rsidR="00E9258A" w:rsidRPr="00634466">
        <w:t>II multipliers additionally account for induced effects. These are calculated u</w:t>
      </w:r>
      <w:r w:rsidR="00937DA3" w:rsidRPr="00634466">
        <w:t>sing the standard approach, as outlined in Miller and Blair (2009, p. 34-41)</w:t>
      </w:r>
      <w:r w:rsidR="00D03B59" w:rsidRPr="00634466">
        <w:t xml:space="preserve"> </w:t>
      </w:r>
      <w:r w:rsidR="00E9258A" w:rsidRPr="00634466">
        <w:t xml:space="preserve">imposing </w:t>
      </w:r>
      <w:r w:rsidR="00611F0E" w:rsidRPr="00634466">
        <w:t>a 1-for-1 relationship between w</w:t>
      </w:r>
      <w:r w:rsidR="000B1715" w:rsidRPr="00634466">
        <w:t>age income</w:t>
      </w:r>
      <w:r w:rsidR="00D03B59" w:rsidRPr="00634466">
        <w:t xml:space="preserve"> and consumptio</w:t>
      </w:r>
      <w:r w:rsidR="00E9258A" w:rsidRPr="00634466">
        <w:t>n.</w:t>
      </w:r>
    </w:p>
    <w:p w:rsidR="00E9258A" w:rsidRPr="00634466" w:rsidRDefault="00E9258A" w:rsidP="00E9258A">
      <w:pPr>
        <w:spacing w:line="480" w:lineRule="auto"/>
      </w:pPr>
    </w:p>
    <w:p w:rsidR="00AA52F9" w:rsidRPr="00634466" w:rsidRDefault="00AA52F9" w:rsidP="0021722E">
      <w:pPr>
        <w:pStyle w:val="Caption"/>
      </w:pPr>
      <w:bookmarkStart w:id="46" w:name="_Ref354997970"/>
      <w:r w:rsidRPr="00634466">
        <w:t xml:space="preserve">Table </w:t>
      </w:r>
      <w:r w:rsidR="00BB6961" w:rsidRPr="00634466">
        <w:fldChar w:fldCharType="begin"/>
      </w:r>
      <w:r w:rsidR="004A1262" w:rsidRPr="00634466">
        <w:instrText xml:space="preserve"> SEQ Table \* ARABIC </w:instrText>
      </w:r>
      <w:r w:rsidR="00BB6961" w:rsidRPr="00634466">
        <w:fldChar w:fldCharType="separate"/>
      </w:r>
      <w:r w:rsidR="00476FBF">
        <w:rPr>
          <w:noProof/>
        </w:rPr>
        <w:t>6</w:t>
      </w:r>
      <w:r w:rsidR="00BB6961" w:rsidRPr="00634466">
        <w:rPr>
          <w:noProof/>
        </w:rPr>
        <w:fldChar w:fldCharType="end"/>
      </w:r>
      <w:bookmarkEnd w:id="46"/>
      <w:r w:rsidRPr="00634466">
        <w:t xml:space="preserve"> Type I and Type II interregional multipliers in the interregional GLA-RST-ROS Input-Output table.</w:t>
      </w:r>
    </w:p>
    <w:tbl>
      <w:tblPr>
        <w:tblW w:w="8130" w:type="dxa"/>
        <w:jc w:val="center"/>
        <w:tblInd w:w="108" w:type="dxa"/>
        <w:tblLook w:val="04A0"/>
      </w:tblPr>
      <w:tblGrid>
        <w:gridCol w:w="423"/>
        <w:gridCol w:w="2216"/>
        <w:gridCol w:w="616"/>
        <w:gridCol w:w="500"/>
        <w:gridCol w:w="500"/>
        <w:gridCol w:w="500"/>
        <w:gridCol w:w="503"/>
        <w:gridCol w:w="253"/>
        <w:gridCol w:w="616"/>
        <w:gridCol w:w="500"/>
        <w:gridCol w:w="500"/>
        <w:gridCol w:w="500"/>
        <w:gridCol w:w="503"/>
      </w:tblGrid>
      <w:tr w:rsidR="00031C4E" w:rsidRPr="00634466" w:rsidTr="00C35D90">
        <w:trPr>
          <w:trHeight w:val="204"/>
          <w:jc w:val="center"/>
        </w:trPr>
        <w:tc>
          <w:tcPr>
            <w:tcW w:w="42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2216" w:type="dxa"/>
            <w:vMerge w:val="restart"/>
            <w:tcBorders>
              <w:top w:val="nil"/>
              <w:left w:val="nil"/>
              <w:bottom w:val="nil"/>
              <w:right w:val="nil"/>
            </w:tcBorders>
            <w:shd w:val="clear" w:color="auto" w:fill="auto"/>
            <w:noWrap/>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Sector</w:t>
            </w:r>
          </w:p>
        </w:tc>
        <w:tc>
          <w:tcPr>
            <w:tcW w:w="2619" w:type="dxa"/>
            <w:gridSpan w:val="5"/>
            <w:tcBorders>
              <w:top w:val="nil"/>
              <w:left w:val="nil"/>
              <w:bottom w:val="dashed" w:sz="4" w:space="0" w:color="auto"/>
              <w:right w:val="nil"/>
            </w:tcBorders>
            <w:shd w:val="clear" w:color="auto" w:fill="auto"/>
            <w:noWrap/>
            <w:vAlign w:val="center"/>
            <w:hideMark/>
          </w:tcPr>
          <w:p w:rsidR="00031C4E" w:rsidRPr="00634466" w:rsidRDefault="00031C4E" w:rsidP="008A521D">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Type</w:t>
            </w:r>
            <w:r w:rsidR="008A521D">
              <w:rPr>
                <w:rFonts w:ascii="Calibri" w:eastAsia="Times New Roman" w:hAnsi="Calibri" w:cs="Arial"/>
                <w:b/>
                <w:bCs/>
                <w:sz w:val="16"/>
                <w:szCs w:val="16"/>
                <w:lang w:eastAsia="en-GB"/>
              </w:rPr>
              <w:t xml:space="preserve"> </w:t>
            </w:r>
            <w:r w:rsidRPr="00634466">
              <w:rPr>
                <w:rFonts w:ascii="Calibri" w:eastAsia="Times New Roman" w:hAnsi="Calibri" w:cs="Arial"/>
                <w:b/>
                <w:bCs/>
                <w:sz w:val="16"/>
                <w:szCs w:val="16"/>
                <w:lang w:eastAsia="en-GB"/>
              </w:rPr>
              <w:t>I multiplier</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2619" w:type="dxa"/>
            <w:gridSpan w:val="5"/>
            <w:tcBorders>
              <w:top w:val="nil"/>
              <w:left w:val="nil"/>
              <w:bottom w:val="dashed" w:sz="4" w:space="0" w:color="auto"/>
              <w:right w:val="nil"/>
            </w:tcBorders>
            <w:shd w:val="clear" w:color="auto" w:fill="auto"/>
            <w:noWrap/>
            <w:vAlign w:val="center"/>
            <w:hideMark/>
          </w:tcPr>
          <w:p w:rsidR="00031C4E" w:rsidRPr="00634466" w:rsidRDefault="00031C4E" w:rsidP="008A521D">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Type</w:t>
            </w:r>
            <w:r w:rsidR="008A521D">
              <w:rPr>
                <w:rFonts w:ascii="Calibri" w:eastAsia="Times New Roman" w:hAnsi="Calibri" w:cs="Arial"/>
                <w:b/>
                <w:bCs/>
                <w:sz w:val="16"/>
                <w:szCs w:val="16"/>
                <w:lang w:eastAsia="en-GB"/>
              </w:rPr>
              <w:t xml:space="preserve"> </w:t>
            </w:r>
            <w:r w:rsidRPr="00634466">
              <w:rPr>
                <w:rFonts w:ascii="Calibri" w:eastAsia="Times New Roman" w:hAnsi="Calibri" w:cs="Arial"/>
                <w:b/>
                <w:bCs/>
                <w:sz w:val="16"/>
                <w:szCs w:val="16"/>
                <w:lang w:eastAsia="en-GB"/>
              </w:rPr>
              <w:t>II multiplier</w:t>
            </w:r>
          </w:p>
        </w:tc>
      </w:tr>
      <w:tr w:rsidR="00031C4E" w:rsidRPr="00634466" w:rsidTr="00C35D90">
        <w:trPr>
          <w:trHeight w:val="372"/>
          <w:jc w:val="center"/>
        </w:trPr>
        <w:tc>
          <w:tcPr>
            <w:tcW w:w="42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2216" w:type="dxa"/>
            <w:vMerge/>
            <w:tcBorders>
              <w:top w:val="nil"/>
              <w:left w:val="nil"/>
              <w:bottom w:val="nil"/>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616" w:type="dxa"/>
            <w:vMerge w:val="restart"/>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Direct effect</w:t>
            </w:r>
          </w:p>
        </w:tc>
        <w:tc>
          <w:tcPr>
            <w:tcW w:w="2003" w:type="dxa"/>
            <w:gridSpan w:val="4"/>
            <w:tcBorders>
              <w:top w:val="nil"/>
              <w:left w:val="nil"/>
              <w:bottom w:val="nil"/>
              <w:right w:val="nil"/>
            </w:tcBorders>
            <w:shd w:val="clear" w:color="auto" w:fill="auto"/>
            <w:noWrap/>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Indirect effects</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vMerge w:val="restart"/>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Direct effect</w:t>
            </w:r>
          </w:p>
        </w:tc>
        <w:tc>
          <w:tcPr>
            <w:tcW w:w="2003" w:type="dxa"/>
            <w:gridSpan w:val="4"/>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 xml:space="preserve">Indirect and </w:t>
            </w:r>
            <w:r w:rsidRPr="00634466">
              <w:rPr>
                <w:rFonts w:ascii="Calibri" w:eastAsia="Times New Roman" w:hAnsi="Calibri" w:cs="Arial"/>
                <w:b/>
                <w:bCs/>
                <w:sz w:val="16"/>
                <w:szCs w:val="16"/>
                <w:lang w:eastAsia="en-GB"/>
              </w:rPr>
              <w:br/>
              <w:t>induced effects</w:t>
            </w:r>
          </w:p>
        </w:tc>
      </w:tr>
      <w:tr w:rsidR="00031C4E" w:rsidRPr="00634466" w:rsidTr="00C35D90">
        <w:trPr>
          <w:trHeight w:val="216"/>
          <w:jc w:val="center"/>
        </w:trPr>
        <w:tc>
          <w:tcPr>
            <w:tcW w:w="42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2216" w:type="dxa"/>
            <w:vMerge/>
            <w:tcBorders>
              <w:top w:val="nil"/>
              <w:left w:val="nil"/>
              <w:bottom w:val="nil"/>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616" w:type="dxa"/>
            <w:vMerge/>
            <w:tcBorders>
              <w:top w:val="nil"/>
              <w:left w:val="nil"/>
              <w:bottom w:val="nil"/>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GLA</w:t>
            </w: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RST</w:t>
            </w: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ROS</w:t>
            </w:r>
          </w:p>
        </w:tc>
        <w:tc>
          <w:tcPr>
            <w:tcW w:w="503"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SCO</w:t>
            </w:r>
          </w:p>
        </w:tc>
        <w:tc>
          <w:tcPr>
            <w:tcW w:w="253" w:type="dxa"/>
            <w:tcBorders>
              <w:top w:val="nil"/>
              <w:left w:val="nil"/>
              <w:bottom w:val="nil"/>
              <w:right w:val="nil"/>
            </w:tcBorders>
            <w:shd w:val="clear" w:color="auto" w:fill="auto"/>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vMerge/>
            <w:tcBorders>
              <w:top w:val="nil"/>
              <w:left w:val="nil"/>
              <w:bottom w:val="nil"/>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GLA</w:t>
            </w: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RST</w:t>
            </w:r>
          </w:p>
        </w:tc>
        <w:tc>
          <w:tcPr>
            <w:tcW w:w="500"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ROS</w:t>
            </w:r>
          </w:p>
        </w:tc>
        <w:tc>
          <w:tcPr>
            <w:tcW w:w="503" w:type="dxa"/>
            <w:tcBorders>
              <w:top w:val="nil"/>
              <w:left w:val="nil"/>
              <w:bottom w:val="nil"/>
              <w:right w:val="nil"/>
            </w:tcBorders>
            <w:shd w:val="clear" w:color="auto" w:fill="auto"/>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SCO</w:t>
            </w:r>
          </w:p>
        </w:tc>
      </w:tr>
      <w:tr w:rsidR="00031C4E" w:rsidRPr="00634466" w:rsidTr="00C35D90">
        <w:trPr>
          <w:trHeight w:val="204"/>
          <w:jc w:val="center"/>
        </w:trPr>
        <w:tc>
          <w:tcPr>
            <w:tcW w:w="423" w:type="dxa"/>
            <w:vMerge w:val="restart"/>
            <w:tcBorders>
              <w:top w:val="single" w:sz="8" w:space="0" w:color="auto"/>
              <w:left w:val="nil"/>
              <w:bottom w:val="dashed" w:sz="4" w:space="0" w:color="000000"/>
              <w:right w:val="nil"/>
            </w:tcBorders>
            <w:shd w:val="clear" w:color="auto" w:fill="auto"/>
            <w:noWrap/>
            <w:textDirection w:val="btLr"/>
            <w:vAlign w:val="center"/>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G L A</w:t>
            </w:r>
          </w:p>
        </w:tc>
        <w:tc>
          <w:tcPr>
            <w:tcW w:w="2216" w:type="dxa"/>
            <w:tcBorders>
              <w:top w:val="single" w:sz="8" w:space="0" w:color="auto"/>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Agriculture, Forestry &amp; F</w:t>
            </w:r>
            <w:r w:rsidR="00031C4E" w:rsidRPr="00634466">
              <w:rPr>
                <w:rFonts w:ascii="Calibri" w:eastAsia="Times New Roman" w:hAnsi="Calibri" w:cs="Arial"/>
                <w:sz w:val="16"/>
                <w:szCs w:val="16"/>
                <w:lang w:eastAsia="en-GB"/>
              </w:rPr>
              <w:t>ishing</w:t>
            </w:r>
          </w:p>
        </w:tc>
        <w:tc>
          <w:tcPr>
            <w:tcW w:w="616"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0.38</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0.09</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0.17</w:t>
            </w:r>
          </w:p>
        </w:tc>
        <w:tc>
          <w:tcPr>
            <w:tcW w:w="503"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1.64</w:t>
            </w:r>
          </w:p>
        </w:tc>
        <w:tc>
          <w:tcPr>
            <w:tcW w:w="253" w:type="dxa"/>
            <w:tcBorders>
              <w:top w:val="single" w:sz="8" w:space="0" w:color="auto"/>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 </w:t>
            </w:r>
          </w:p>
        </w:tc>
        <w:tc>
          <w:tcPr>
            <w:tcW w:w="616"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0.20</w:t>
            </w:r>
          </w:p>
        </w:tc>
        <w:tc>
          <w:tcPr>
            <w:tcW w:w="500"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3" w:type="dxa"/>
            <w:tcBorders>
              <w:top w:val="single" w:sz="8" w:space="0" w:color="auto"/>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2.02</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Mining</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0.39</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1.52</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0.20</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0.20</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1.91</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Manufacturing</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1.38</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0.34</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1.84</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Energy</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0.42</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0.21</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1.92</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0.37</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2.17</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Other U</w:t>
            </w:r>
            <w:r w:rsidR="00031C4E" w:rsidRPr="00634466">
              <w:rPr>
                <w:rFonts w:ascii="Calibri" w:eastAsia="Times New Roman" w:hAnsi="Calibri" w:cs="Arial"/>
                <w:sz w:val="16"/>
                <w:szCs w:val="16"/>
                <w:lang w:eastAsia="en-GB"/>
              </w:rPr>
              <w:t>tilities</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0.37</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0.26</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1.70</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0.46</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0.35</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1.98</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Construction</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0.28</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1.71</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0.34</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2.20</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Distribution &amp; C</w:t>
            </w:r>
            <w:r w:rsidR="00031C4E" w:rsidRPr="00634466">
              <w:rPr>
                <w:rFonts w:ascii="Calibri" w:eastAsia="Times New Roman" w:hAnsi="Calibri" w:cs="Arial"/>
                <w:sz w:val="16"/>
                <w:szCs w:val="16"/>
                <w:lang w:eastAsia="en-GB"/>
              </w:rPr>
              <w:t>atering</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0.06</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1.33</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0.23</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0.42</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1.90</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Transport &amp; C</w:t>
            </w:r>
            <w:r w:rsidR="00031C4E" w:rsidRPr="00634466">
              <w:rPr>
                <w:rFonts w:ascii="Calibri" w:eastAsia="Times New Roman" w:hAnsi="Calibri" w:cs="Arial"/>
                <w:sz w:val="16"/>
                <w:szCs w:val="16"/>
                <w:lang w:eastAsia="en-GB"/>
              </w:rPr>
              <w:t>ommunication</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0.24</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1.47</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2.02</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Finance &amp; B</w:t>
            </w:r>
            <w:r w:rsidR="00031C4E" w:rsidRPr="00634466">
              <w:rPr>
                <w:rFonts w:ascii="Calibri" w:eastAsia="Times New Roman" w:hAnsi="Calibri" w:cs="Arial"/>
                <w:sz w:val="16"/>
                <w:szCs w:val="16"/>
                <w:lang w:eastAsia="en-GB"/>
              </w:rPr>
              <w:t>usiness</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1.34</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1.78</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Public A</w:t>
            </w:r>
            <w:r w:rsidR="00031C4E" w:rsidRPr="00634466">
              <w:rPr>
                <w:rFonts w:ascii="Calibri" w:eastAsia="Times New Roman" w:hAnsi="Calibri" w:cs="Arial"/>
                <w:sz w:val="16"/>
                <w:szCs w:val="16"/>
                <w:lang w:eastAsia="en-GB"/>
              </w:rPr>
              <w:t>dministration</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0.23</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1.43</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0.27</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0.48</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2.03</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Educ., Health &amp; Social W</w:t>
            </w:r>
            <w:r w:rsidR="00031C4E" w:rsidRPr="00634466">
              <w:rPr>
                <w:rFonts w:ascii="Calibri" w:eastAsia="Times New Roman" w:hAnsi="Calibri" w:cs="Arial"/>
                <w:sz w:val="16"/>
                <w:szCs w:val="16"/>
                <w:lang w:eastAsia="en-GB"/>
              </w:rPr>
              <w:t>ork</w:t>
            </w: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1.35</w:t>
            </w:r>
          </w:p>
        </w:tc>
        <w:tc>
          <w:tcPr>
            <w:tcW w:w="253" w:type="dxa"/>
            <w:tcBorders>
              <w:top w:val="nil"/>
              <w:left w:val="nil"/>
              <w:bottom w:val="nil"/>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0.36</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0"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0.47</w:t>
            </w:r>
          </w:p>
        </w:tc>
        <w:tc>
          <w:tcPr>
            <w:tcW w:w="503" w:type="dxa"/>
            <w:tcBorders>
              <w:top w:val="nil"/>
              <w:left w:val="nil"/>
              <w:bottom w:val="nil"/>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2.15</w:t>
            </w:r>
          </w:p>
        </w:tc>
      </w:tr>
      <w:tr w:rsidR="00031C4E" w:rsidRPr="00634466" w:rsidTr="00C35D90">
        <w:trPr>
          <w:trHeight w:val="204"/>
          <w:jc w:val="center"/>
        </w:trPr>
        <w:tc>
          <w:tcPr>
            <w:tcW w:w="423" w:type="dxa"/>
            <w:vMerge/>
            <w:tcBorders>
              <w:top w:val="single" w:sz="8" w:space="0" w:color="auto"/>
              <w:left w:val="nil"/>
              <w:bottom w:val="dashed" w:sz="4" w:space="0" w:color="000000"/>
              <w:right w:val="nil"/>
            </w:tcBorders>
            <w:vAlign w:val="center"/>
            <w:hideMark/>
          </w:tcPr>
          <w:p w:rsidR="00031C4E" w:rsidRPr="00634466" w:rsidRDefault="00031C4E" w:rsidP="00031C4E">
            <w:pPr>
              <w:rPr>
                <w:rFonts w:ascii="Calibri" w:eastAsia="Times New Roman" w:hAnsi="Calibri" w:cs="Arial"/>
                <w:b/>
                <w:bCs/>
                <w:sz w:val="16"/>
                <w:szCs w:val="16"/>
                <w:lang w:eastAsia="en-GB"/>
              </w:rPr>
            </w:pPr>
          </w:p>
        </w:tc>
        <w:tc>
          <w:tcPr>
            <w:tcW w:w="2216" w:type="dxa"/>
            <w:tcBorders>
              <w:top w:val="nil"/>
              <w:left w:val="nil"/>
              <w:bottom w:val="dashed" w:sz="4" w:space="0" w:color="auto"/>
              <w:right w:val="nil"/>
            </w:tcBorders>
            <w:shd w:val="clear" w:color="auto" w:fill="auto"/>
            <w:noWrap/>
            <w:vAlign w:val="bottom"/>
            <w:hideMark/>
          </w:tcPr>
          <w:p w:rsidR="00031C4E" w:rsidRPr="00634466" w:rsidRDefault="00C35D90" w:rsidP="00031C4E">
            <w:pPr>
              <w:rPr>
                <w:rFonts w:ascii="Calibri" w:eastAsia="Times New Roman" w:hAnsi="Calibri" w:cs="Arial"/>
                <w:sz w:val="16"/>
                <w:szCs w:val="16"/>
                <w:lang w:eastAsia="en-GB"/>
              </w:rPr>
            </w:pPr>
            <w:r>
              <w:rPr>
                <w:rFonts w:ascii="Calibri" w:eastAsia="Times New Roman" w:hAnsi="Calibri" w:cs="Arial"/>
                <w:sz w:val="16"/>
                <w:szCs w:val="16"/>
                <w:lang w:eastAsia="en-GB"/>
              </w:rPr>
              <w:t>Other S</w:t>
            </w:r>
            <w:r w:rsidR="00031C4E" w:rsidRPr="00634466">
              <w:rPr>
                <w:rFonts w:ascii="Calibri" w:eastAsia="Times New Roman" w:hAnsi="Calibri" w:cs="Arial"/>
                <w:sz w:val="16"/>
                <w:szCs w:val="16"/>
                <w:lang w:eastAsia="en-GB"/>
              </w:rPr>
              <w:t xml:space="preserve">ervices </w:t>
            </w:r>
          </w:p>
        </w:tc>
        <w:tc>
          <w:tcPr>
            <w:tcW w:w="616"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0.13</w:t>
            </w:r>
          </w:p>
        </w:tc>
        <w:tc>
          <w:tcPr>
            <w:tcW w:w="503"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1.54</w:t>
            </w:r>
          </w:p>
        </w:tc>
        <w:tc>
          <w:tcPr>
            <w:tcW w:w="253" w:type="dxa"/>
            <w:tcBorders>
              <w:top w:val="nil"/>
              <w:left w:val="nil"/>
              <w:bottom w:val="dashed" w:sz="4" w:space="0" w:color="auto"/>
              <w:right w:val="nil"/>
            </w:tcBorders>
            <w:shd w:val="clear" w:color="auto" w:fill="auto"/>
            <w:noWrap/>
            <w:vAlign w:val="bottom"/>
            <w:hideMark/>
          </w:tcPr>
          <w:p w:rsidR="00031C4E" w:rsidRPr="00634466" w:rsidRDefault="00031C4E"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 </w:t>
            </w:r>
          </w:p>
        </w:tc>
        <w:tc>
          <w:tcPr>
            <w:tcW w:w="616"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0.45</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0"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0.35</w:t>
            </w:r>
          </w:p>
        </w:tc>
        <w:tc>
          <w:tcPr>
            <w:tcW w:w="503" w:type="dxa"/>
            <w:tcBorders>
              <w:top w:val="nil"/>
              <w:left w:val="nil"/>
              <w:bottom w:val="dashed" w:sz="4" w:space="0" w:color="auto"/>
              <w:right w:val="nil"/>
            </w:tcBorders>
            <w:shd w:val="clear" w:color="auto" w:fill="auto"/>
            <w:noWrap/>
            <w:vAlign w:val="bottom"/>
            <w:hideMark/>
          </w:tcPr>
          <w:p w:rsidR="00031C4E" w:rsidRPr="00634466" w:rsidRDefault="00031C4E"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2.09</w:t>
            </w:r>
          </w:p>
        </w:tc>
      </w:tr>
      <w:tr w:rsidR="00C35D90" w:rsidRPr="00634466" w:rsidTr="00C35D90">
        <w:trPr>
          <w:trHeight w:val="204"/>
          <w:jc w:val="center"/>
        </w:trPr>
        <w:tc>
          <w:tcPr>
            <w:tcW w:w="423" w:type="dxa"/>
            <w:vMerge w:val="restart"/>
            <w:tcBorders>
              <w:top w:val="nil"/>
              <w:left w:val="nil"/>
              <w:bottom w:val="dashed" w:sz="4" w:space="0" w:color="000000"/>
              <w:right w:val="nil"/>
            </w:tcBorders>
            <w:shd w:val="clear" w:color="auto" w:fill="auto"/>
            <w:noWrap/>
            <w:textDirection w:val="btLr"/>
            <w:vAlign w:val="center"/>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 S T</w:t>
            </w: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Agriculture, Forestry &amp; F</w:t>
            </w:r>
            <w:r w:rsidRPr="00634466">
              <w:rPr>
                <w:rFonts w:ascii="Calibri" w:eastAsia="Times New Roman" w:hAnsi="Calibri" w:cs="Arial"/>
                <w:sz w:val="16"/>
                <w:szCs w:val="16"/>
                <w:lang w:eastAsia="en-GB"/>
              </w:rPr>
              <w:t>ishing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1.61</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0.35</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2.00</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Mining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1.47</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0.26</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1.93</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Manufacturing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0.06</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1.87</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Energy</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0.45</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2.18</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Other U</w:t>
            </w:r>
            <w:r w:rsidRPr="00634466">
              <w:rPr>
                <w:rFonts w:ascii="Calibri" w:eastAsia="Times New Roman" w:hAnsi="Calibri" w:cs="Arial"/>
                <w:sz w:val="16"/>
                <w:szCs w:val="16"/>
                <w:lang w:eastAsia="en-GB"/>
              </w:rPr>
              <w:t>tilities</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1.70</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0.32</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1.99</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Construction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0.22</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0.52</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2.21</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Distribution &amp; C</w:t>
            </w:r>
            <w:r w:rsidRPr="00634466">
              <w:rPr>
                <w:rFonts w:ascii="Calibri" w:eastAsia="Times New Roman" w:hAnsi="Calibri" w:cs="Arial"/>
                <w:sz w:val="16"/>
                <w:szCs w:val="16"/>
                <w:lang w:eastAsia="en-GB"/>
              </w:rPr>
              <w:t>atering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1.33</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1.92</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Transport &amp; C</w:t>
            </w:r>
            <w:r w:rsidRPr="00634466">
              <w:rPr>
                <w:rFonts w:ascii="Calibri" w:eastAsia="Times New Roman" w:hAnsi="Calibri" w:cs="Arial"/>
                <w:sz w:val="16"/>
                <w:szCs w:val="16"/>
                <w:lang w:eastAsia="en-GB"/>
              </w:rPr>
              <w:t>ommunication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1.50</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2.05</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Finance &amp; B</w:t>
            </w:r>
            <w:r w:rsidRPr="00634466">
              <w:rPr>
                <w:rFonts w:ascii="Calibri" w:eastAsia="Times New Roman" w:hAnsi="Calibri" w:cs="Arial"/>
                <w:sz w:val="16"/>
                <w:szCs w:val="16"/>
                <w:lang w:eastAsia="en-GB"/>
              </w:rPr>
              <w:t>usiness</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1.34</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1.83</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Public A</w:t>
            </w:r>
            <w:r w:rsidRPr="00634466">
              <w:rPr>
                <w:rFonts w:ascii="Calibri" w:eastAsia="Times New Roman" w:hAnsi="Calibri" w:cs="Arial"/>
                <w:sz w:val="16"/>
                <w:szCs w:val="16"/>
                <w:lang w:eastAsia="en-GB"/>
              </w:rPr>
              <w:t>dministration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1.43</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2.04</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Educ., Health &amp; Social W</w:t>
            </w:r>
            <w:r w:rsidRPr="00634466">
              <w:rPr>
                <w:rFonts w:ascii="Calibri" w:eastAsia="Times New Roman" w:hAnsi="Calibri" w:cs="Arial"/>
                <w:sz w:val="16"/>
                <w:szCs w:val="16"/>
                <w:lang w:eastAsia="en-GB"/>
              </w:rPr>
              <w:t>ork</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0.16</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1.37</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0.26</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0.48</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2.19</w:t>
            </w:r>
          </w:p>
        </w:tc>
      </w:tr>
      <w:tr w:rsidR="00C35D90" w:rsidRPr="00634466" w:rsidTr="00C35D90">
        <w:trPr>
          <w:trHeight w:val="204"/>
          <w:jc w:val="center"/>
        </w:trPr>
        <w:tc>
          <w:tcPr>
            <w:tcW w:w="423" w:type="dxa"/>
            <w:vMerge/>
            <w:tcBorders>
              <w:top w:val="nil"/>
              <w:left w:val="nil"/>
              <w:bottom w:val="dashed" w:sz="4"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dashed" w:sz="4" w:space="0" w:color="auto"/>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Other S</w:t>
            </w:r>
            <w:r w:rsidRPr="00634466">
              <w:rPr>
                <w:rFonts w:ascii="Calibri" w:eastAsia="Times New Roman" w:hAnsi="Calibri" w:cs="Arial"/>
                <w:sz w:val="16"/>
                <w:szCs w:val="16"/>
                <w:lang w:eastAsia="en-GB"/>
              </w:rPr>
              <w:t xml:space="preserve">ervices </w:t>
            </w:r>
          </w:p>
        </w:tc>
        <w:tc>
          <w:tcPr>
            <w:tcW w:w="616"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0.09</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0.28</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3"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1.52</w:t>
            </w:r>
          </w:p>
        </w:tc>
        <w:tc>
          <w:tcPr>
            <w:tcW w:w="253" w:type="dxa"/>
            <w:tcBorders>
              <w:top w:val="nil"/>
              <w:left w:val="nil"/>
              <w:bottom w:val="dashed" w:sz="4" w:space="0" w:color="auto"/>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 </w:t>
            </w:r>
          </w:p>
        </w:tc>
        <w:tc>
          <w:tcPr>
            <w:tcW w:w="616"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0.24</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0.49</w:t>
            </w:r>
          </w:p>
        </w:tc>
        <w:tc>
          <w:tcPr>
            <w:tcW w:w="500"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0.37</w:t>
            </w:r>
          </w:p>
        </w:tc>
        <w:tc>
          <w:tcPr>
            <w:tcW w:w="503" w:type="dxa"/>
            <w:tcBorders>
              <w:top w:val="nil"/>
              <w:left w:val="nil"/>
              <w:bottom w:val="dashed" w:sz="4"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2.09</w:t>
            </w:r>
          </w:p>
        </w:tc>
      </w:tr>
      <w:tr w:rsidR="00C35D90" w:rsidRPr="00634466" w:rsidTr="00C35D90">
        <w:trPr>
          <w:trHeight w:val="204"/>
          <w:jc w:val="center"/>
        </w:trPr>
        <w:tc>
          <w:tcPr>
            <w:tcW w:w="423" w:type="dxa"/>
            <w:vMerge w:val="restart"/>
            <w:tcBorders>
              <w:top w:val="nil"/>
              <w:left w:val="nil"/>
              <w:bottom w:val="single" w:sz="8" w:space="0" w:color="000000"/>
              <w:right w:val="nil"/>
            </w:tcBorders>
            <w:shd w:val="clear" w:color="auto" w:fill="auto"/>
            <w:noWrap/>
            <w:textDirection w:val="btLr"/>
            <w:vAlign w:val="center"/>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 O S</w:t>
            </w: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Agriculture, Forestry &amp; F</w:t>
            </w:r>
            <w:r w:rsidRPr="00634466">
              <w:rPr>
                <w:rFonts w:ascii="Calibri" w:eastAsia="Times New Roman" w:hAnsi="Calibri" w:cs="Arial"/>
                <w:sz w:val="16"/>
                <w:szCs w:val="16"/>
                <w:lang w:eastAsia="en-GB"/>
              </w:rPr>
              <w:t>ishing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1.60</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0.22</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0.67</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1.99</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Mining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1.53</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1.98</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Manufacturing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0.06</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0.43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1.53</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0.71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1.95</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Energy</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0.64</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0.80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2.18</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Other U</w:t>
            </w:r>
            <w:r w:rsidRPr="00634466">
              <w:rPr>
                <w:rFonts w:ascii="Calibri" w:eastAsia="Times New Roman" w:hAnsi="Calibri" w:cs="Arial"/>
                <w:sz w:val="16"/>
                <w:szCs w:val="16"/>
                <w:lang w:eastAsia="en-GB"/>
              </w:rPr>
              <w:t>tilities</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0.61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0.81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2.01</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Construction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0.39</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1.71</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0.71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2.20</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Distribution &amp; C</w:t>
            </w:r>
            <w:r w:rsidRPr="00634466">
              <w:rPr>
                <w:rFonts w:ascii="Calibri" w:eastAsia="Times New Roman" w:hAnsi="Calibri" w:cs="Arial"/>
                <w:sz w:val="16"/>
                <w:szCs w:val="16"/>
                <w:lang w:eastAsia="en-GB"/>
              </w:rPr>
              <w:t>atering</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0.50</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1.91</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Transport &amp; C</w:t>
            </w:r>
            <w:r w:rsidRPr="00634466">
              <w:rPr>
                <w:rFonts w:ascii="Calibri" w:eastAsia="Times New Roman" w:hAnsi="Calibri" w:cs="Arial"/>
                <w:sz w:val="16"/>
                <w:szCs w:val="16"/>
                <w:lang w:eastAsia="en-GB"/>
              </w:rPr>
              <w:t>ommunication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1.46</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0.19</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0.71</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2.03</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Finance &amp; B</w:t>
            </w:r>
            <w:r w:rsidRPr="00634466">
              <w:rPr>
                <w:rFonts w:ascii="Calibri" w:eastAsia="Times New Roman" w:hAnsi="Calibri" w:cs="Arial"/>
                <w:sz w:val="16"/>
                <w:szCs w:val="16"/>
                <w:lang w:eastAsia="en-GB"/>
              </w:rPr>
              <w:t>usiness</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0.07</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0.26</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1.37</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0.10</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0.58</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1.84</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Public A</w:t>
            </w:r>
            <w:r w:rsidRPr="00634466">
              <w:rPr>
                <w:rFonts w:ascii="Calibri" w:eastAsia="Times New Roman" w:hAnsi="Calibri" w:cs="Arial"/>
                <w:sz w:val="16"/>
                <w:szCs w:val="16"/>
                <w:lang w:eastAsia="en-GB"/>
              </w:rPr>
              <w:t>dministration</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0.16</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1.42</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0.33</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0.57</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2.04</w:t>
            </w:r>
          </w:p>
        </w:tc>
      </w:tr>
      <w:tr w:rsidR="00C35D90" w:rsidRPr="00634466" w:rsidTr="00C35D90">
        <w:trPr>
          <w:trHeight w:val="204"/>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nil"/>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Educ., Health &amp; Social W</w:t>
            </w:r>
            <w:r w:rsidRPr="00634466">
              <w:rPr>
                <w:rFonts w:ascii="Calibri" w:eastAsia="Times New Roman" w:hAnsi="Calibri" w:cs="Arial"/>
                <w:sz w:val="16"/>
                <w:szCs w:val="16"/>
                <w:lang w:eastAsia="en-GB"/>
              </w:rPr>
              <w:t>ork</w:t>
            </w: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0.18</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1.35</w:t>
            </w:r>
          </w:p>
        </w:tc>
        <w:tc>
          <w:tcPr>
            <w:tcW w:w="253" w:type="dxa"/>
            <w:tcBorders>
              <w:top w:val="nil"/>
              <w:left w:val="nil"/>
              <w:bottom w:val="nil"/>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p>
        </w:tc>
        <w:tc>
          <w:tcPr>
            <w:tcW w:w="616"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0.15</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0.28</w:t>
            </w:r>
          </w:p>
        </w:tc>
        <w:tc>
          <w:tcPr>
            <w:tcW w:w="500"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0.73</w:t>
            </w:r>
          </w:p>
        </w:tc>
        <w:tc>
          <w:tcPr>
            <w:tcW w:w="503" w:type="dxa"/>
            <w:tcBorders>
              <w:top w:val="nil"/>
              <w:left w:val="nil"/>
              <w:bottom w:val="nil"/>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2.17</w:t>
            </w:r>
          </w:p>
        </w:tc>
      </w:tr>
      <w:tr w:rsidR="00C35D90" w:rsidRPr="00634466" w:rsidTr="00C35D90">
        <w:trPr>
          <w:trHeight w:val="216"/>
          <w:jc w:val="center"/>
        </w:trPr>
        <w:tc>
          <w:tcPr>
            <w:tcW w:w="423" w:type="dxa"/>
            <w:vMerge/>
            <w:tcBorders>
              <w:top w:val="nil"/>
              <w:left w:val="nil"/>
              <w:bottom w:val="single" w:sz="8" w:space="0" w:color="000000"/>
              <w:right w:val="nil"/>
            </w:tcBorders>
            <w:vAlign w:val="center"/>
            <w:hideMark/>
          </w:tcPr>
          <w:p w:rsidR="00C35D90" w:rsidRPr="00634466" w:rsidRDefault="00C35D90" w:rsidP="00031C4E">
            <w:pPr>
              <w:rPr>
                <w:rFonts w:ascii="Calibri" w:eastAsia="Times New Roman" w:hAnsi="Calibri" w:cs="Arial"/>
                <w:b/>
                <w:bCs/>
                <w:sz w:val="16"/>
                <w:szCs w:val="16"/>
                <w:lang w:eastAsia="en-GB"/>
              </w:rPr>
            </w:pPr>
          </w:p>
        </w:tc>
        <w:tc>
          <w:tcPr>
            <w:tcW w:w="2216" w:type="dxa"/>
            <w:tcBorders>
              <w:top w:val="nil"/>
              <w:left w:val="nil"/>
              <w:bottom w:val="single" w:sz="8" w:space="0" w:color="auto"/>
              <w:right w:val="nil"/>
            </w:tcBorders>
            <w:shd w:val="clear" w:color="auto" w:fill="auto"/>
            <w:noWrap/>
            <w:vAlign w:val="bottom"/>
            <w:hideMark/>
          </w:tcPr>
          <w:p w:rsidR="00C35D90" w:rsidRPr="00634466" w:rsidRDefault="00C35D90" w:rsidP="009C5B31">
            <w:pPr>
              <w:rPr>
                <w:rFonts w:ascii="Calibri" w:eastAsia="Times New Roman" w:hAnsi="Calibri" w:cs="Arial"/>
                <w:sz w:val="16"/>
                <w:szCs w:val="16"/>
                <w:lang w:eastAsia="en-GB"/>
              </w:rPr>
            </w:pPr>
            <w:r>
              <w:rPr>
                <w:rFonts w:ascii="Calibri" w:eastAsia="Times New Roman" w:hAnsi="Calibri" w:cs="Arial"/>
                <w:sz w:val="16"/>
                <w:szCs w:val="16"/>
                <w:lang w:eastAsia="en-GB"/>
              </w:rPr>
              <w:t>Other S</w:t>
            </w:r>
            <w:r w:rsidRPr="00634466">
              <w:rPr>
                <w:rFonts w:ascii="Calibri" w:eastAsia="Times New Roman" w:hAnsi="Calibri" w:cs="Arial"/>
                <w:sz w:val="16"/>
                <w:szCs w:val="16"/>
                <w:lang w:eastAsia="en-GB"/>
              </w:rPr>
              <w:t xml:space="preserve">ervices </w:t>
            </w:r>
          </w:p>
        </w:tc>
        <w:tc>
          <w:tcPr>
            <w:tcW w:w="616"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0.06</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0.12</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0.37</w:t>
            </w:r>
          </w:p>
        </w:tc>
        <w:tc>
          <w:tcPr>
            <w:tcW w:w="503"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1.55</w:t>
            </w:r>
          </w:p>
        </w:tc>
        <w:tc>
          <w:tcPr>
            <w:tcW w:w="253" w:type="dxa"/>
            <w:tcBorders>
              <w:top w:val="nil"/>
              <w:left w:val="nil"/>
              <w:bottom w:val="single" w:sz="8" w:space="0" w:color="auto"/>
              <w:right w:val="nil"/>
            </w:tcBorders>
            <w:shd w:val="clear" w:color="auto" w:fill="auto"/>
            <w:noWrap/>
            <w:vAlign w:val="bottom"/>
            <w:hideMark/>
          </w:tcPr>
          <w:p w:rsidR="00C35D90" w:rsidRPr="00634466" w:rsidRDefault="00C35D90" w:rsidP="00031C4E">
            <w:pPr>
              <w:rPr>
                <w:rFonts w:ascii="Calibri" w:eastAsia="Times New Roman" w:hAnsi="Calibri" w:cs="Arial"/>
                <w:sz w:val="16"/>
                <w:szCs w:val="16"/>
                <w:lang w:eastAsia="en-GB"/>
              </w:rPr>
            </w:pPr>
            <w:r w:rsidRPr="00634466">
              <w:rPr>
                <w:rFonts w:ascii="Calibri" w:eastAsia="Times New Roman" w:hAnsi="Calibri" w:cs="Arial"/>
                <w:sz w:val="16"/>
                <w:szCs w:val="16"/>
                <w:lang w:eastAsia="en-GB"/>
              </w:rPr>
              <w:t> </w:t>
            </w:r>
          </w:p>
        </w:tc>
        <w:tc>
          <w:tcPr>
            <w:tcW w:w="616"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1</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0.14</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0.22</w:t>
            </w:r>
          </w:p>
        </w:tc>
        <w:tc>
          <w:tcPr>
            <w:tcW w:w="500"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sz w:val="16"/>
                <w:szCs w:val="16"/>
                <w:lang w:eastAsia="en-GB"/>
              </w:rPr>
            </w:pPr>
            <w:r w:rsidRPr="00634466">
              <w:rPr>
                <w:rFonts w:ascii="Calibri" w:eastAsia="Times New Roman" w:hAnsi="Calibri" w:cs="Arial"/>
                <w:sz w:val="16"/>
                <w:szCs w:val="16"/>
                <w:lang w:eastAsia="en-GB"/>
              </w:rPr>
              <w:t>0.75</w:t>
            </w:r>
          </w:p>
        </w:tc>
        <w:tc>
          <w:tcPr>
            <w:tcW w:w="503" w:type="dxa"/>
            <w:tcBorders>
              <w:top w:val="nil"/>
              <w:left w:val="nil"/>
              <w:bottom w:val="single" w:sz="8" w:space="0" w:color="auto"/>
              <w:right w:val="nil"/>
            </w:tcBorders>
            <w:shd w:val="clear" w:color="auto" w:fill="auto"/>
            <w:noWrap/>
            <w:vAlign w:val="bottom"/>
            <w:hideMark/>
          </w:tcPr>
          <w:p w:rsidR="00C35D90" w:rsidRPr="00634466" w:rsidRDefault="00C35D90" w:rsidP="00031C4E">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2.11</w:t>
            </w:r>
          </w:p>
        </w:tc>
      </w:tr>
    </w:tbl>
    <w:p w:rsidR="00AA52F9" w:rsidRPr="00634466" w:rsidRDefault="00AA52F9" w:rsidP="00AA52F9"/>
    <w:p w:rsidR="004B4FF9" w:rsidRPr="00634466" w:rsidRDefault="004B4FF9" w:rsidP="004B4FF9">
      <w:pPr>
        <w:spacing w:line="480" w:lineRule="auto"/>
      </w:pPr>
      <w:r w:rsidRPr="00634466">
        <w:t xml:space="preserve">When incorporating induced effects, using the Type II multipliers, a greater degree of interregional interdependence is revealed. </w:t>
      </w:r>
      <w:r w:rsidR="0042535E" w:rsidRPr="00634466">
        <w:t>As can be expect</w:t>
      </w:r>
      <w:r w:rsidR="001E1AE1" w:rsidRPr="00634466">
        <w:t>ed</w:t>
      </w:r>
      <w:r w:rsidR="0042535E" w:rsidRPr="00634466">
        <w:t xml:space="preserve"> two general patterns emerge from the multipliers. The induced spill-over effects tend to be bigger for the smaller regions and for service sectors. For i</w:t>
      </w:r>
      <w:r w:rsidR="00C35D90">
        <w:t>nstance, looking at Education, Health &amp; S</w:t>
      </w:r>
      <w:r w:rsidR="0042535E" w:rsidRPr="00634466">
        <w:t>ocial work in Glasgow indirect and induced effects amount to 1.15. Thereof</w:t>
      </w:r>
      <w:r w:rsidR="00843C98">
        <w:t>, induced effects in RST</w:t>
      </w:r>
      <w:r w:rsidR="0042535E" w:rsidRPr="00634466">
        <w:t xml:space="preserve"> amount to 0.24 (</w:t>
      </w:r>
      <w:r w:rsidR="009E0868" w:rsidRPr="00634466">
        <w:t>0.32-0.08</w:t>
      </w:r>
      <w:r w:rsidR="0042535E" w:rsidRPr="00634466">
        <w:t>) and 0.32 (</w:t>
      </w:r>
      <w:r w:rsidR="009E0868" w:rsidRPr="00634466">
        <w:t>0.47-0.15</w:t>
      </w:r>
      <w:r w:rsidR="00843C98">
        <w:t>) in ROS</w:t>
      </w:r>
      <w:r w:rsidR="0042535E" w:rsidRPr="00634466">
        <w:t xml:space="preserve">. </w:t>
      </w:r>
      <w:r w:rsidR="00843C98">
        <w:t>That is</w:t>
      </w:r>
      <w:r w:rsidR="009E0868" w:rsidRPr="00634466">
        <w:t xml:space="preserve"> just under half of overall multiplier effects. </w:t>
      </w:r>
      <w:proofErr w:type="gramStart"/>
      <w:r w:rsidR="009E0868" w:rsidRPr="00634466">
        <w:t>Looking at the same sector in ROS, the induced effe</w:t>
      </w:r>
      <w:r w:rsidR="00843C98">
        <w:t>cts that spill</w:t>
      </w:r>
      <w:r w:rsidR="009E0868" w:rsidRPr="00634466">
        <w:t xml:space="preserve"> into GLA and RST amount to 0.09 and 0.14 or just under 20% of overall multiplier effects.</w:t>
      </w:r>
      <w:proofErr w:type="gramEnd"/>
      <w:r w:rsidR="009E0868" w:rsidRPr="00634466">
        <w:t xml:space="preserve"> A similar patt</w:t>
      </w:r>
      <w:r w:rsidR="00C35D90">
        <w:t>ern emerges for Distribution &amp; Catering, Transport &amp; C</w:t>
      </w:r>
      <w:r w:rsidR="009E0868" w:rsidRPr="00634466">
        <w:t>ommunications, Finance &amp; Business, P</w:t>
      </w:r>
      <w:r w:rsidR="00C35D90">
        <w:t>ublic administration and Other S</w:t>
      </w:r>
      <w:r w:rsidR="009E0868" w:rsidRPr="00634466">
        <w:t xml:space="preserve">ervices. Conversely, looking at a capital intensive sector like Energy, induced effects are much more subdued. For the </w:t>
      </w:r>
      <w:r w:rsidR="001E1AE1" w:rsidRPr="00634466">
        <w:t xml:space="preserve">Energy </w:t>
      </w:r>
      <w:r w:rsidR="009E0868" w:rsidRPr="00634466">
        <w:t>sector in Glasgow multiplier effects</w:t>
      </w:r>
      <w:r w:rsidR="001E1AE1" w:rsidRPr="00634466">
        <w:t xml:space="preserve"> in Scotland as a whole</w:t>
      </w:r>
      <w:r w:rsidR="009E0868" w:rsidRPr="00634466">
        <w:t xml:space="preserve"> amount to 1.17</w:t>
      </w:r>
      <w:r w:rsidR="001E1AE1" w:rsidRPr="00634466">
        <w:t>. T</w:t>
      </w:r>
      <w:r w:rsidR="009E0868" w:rsidRPr="00634466">
        <w:t>hereof</w:t>
      </w:r>
      <w:r w:rsidR="001E1AE1" w:rsidRPr="00634466">
        <w:t xml:space="preserve">, 0.25 is an induced effect, with </w:t>
      </w:r>
      <w:r w:rsidR="009E0868" w:rsidRPr="00634466">
        <w:t xml:space="preserve">0.06 </w:t>
      </w:r>
      <w:r w:rsidR="001E1AE1" w:rsidRPr="00634466">
        <w:t>impacting</w:t>
      </w:r>
      <w:r w:rsidR="009E0868" w:rsidRPr="00634466">
        <w:t xml:space="preserve"> locally </w:t>
      </w:r>
      <w:r w:rsidR="003C3F83" w:rsidRPr="00634466">
        <w:t xml:space="preserve">and 0.08 and 0.11 spilling over into RST and ROS, respectively. For the same sector in ROS, induced effects amount to 0.25 of overall </w:t>
      </w:r>
      <w:r w:rsidR="00843C98">
        <w:t>multiplier effects of 1.18. However, more than half</w:t>
      </w:r>
      <w:r w:rsidR="003C3F83" w:rsidRPr="00634466">
        <w:t xml:space="preserve"> of these (0.16) are incurred locally in ROS</w:t>
      </w:r>
    </w:p>
    <w:p w:rsidR="008E26B4" w:rsidRPr="00634466" w:rsidRDefault="008E26B4" w:rsidP="008E26B4">
      <w:pPr>
        <w:pStyle w:val="Heading1"/>
        <w:numPr>
          <w:ilvl w:val="0"/>
          <w:numId w:val="6"/>
        </w:numPr>
        <w:spacing w:line="480" w:lineRule="auto"/>
      </w:pPr>
      <w:r w:rsidRPr="00634466">
        <w:t>Alternative specifications and sensitivity of multipliers</w:t>
      </w:r>
    </w:p>
    <w:p w:rsidR="008E26B4" w:rsidRPr="00634466" w:rsidRDefault="008E26B4" w:rsidP="008E26B4">
      <w:pPr>
        <w:spacing w:line="480" w:lineRule="auto"/>
      </w:pPr>
      <w:r w:rsidRPr="00634466">
        <w:t xml:space="preserve">Sensitivity analysis is conduced around two dimensions: the approach used to estimate intermediate trade, which influences the extent of indirect knock-on impacts; and the treatment of wages and household consumption, which influence the nature of induced impacts. </w:t>
      </w:r>
    </w:p>
    <w:p w:rsidR="008E26B4" w:rsidRPr="00634466" w:rsidRDefault="008E26B4" w:rsidP="008E26B4">
      <w:pPr>
        <w:pStyle w:val="Heading2"/>
        <w:numPr>
          <w:ilvl w:val="1"/>
          <w:numId w:val="6"/>
        </w:numPr>
        <w:spacing w:line="480" w:lineRule="auto"/>
      </w:pPr>
      <w:r w:rsidRPr="00634466">
        <w:t>Intermediate transactions</w:t>
      </w:r>
    </w:p>
    <w:p w:rsidR="008E26B4" w:rsidRPr="00634466" w:rsidRDefault="008E26B4" w:rsidP="008E26B4">
      <w:pPr>
        <w:spacing w:line="480" w:lineRule="auto"/>
      </w:pPr>
      <w:bookmarkStart w:id="47" w:name="_Ref293414131"/>
      <w:bookmarkStart w:id="48" w:name="_Ref293493497"/>
      <w:r w:rsidRPr="00634466">
        <w:t xml:space="preserve">The IO table is estimated using alternative LQs. The FLQ formula is used under a range of δ parameters and compared to a version of the IO table estimated using SLQs. </w:t>
      </w:r>
      <w:r w:rsidR="002E08B5" w:rsidRPr="00634466">
        <w:t xml:space="preserve">The upper and lower level of δ chosen </w:t>
      </w:r>
      <w:r w:rsidR="000B2DD9" w:rsidRPr="00634466">
        <w:t xml:space="preserve">here follows </w:t>
      </w:r>
      <w:proofErr w:type="spellStart"/>
      <w:r w:rsidR="000B2DD9" w:rsidRPr="00634466">
        <w:t>Flegg</w:t>
      </w:r>
      <w:proofErr w:type="spellEnd"/>
      <w:r w:rsidR="000B2DD9" w:rsidRPr="00634466">
        <w:t xml:space="preserve"> &amp; </w:t>
      </w:r>
      <w:proofErr w:type="spellStart"/>
      <w:r w:rsidR="000B2DD9" w:rsidRPr="00634466">
        <w:t>Tohmo</w:t>
      </w:r>
      <w:proofErr w:type="spellEnd"/>
      <w:r w:rsidR="000B2DD9" w:rsidRPr="00634466">
        <w:t xml:space="preserve"> (2013a</w:t>
      </w:r>
      <w:r w:rsidR="000B1715" w:rsidRPr="00634466">
        <w:t>),</w:t>
      </w:r>
      <w:r w:rsidR="001B3FC0" w:rsidRPr="00634466">
        <w:t xml:space="preserve"> which test</w:t>
      </w:r>
      <w:r w:rsidR="00843C98">
        <w:t>s</w:t>
      </w:r>
      <w:r w:rsidR="001B3FC0" w:rsidRPr="00634466">
        <w:t xml:space="preserve"> the appropriateness</w:t>
      </w:r>
      <w:r w:rsidR="002E08B5" w:rsidRPr="00634466">
        <w:t xml:space="preserve"> of δ</w:t>
      </w:r>
      <w:r w:rsidR="001B3FC0" w:rsidRPr="00634466">
        <w:t xml:space="preserve"> values in</w:t>
      </w:r>
      <w:r w:rsidR="002E08B5" w:rsidRPr="00634466">
        <w:t xml:space="preserve"> the </w:t>
      </w:r>
      <w:r w:rsidR="00AC250F" w:rsidRPr="00634466">
        <w:t>range 0.15</w:t>
      </w:r>
      <w:r w:rsidR="002E08B5" w:rsidRPr="00634466">
        <w:t>-0.</w:t>
      </w:r>
      <w:r w:rsidR="00AC250F" w:rsidRPr="00634466">
        <w:t>4</w:t>
      </w:r>
      <w:r w:rsidR="002E08B5" w:rsidRPr="00634466">
        <w:t xml:space="preserve"> for 20 regions in Finland</w:t>
      </w:r>
      <w:r w:rsidR="00AC250F" w:rsidRPr="00634466">
        <w:t>.</w:t>
      </w:r>
      <w:r w:rsidRPr="00634466">
        <w:t xml:space="preserve"> To simplify the presentation of results the industrial sectors are aggregated into 1 sector for each region</w:t>
      </w:r>
      <w:r w:rsidR="004D56D7" w:rsidRPr="00634466">
        <w:t xml:space="preserve"> to identify the</w:t>
      </w:r>
      <w:r w:rsidR="00C423CC" w:rsidRPr="00634466">
        <w:t xml:space="preserve"> extent to which indirect (and </w:t>
      </w:r>
      <w:r w:rsidR="00C423CC" w:rsidRPr="00634466">
        <w:lastRenderedPageBreak/>
        <w:t>where appropriate induced effects) impact locally or in other sub-regions</w:t>
      </w:r>
      <w:r w:rsidRPr="00634466">
        <w:t xml:space="preserve">. </w:t>
      </w:r>
      <w:fldSimple w:instr=" REF _Ref354997970 \h  \* MERGEFORMAT ">
        <w:r w:rsidR="00476FBF" w:rsidRPr="00634466">
          <w:t xml:space="preserve">Table </w:t>
        </w:r>
        <w:r w:rsidR="00476FBF">
          <w:t>6</w:t>
        </w:r>
      </w:fldSimple>
      <w:r w:rsidR="00C423CC" w:rsidRPr="00634466">
        <w:t xml:space="preserve"> </w:t>
      </w:r>
      <w:r w:rsidRPr="00634466">
        <w:t>s</w:t>
      </w:r>
      <w:r w:rsidR="008B035E" w:rsidRPr="00634466">
        <w:t>hows</w:t>
      </w:r>
      <w:r w:rsidRPr="00634466">
        <w:t xml:space="preserve"> aggregate multipliers broken down into their constituent components: direct effect, local</w:t>
      </w:r>
      <w:r w:rsidR="00616CBB">
        <w:t xml:space="preserve"> multiplier effects</w:t>
      </w:r>
      <w:r w:rsidRPr="00634466">
        <w:t xml:space="preserve"> </w:t>
      </w:r>
      <w:r w:rsidR="008B035E" w:rsidRPr="00634466">
        <w:t>and interregional multiplier effects.</w:t>
      </w:r>
      <w:r w:rsidRPr="00634466">
        <w:t xml:space="preserve"> </w:t>
      </w:r>
    </w:p>
    <w:p w:rsidR="001E1AE1" w:rsidRPr="00634466" w:rsidRDefault="001E1AE1" w:rsidP="008E26B4">
      <w:pPr>
        <w:spacing w:line="480" w:lineRule="auto"/>
      </w:pPr>
    </w:p>
    <w:p w:rsidR="009269DA" w:rsidRPr="00634466" w:rsidRDefault="009269DA" w:rsidP="0021722E">
      <w:pPr>
        <w:pStyle w:val="Caption"/>
      </w:pPr>
      <w:r w:rsidRPr="00634466">
        <w:t xml:space="preserve">Table </w:t>
      </w:r>
      <w:r w:rsidR="00BB6961" w:rsidRPr="00634466">
        <w:fldChar w:fldCharType="begin"/>
      </w:r>
      <w:r w:rsidR="004A1262" w:rsidRPr="00634466">
        <w:instrText xml:space="preserve"> SEQ Table \* ARABIC </w:instrText>
      </w:r>
      <w:r w:rsidR="00BB6961" w:rsidRPr="00634466">
        <w:fldChar w:fldCharType="separate"/>
      </w:r>
      <w:r w:rsidR="00476FBF">
        <w:rPr>
          <w:noProof/>
        </w:rPr>
        <w:t>7</w:t>
      </w:r>
      <w:r w:rsidR="00BB6961" w:rsidRPr="00634466">
        <w:rPr>
          <w:noProof/>
        </w:rPr>
        <w:fldChar w:fldCharType="end"/>
      </w:r>
      <w:r w:rsidRPr="00634466">
        <w:t xml:space="preserve"> Spatial decomposition of aggregate multipliers by sub-region</w:t>
      </w:r>
    </w:p>
    <w:tbl>
      <w:tblPr>
        <w:tblW w:w="6778" w:type="dxa"/>
        <w:jc w:val="center"/>
        <w:tblInd w:w="108" w:type="dxa"/>
        <w:tblLook w:val="04A0"/>
      </w:tblPr>
      <w:tblGrid>
        <w:gridCol w:w="423"/>
        <w:gridCol w:w="1228"/>
        <w:gridCol w:w="253"/>
        <w:gridCol w:w="687"/>
        <w:gridCol w:w="555"/>
        <w:gridCol w:w="911"/>
        <w:gridCol w:w="253"/>
        <w:gridCol w:w="726"/>
        <w:gridCol w:w="555"/>
        <w:gridCol w:w="911"/>
        <w:gridCol w:w="276"/>
      </w:tblGrid>
      <w:tr w:rsidR="00401821" w:rsidRPr="00634466" w:rsidTr="007A7E3F">
        <w:trPr>
          <w:trHeight w:val="264"/>
          <w:jc w:val="center"/>
        </w:trPr>
        <w:tc>
          <w:tcPr>
            <w:tcW w:w="423"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1228"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253"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2153" w:type="dxa"/>
            <w:gridSpan w:val="3"/>
            <w:tcBorders>
              <w:top w:val="nil"/>
              <w:left w:val="nil"/>
              <w:bottom w:val="single"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Type I</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p>
        </w:tc>
        <w:tc>
          <w:tcPr>
            <w:tcW w:w="2192" w:type="dxa"/>
            <w:gridSpan w:val="3"/>
            <w:tcBorders>
              <w:top w:val="nil"/>
              <w:left w:val="nil"/>
              <w:bottom w:val="single"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Type II</w:t>
            </w:r>
          </w:p>
        </w:tc>
        <w:tc>
          <w:tcPr>
            <w:tcW w:w="276" w:type="dxa"/>
            <w:tcBorders>
              <w:top w:val="nil"/>
              <w:left w:val="nil"/>
              <w:bottom w:val="nil"/>
              <w:right w:val="nil"/>
            </w:tcBorders>
            <w:shd w:val="clear" w:color="auto" w:fill="auto"/>
            <w:noWrap/>
            <w:vAlign w:val="bottom"/>
            <w:hideMark/>
          </w:tcPr>
          <w:p w:rsidR="00401821" w:rsidRPr="00634466" w:rsidRDefault="00401821" w:rsidP="00401821">
            <w:pPr>
              <w:rPr>
                <w:rFonts w:ascii="Arial" w:eastAsia="Times New Roman" w:hAnsi="Arial" w:cs="Arial"/>
                <w:sz w:val="20"/>
                <w:szCs w:val="20"/>
                <w:lang w:eastAsia="en-GB"/>
              </w:rPr>
            </w:pPr>
          </w:p>
        </w:tc>
      </w:tr>
      <w:tr w:rsidR="00401821" w:rsidRPr="00634466" w:rsidTr="007A7E3F">
        <w:trPr>
          <w:trHeight w:val="264"/>
          <w:jc w:val="center"/>
        </w:trPr>
        <w:tc>
          <w:tcPr>
            <w:tcW w:w="423"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1228"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253"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687" w:type="dxa"/>
            <w:vMerge w:val="restart"/>
            <w:tcBorders>
              <w:top w:val="nil"/>
              <w:left w:val="nil"/>
              <w:bottom w:val="single" w:sz="8" w:space="0" w:color="000000"/>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Direct</w:t>
            </w:r>
          </w:p>
        </w:tc>
        <w:tc>
          <w:tcPr>
            <w:tcW w:w="1466" w:type="dxa"/>
            <w:gridSpan w:val="2"/>
            <w:tcBorders>
              <w:top w:val="single" w:sz="4" w:space="0" w:color="auto"/>
              <w:left w:val="nil"/>
              <w:bottom w:val="dott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Indirect</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p>
        </w:tc>
        <w:tc>
          <w:tcPr>
            <w:tcW w:w="726" w:type="dxa"/>
            <w:vMerge w:val="restart"/>
            <w:tcBorders>
              <w:top w:val="nil"/>
              <w:left w:val="nil"/>
              <w:bottom w:val="single" w:sz="8" w:space="0" w:color="000000"/>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Direct</w:t>
            </w:r>
          </w:p>
        </w:tc>
        <w:tc>
          <w:tcPr>
            <w:tcW w:w="1466" w:type="dxa"/>
            <w:gridSpan w:val="2"/>
            <w:tcBorders>
              <w:top w:val="single" w:sz="4" w:space="0" w:color="auto"/>
              <w:left w:val="nil"/>
              <w:bottom w:val="dotted" w:sz="4" w:space="0" w:color="auto"/>
              <w:right w:val="nil"/>
            </w:tcBorders>
            <w:shd w:val="clear" w:color="auto" w:fill="auto"/>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Indirect &amp; induced</w:t>
            </w:r>
          </w:p>
        </w:tc>
        <w:tc>
          <w:tcPr>
            <w:tcW w:w="276" w:type="dxa"/>
            <w:tcBorders>
              <w:top w:val="nil"/>
              <w:left w:val="nil"/>
              <w:bottom w:val="nil"/>
              <w:right w:val="nil"/>
            </w:tcBorders>
            <w:shd w:val="clear" w:color="auto" w:fill="auto"/>
            <w:noWrap/>
            <w:vAlign w:val="bottom"/>
            <w:hideMark/>
          </w:tcPr>
          <w:p w:rsidR="00401821" w:rsidRPr="00634466" w:rsidRDefault="00401821" w:rsidP="00401821">
            <w:pPr>
              <w:rPr>
                <w:rFonts w:ascii="Arial" w:eastAsia="Times New Roman" w:hAnsi="Arial" w:cs="Arial"/>
                <w:sz w:val="20"/>
                <w:szCs w:val="20"/>
                <w:lang w:eastAsia="en-GB"/>
              </w:rPr>
            </w:pPr>
          </w:p>
        </w:tc>
      </w:tr>
      <w:tr w:rsidR="007A7E3F" w:rsidRPr="00634466" w:rsidTr="007A7E3F">
        <w:trPr>
          <w:trHeight w:val="420"/>
          <w:jc w:val="center"/>
        </w:trPr>
        <w:tc>
          <w:tcPr>
            <w:tcW w:w="423" w:type="dxa"/>
            <w:tcBorders>
              <w:top w:val="nil"/>
              <w:left w:val="nil"/>
              <w:bottom w:val="nil"/>
              <w:right w:val="nil"/>
            </w:tcBorders>
            <w:shd w:val="clear" w:color="auto" w:fill="auto"/>
            <w:noWrap/>
            <w:vAlign w:val="bottom"/>
            <w:hideMark/>
          </w:tcPr>
          <w:p w:rsidR="00401821" w:rsidRPr="00634466" w:rsidRDefault="00401821" w:rsidP="00401821">
            <w:pPr>
              <w:rPr>
                <w:rFonts w:ascii="Calibri" w:eastAsia="Times New Roman" w:hAnsi="Calibri" w:cs="Arial"/>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vMerge/>
            <w:tcBorders>
              <w:top w:val="nil"/>
              <w:left w:val="nil"/>
              <w:bottom w:val="single" w:sz="8" w:space="0" w:color="000000"/>
              <w:right w:val="nil"/>
            </w:tcBorders>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Local</w:t>
            </w:r>
          </w:p>
        </w:tc>
        <w:tc>
          <w:tcPr>
            <w:tcW w:w="911" w:type="dxa"/>
            <w:tcBorders>
              <w:top w:val="nil"/>
              <w:left w:val="nil"/>
              <w:bottom w:val="nil"/>
              <w:right w:val="nil"/>
            </w:tcBorders>
            <w:shd w:val="clear" w:color="auto" w:fill="auto"/>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Inter-</w:t>
            </w:r>
            <w:r w:rsidRPr="00634466">
              <w:rPr>
                <w:rFonts w:ascii="Calibri" w:eastAsia="Times New Roman" w:hAnsi="Calibri" w:cs="Arial"/>
                <w:b/>
                <w:bCs/>
                <w:color w:val="000000"/>
                <w:sz w:val="16"/>
                <w:szCs w:val="16"/>
                <w:lang w:eastAsia="en-GB"/>
              </w:rPr>
              <w:br/>
              <w:t>regional</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p>
        </w:tc>
        <w:tc>
          <w:tcPr>
            <w:tcW w:w="726" w:type="dxa"/>
            <w:vMerge/>
            <w:tcBorders>
              <w:top w:val="nil"/>
              <w:left w:val="nil"/>
              <w:bottom w:val="single" w:sz="8" w:space="0" w:color="000000"/>
              <w:right w:val="nil"/>
            </w:tcBorders>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Local</w:t>
            </w:r>
          </w:p>
        </w:tc>
        <w:tc>
          <w:tcPr>
            <w:tcW w:w="911" w:type="dxa"/>
            <w:tcBorders>
              <w:top w:val="nil"/>
              <w:left w:val="nil"/>
              <w:bottom w:val="nil"/>
              <w:right w:val="nil"/>
            </w:tcBorders>
            <w:shd w:val="clear" w:color="auto" w:fill="auto"/>
            <w:vAlign w:val="center"/>
            <w:hideMark/>
          </w:tcPr>
          <w:p w:rsidR="00401821" w:rsidRPr="00634466" w:rsidRDefault="00401821" w:rsidP="00401821">
            <w:pPr>
              <w:jc w:val="cente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Inter-</w:t>
            </w:r>
            <w:r w:rsidRPr="00634466">
              <w:rPr>
                <w:rFonts w:ascii="Calibri" w:eastAsia="Times New Roman" w:hAnsi="Calibri" w:cs="Arial"/>
                <w:b/>
                <w:bCs/>
                <w:color w:val="000000"/>
                <w:sz w:val="16"/>
                <w:szCs w:val="16"/>
                <w:lang w:eastAsia="en-GB"/>
              </w:rPr>
              <w:br/>
              <w:t>regional</w:t>
            </w:r>
          </w:p>
        </w:tc>
        <w:tc>
          <w:tcPr>
            <w:tcW w:w="276" w:type="dxa"/>
            <w:tcBorders>
              <w:top w:val="nil"/>
              <w:left w:val="nil"/>
              <w:bottom w:val="nil"/>
              <w:right w:val="nil"/>
            </w:tcBorders>
            <w:shd w:val="clear" w:color="auto" w:fill="auto"/>
            <w:noWrap/>
            <w:vAlign w:val="bottom"/>
            <w:hideMark/>
          </w:tcPr>
          <w:p w:rsidR="00401821" w:rsidRPr="00634466" w:rsidRDefault="00401821" w:rsidP="00401821">
            <w:pPr>
              <w:rPr>
                <w:rFonts w:ascii="Arial" w:eastAsia="Times New Roman" w:hAnsi="Arial" w:cs="Arial"/>
                <w:sz w:val="20"/>
                <w:szCs w:val="20"/>
                <w:lang w:eastAsia="en-GB"/>
              </w:rPr>
            </w:pPr>
          </w:p>
        </w:tc>
      </w:tr>
      <w:tr w:rsidR="00401821" w:rsidRPr="00634466" w:rsidTr="007A7E3F">
        <w:trPr>
          <w:trHeight w:val="264"/>
          <w:jc w:val="center"/>
        </w:trPr>
        <w:tc>
          <w:tcPr>
            <w:tcW w:w="423" w:type="dxa"/>
            <w:vMerge w:val="restart"/>
            <w:tcBorders>
              <w:top w:val="single" w:sz="8" w:space="0" w:color="auto"/>
              <w:left w:val="nil"/>
              <w:bottom w:val="nil"/>
              <w:right w:val="nil"/>
            </w:tcBorders>
            <w:shd w:val="clear" w:color="auto" w:fill="auto"/>
            <w:noWrap/>
            <w:textDirection w:val="btLr"/>
            <w:vAlign w:val="center"/>
            <w:hideMark/>
          </w:tcPr>
          <w:p w:rsidR="00401821" w:rsidRPr="00634466" w:rsidRDefault="00401821" w:rsidP="00401821">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GLA</w:t>
            </w:r>
          </w:p>
        </w:tc>
        <w:tc>
          <w:tcPr>
            <w:tcW w:w="1228" w:type="dxa"/>
            <w:tcBorders>
              <w:top w:val="single" w:sz="8"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SLQ</w:t>
            </w:r>
          </w:p>
        </w:tc>
        <w:tc>
          <w:tcPr>
            <w:tcW w:w="253" w:type="dxa"/>
            <w:tcBorders>
              <w:top w:val="single" w:sz="8"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 </w:t>
            </w: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0.33</w:t>
            </w:r>
          </w:p>
        </w:tc>
        <w:tc>
          <w:tcPr>
            <w:tcW w:w="911"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0.10</w:t>
            </w:r>
          </w:p>
        </w:tc>
        <w:tc>
          <w:tcPr>
            <w:tcW w:w="253"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0.49</w:t>
            </w:r>
          </w:p>
        </w:tc>
        <w:tc>
          <w:tcPr>
            <w:tcW w:w="911"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0.46</w:t>
            </w:r>
          </w:p>
        </w:tc>
        <w:tc>
          <w:tcPr>
            <w:tcW w:w="276" w:type="dxa"/>
            <w:tcBorders>
              <w:top w:val="single" w:sz="8"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r>
      <w:tr w:rsidR="00401821" w:rsidRPr="00634466" w:rsidTr="007A7E3F">
        <w:trPr>
          <w:trHeight w:val="264"/>
          <w:jc w:val="center"/>
        </w:trPr>
        <w:tc>
          <w:tcPr>
            <w:tcW w:w="423" w:type="dxa"/>
            <w:vMerge/>
            <w:tcBorders>
              <w:top w:val="single" w:sz="8" w:space="0" w:color="auto"/>
              <w:left w:val="nil"/>
              <w:bottom w:val="nil"/>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w:t>
            </w:r>
            <w:r w:rsidRPr="00634466">
              <w:rPr>
                <w:rFonts w:ascii="Calibri" w:eastAsia="Times New Roman" w:hAnsi="Calibri" w:cs="Arial"/>
                <w:color w:val="000000"/>
                <w:sz w:val="16"/>
                <w:szCs w:val="16"/>
                <w:lang w:eastAsia="en-GB"/>
              </w:rPr>
              <w:t xml:space="preserve"> (δ=0.15)</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0.22</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0.21</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0.38</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0.57</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tcBorders>
              <w:top w:val="single" w:sz="8" w:space="0" w:color="auto"/>
              <w:left w:val="nil"/>
              <w:bottom w:val="nil"/>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w:t>
            </w:r>
            <w:r w:rsidRPr="00634466">
              <w:rPr>
                <w:rFonts w:ascii="Calibri" w:eastAsia="Times New Roman" w:hAnsi="Calibri" w:cs="Arial"/>
                <w:color w:val="000000"/>
                <w:sz w:val="16"/>
                <w:szCs w:val="16"/>
                <w:lang w:eastAsia="en-GB"/>
              </w:rPr>
              <w:t xml:space="preserve"> (δ=0.3)</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0.19</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0.24</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0.35</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0.61</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tcBorders>
              <w:top w:val="single" w:sz="8" w:space="0" w:color="auto"/>
              <w:left w:val="nil"/>
              <w:bottom w:val="nil"/>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w:t>
            </w:r>
            <w:r w:rsidRPr="00634466">
              <w:rPr>
                <w:rFonts w:ascii="Calibri" w:eastAsia="Times New Roman" w:hAnsi="Calibri" w:cs="Arial"/>
                <w:color w:val="000000"/>
                <w:sz w:val="16"/>
                <w:szCs w:val="16"/>
                <w:lang w:eastAsia="en-GB"/>
              </w:rPr>
              <w:t xml:space="preserve"> (δ=0.4)</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0.18</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0.26</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0.33</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0.63</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val="restart"/>
            <w:tcBorders>
              <w:top w:val="dashed" w:sz="4" w:space="0" w:color="auto"/>
              <w:left w:val="nil"/>
              <w:bottom w:val="dashed" w:sz="4" w:space="0" w:color="000000"/>
              <w:right w:val="nil"/>
            </w:tcBorders>
            <w:shd w:val="clear" w:color="auto" w:fill="auto"/>
            <w:noWrap/>
            <w:textDirection w:val="btLr"/>
            <w:vAlign w:val="center"/>
            <w:hideMark/>
          </w:tcPr>
          <w:p w:rsidR="00401821" w:rsidRPr="00634466" w:rsidRDefault="00401821" w:rsidP="00401821">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RST</w:t>
            </w:r>
          </w:p>
        </w:tc>
        <w:tc>
          <w:tcPr>
            <w:tcW w:w="1228" w:type="dxa"/>
            <w:tcBorders>
              <w:top w:val="dashed" w:sz="4"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SLQ</w:t>
            </w:r>
          </w:p>
        </w:tc>
        <w:tc>
          <w:tcPr>
            <w:tcW w:w="253" w:type="dxa"/>
            <w:tcBorders>
              <w:top w:val="dashed" w:sz="4"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 </w:t>
            </w:r>
          </w:p>
        </w:tc>
        <w:tc>
          <w:tcPr>
            <w:tcW w:w="687"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0.35</w:t>
            </w:r>
          </w:p>
        </w:tc>
        <w:tc>
          <w:tcPr>
            <w:tcW w:w="911"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0.10</w:t>
            </w:r>
          </w:p>
        </w:tc>
        <w:tc>
          <w:tcPr>
            <w:tcW w:w="253"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c>
          <w:tcPr>
            <w:tcW w:w="726"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0.55</w:t>
            </w:r>
          </w:p>
        </w:tc>
        <w:tc>
          <w:tcPr>
            <w:tcW w:w="911"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0.45</w:t>
            </w:r>
          </w:p>
        </w:tc>
        <w:tc>
          <w:tcPr>
            <w:tcW w:w="276"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r>
      <w:tr w:rsidR="00401821" w:rsidRPr="00634466" w:rsidTr="007A7E3F">
        <w:trPr>
          <w:trHeight w:val="264"/>
          <w:jc w:val="center"/>
        </w:trPr>
        <w:tc>
          <w:tcPr>
            <w:tcW w:w="423" w:type="dxa"/>
            <w:vMerge/>
            <w:tcBorders>
              <w:top w:val="dashed" w:sz="4" w:space="0" w:color="auto"/>
              <w:left w:val="nil"/>
              <w:bottom w:val="dashed" w:sz="4"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(δ=0.15)</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0.24</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0.21</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0.44</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0.56</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tcBorders>
              <w:top w:val="dashed" w:sz="4" w:space="0" w:color="auto"/>
              <w:left w:val="nil"/>
              <w:bottom w:val="dashed" w:sz="4"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(δ=0.3)</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0.22</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0.24</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0.41</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0.59</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tcBorders>
              <w:top w:val="dashed" w:sz="4" w:space="0" w:color="auto"/>
              <w:left w:val="nil"/>
              <w:bottom w:val="dashed" w:sz="4"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(δ=0.4)</w:t>
            </w:r>
          </w:p>
        </w:tc>
        <w:tc>
          <w:tcPr>
            <w:tcW w:w="253" w:type="dxa"/>
            <w:tcBorders>
              <w:top w:val="nil"/>
              <w:left w:val="nil"/>
              <w:bottom w:val="dashed" w:sz="4" w:space="0" w:color="auto"/>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 </w:t>
            </w:r>
          </w:p>
        </w:tc>
        <w:tc>
          <w:tcPr>
            <w:tcW w:w="687"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0.20</w:t>
            </w:r>
          </w:p>
        </w:tc>
        <w:tc>
          <w:tcPr>
            <w:tcW w:w="911"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0.25</w:t>
            </w:r>
          </w:p>
        </w:tc>
        <w:tc>
          <w:tcPr>
            <w:tcW w:w="253"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c>
          <w:tcPr>
            <w:tcW w:w="726"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0.40</w:t>
            </w:r>
          </w:p>
        </w:tc>
        <w:tc>
          <w:tcPr>
            <w:tcW w:w="911"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0.60</w:t>
            </w:r>
          </w:p>
        </w:tc>
        <w:tc>
          <w:tcPr>
            <w:tcW w:w="276" w:type="dxa"/>
            <w:tcBorders>
              <w:top w:val="nil"/>
              <w:left w:val="nil"/>
              <w:bottom w:val="dashed" w:sz="4"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r>
      <w:tr w:rsidR="00401821" w:rsidRPr="00634466" w:rsidTr="007A7E3F">
        <w:trPr>
          <w:trHeight w:val="264"/>
          <w:jc w:val="center"/>
        </w:trPr>
        <w:tc>
          <w:tcPr>
            <w:tcW w:w="423" w:type="dxa"/>
            <w:vMerge w:val="restart"/>
            <w:tcBorders>
              <w:top w:val="dashed" w:sz="4" w:space="0" w:color="auto"/>
              <w:left w:val="nil"/>
              <w:bottom w:val="single" w:sz="8" w:space="0" w:color="000000"/>
              <w:right w:val="nil"/>
            </w:tcBorders>
            <w:shd w:val="clear" w:color="auto" w:fill="auto"/>
            <w:noWrap/>
            <w:textDirection w:val="btLr"/>
            <w:vAlign w:val="center"/>
            <w:hideMark/>
          </w:tcPr>
          <w:p w:rsidR="00401821" w:rsidRPr="00634466" w:rsidRDefault="00401821" w:rsidP="00401821">
            <w:pPr>
              <w:jc w:val="center"/>
              <w:rPr>
                <w:rFonts w:ascii="Calibri" w:eastAsia="Times New Roman" w:hAnsi="Calibri" w:cs="Arial"/>
                <w:b/>
                <w:bCs/>
                <w:sz w:val="16"/>
                <w:szCs w:val="16"/>
                <w:lang w:eastAsia="en-GB"/>
              </w:rPr>
            </w:pPr>
            <w:r w:rsidRPr="00634466">
              <w:rPr>
                <w:rFonts w:ascii="Calibri" w:eastAsia="Times New Roman" w:hAnsi="Calibri" w:cs="Arial"/>
                <w:b/>
                <w:bCs/>
                <w:sz w:val="16"/>
                <w:szCs w:val="16"/>
                <w:lang w:eastAsia="en-GB"/>
              </w:rPr>
              <w:t>ROS</w:t>
            </w:r>
          </w:p>
        </w:tc>
        <w:tc>
          <w:tcPr>
            <w:tcW w:w="1228" w:type="dxa"/>
            <w:tcBorders>
              <w:top w:val="dashed" w:sz="4"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SLQ</w:t>
            </w:r>
          </w:p>
        </w:tc>
        <w:tc>
          <w:tcPr>
            <w:tcW w:w="253" w:type="dxa"/>
            <w:tcBorders>
              <w:top w:val="dashed" w:sz="4" w:space="0" w:color="auto"/>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 </w:t>
            </w:r>
          </w:p>
        </w:tc>
        <w:tc>
          <w:tcPr>
            <w:tcW w:w="687"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0.44</w:t>
            </w:r>
          </w:p>
        </w:tc>
        <w:tc>
          <w:tcPr>
            <w:tcW w:w="911"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0.04</w:t>
            </w:r>
          </w:p>
        </w:tc>
        <w:tc>
          <w:tcPr>
            <w:tcW w:w="253"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c>
          <w:tcPr>
            <w:tcW w:w="726"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0.84</w:t>
            </w:r>
          </w:p>
        </w:tc>
        <w:tc>
          <w:tcPr>
            <w:tcW w:w="911"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0.16</w:t>
            </w:r>
          </w:p>
        </w:tc>
        <w:tc>
          <w:tcPr>
            <w:tcW w:w="276" w:type="dxa"/>
            <w:tcBorders>
              <w:top w:val="dashed" w:sz="4" w:space="0" w:color="auto"/>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r>
      <w:tr w:rsidR="00401821" w:rsidRPr="00634466" w:rsidTr="007A7E3F">
        <w:trPr>
          <w:trHeight w:val="264"/>
          <w:jc w:val="center"/>
        </w:trPr>
        <w:tc>
          <w:tcPr>
            <w:tcW w:w="423" w:type="dxa"/>
            <w:vMerge/>
            <w:tcBorders>
              <w:top w:val="dashed" w:sz="4" w:space="0" w:color="auto"/>
              <w:left w:val="nil"/>
              <w:bottom w:val="single" w:sz="8"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(δ=0.15)</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0.31</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0.16</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0.67</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0.33</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64"/>
          <w:jc w:val="center"/>
        </w:trPr>
        <w:tc>
          <w:tcPr>
            <w:tcW w:w="423" w:type="dxa"/>
            <w:vMerge/>
            <w:tcBorders>
              <w:top w:val="dashed" w:sz="4" w:space="0" w:color="auto"/>
              <w:left w:val="nil"/>
              <w:bottom w:val="single" w:sz="8"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(δ=0.3)</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p>
        </w:tc>
        <w:tc>
          <w:tcPr>
            <w:tcW w:w="687"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0.30</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0.17</w:t>
            </w:r>
          </w:p>
        </w:tc>
        <w:tc>
          <w:tcPr>
            <w:tcW w:w="253"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c>
          <w:tcPr>
            <w:tcW w:w="72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0.66</w:t>
            </w:r>
          </w:p>
        </w:tc>
        <w:tc>
          <w:tcPr>
            <w:tcW w:w="911"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0.34</w:t>
            </w:r>
          </w:p>
        </w:tc>
        <w:tc>
          <w:tcPr>
            <w:tcW w:w="276" w:type="dxa"/>
            <w:tcBorders>
              <w:top w:val="nil"/>
              <w:left w:val="nil"/>
              <w:bottom w:val="nil"/>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p>
        </w:tc>
      </w:tr>
      <w:tr w:rsidR="00401821" w:rsidRPr="00634466" w:rsidTr="007A7E3F">
        <w:trPr>
          <w:trHeight w:val="276"/>
          <w:jc w:val="center"/>
        </w:trPr>
        <w:tc>
          <w:tcPr>
            <w:tcW w:w="423" w:type="dxa"/>
            <w:vMerge/>
            <w:tcBorders>
              <w:top w:val="dashed" w:sz="4" w:space="0" w:color="auto"/>
              <w:left w:val="nil"/>
              <w:bottom w:val="single" w:sz="8" w:space="0" w:color="000000"/>
              <w:right w:val="nil"/>
            </w:tcBorders>
            <w:vAlign w:val="center"/>
            <w:hideMark/>
          </w:tcPr>
          <w:p w:rsidR="00401821" w:rsidRPr="00634466" w:rsidRDefault="00401821" w:rsidP="00401821">
            <w:pPr>
              <w:rPr>
                <w:rFonts w:ascii="Calibri" w:eastAsia="Times New Roman" w:hAnsi="Calibri" w:cs="Arial"/>
                <w:b/>
                <w:bCs/>
                <w:sz w:val="16"/>
                <w:szCs w:val="16"/>
                <w:lang w:eastAsia="en-GB"/>
              </w:rPr>
            </w:pPr>
          </w:p>
        </w:tc>
        <w:tc>
          <w:tcPr>
            <w:tcW w:w="1228" w:type="dxa"/>
            <w:tcBorders>
              <w:top w:val="nil"/>
              <w:left w:val="nil"/>
              <w:bottom w:val="single" w:sz="8" w:space="0" w:color="auto"/>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FLQ (δ=0.4)</w:t>
            </w:r>
          </w:p>
        </w:tc>
        <w:tc>
          <w:tcPr>
            <w:tcW w:w="253" w:type="dxa"/>
            <w:tcBorders>
              <w:top w:val="nil"/>
              <w:left w:val="nil"/>
              <w:bottom w:val="single" w:sz="8" w:space="0" w:color="auto"/>
              <w:right w:val="nil"/>
            </w:tcBorders>
            <w:shd w:val="clear" w:color="auto" w:fill="auto"/>
            <w:noWrap/>
            <w:vAlign w:val="center"/>
            <w:hideMark/>
          </w:tcPr>
          <w:p w:rsidR="00401821" w:rsidRPr="00634466" w:rsidRDefault="00401821" w:rsidP="00401821">
            <w:pPr>
              <w:rPr>
                <w:rFonts w:ascii="Calibri" w:eastAsia="Times New Roman" w:hAnsi="Calibri" w:cs="Arial"/>
                <w:b/>
                <w:bCs/>
                <w:color w:val="000000"/>
                <w:sz w:val="16"/>
                <w:szCs w:val="16"/>
                <w:lang w:eastAsia="en-GB"/>
              </w:rPr>
            </w:pPr>
            <w:r w:rsidRPr="00634466">
              <w:rPr>
                <w:rFonts w:ascii="Calibri" w:eastAsia="Times New Roman" w:hAnsi="Calibri" w:cs="Arial"/>
                <w:b/>
                <w:bCs/>
                <w:color w:val="000000"/>
                <w:sz w:val="16"/>
                <w:szCs w:val="16"/>
                <w:lang w:eastAsia="en-GB"/>
              </w:rPr>
              <w:t> </w:t>
            </w:r>
          </w:p>
        </w:tc>
        <w:tc>
          <w:tcPr>
            <w:tcW w:w="687"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0.30</w:t>
            </w:r>
          </w:p>
        </w:tc>
        <w:tc>
          <w:tcPr>
            <w:tcW w:w="911"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0.17</w:t>
            </w:r>
          </w:p>
        </w:tc>
        <w:tc>
          <w:tcPr>
            <w:tcW w:w="253"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c>
          <w:tcPr>
            <w:tcW w:w="726"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1</w:t>
            </w:r>
          </w:p>
        </w:tc>
        <w:tc>
          <w:tcPr>
            <w:tcW w:w="555"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0.65</w:t>
            </w:r>
          </w:p>
        </w:tc>
        <w:tc>
          <w:tcPr>
            <w:tcW w:w="911"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0.35</w:t>
            </w:r>
          </w:p>
        </w:tc>
        <w:tc>
          <w:tcPr>
            <w:tcW w:w="276" w:type="dxa"/>
            <w:tcBorders>
              <w:top w:val="nil"/>
              <w:left w:val="nil"/>
              <w:bottom w:val="single" w:sz="8" w:space="0" w:color="auto"/>
              <w:right w:val="nil"/>
            </w:tcBorders>
            <w:shd w:val="clear" w:color="auto" w:fill="auto"/>
            <w:noWrap/>
            <w:vAlign w:val="center"/>
            <w:hideMark/>
          </w:tcPr>
          <w:p w:rsidR="00401821" w:rsidRPr="00634466" w:rsidRDefault="00401821" w:rsidP="00401821">
            <w:pPr>
              <w:jc w:val="center"/>
              <w:rPr>
                <w:rFonts w:ascii="Calibri" w:eastAsia="Times New Roman" w:hAnsi="Calibri" w:cs="Arial"/>
                <w:color w:val="000000"/>
                <w:sz w:val="16"/>
                <w:szCs w:val="16"/>
                <w:lang w:eastAsia="en-GB"/>
              </w:rPr>
            </w:pPr>
            <w:r w:rsidRPr="00634466">
              <w:rPr>
                <w:rFonts w:ascii="Calibri" w:eastAsia="Times New Roman" w:hAnsi="Calibri" w:cs="Arial"/>
                <w:color w:val="000000"/>
                <w:sz w:val="16"/>
                <w:szCs w:val="16"/>
                <w:lang w:eastAsia="en-GB"/>
              </w:rPr>
              <w:t> </w:t>
            </w:r>
          </w:p>
        </w:tc>
      </w:tr>
    </w:tbl>
    <w:p w:rsidR="009269DA" w:rsidRPr="00634466" w:rsidRDefault="009269DA" w:rsidP="009269DA"/>
    <w:p w:rsidR="009269DA" w:rsidRPr="00634466" w:rsidRDefault="009269DA" w:rsidP="009269DA">
      <w:pPr>
        <w:spacing w:line="480" w:lineRule="auto"/>
        <w:rPr>
          <w:lang w:eastAsia="en-GB"/>
        </w:rPr>
      </w:pPr>
    </w:p>
    <w:p w:rsidR="00A44F50" w:rsidRPr="00634466" w:rsidRDefault="008E26B4" w:rsidP="00173344">
      <w:pPr>
        <w:spacing w:line="480" w:lineRule="auto"/>
      </w:pPr>
      <w:r w:rsidRPr="00634466">
        <w:t>Looking at the Type I multipliers, the difference between the estimated results under the SLQ and the FLQs is striking. For example in GLA, under the base case assumption of FLQ (</w:t>
      </w:r>
      <w:r w:rsidRPr="00634466">
        <w:rPr>
          <w:rFonts w:ascii="Symbol" w:hAnsi="Symbol"/>
        </w:rPr>
        <w:t></w:t>
      </w:r>
      <w:r w:rsidRPr="00634466">
        <w:t xml:space="preserve">=0.3), for every £1 of final demand stimulus locally there would be an interregional spill-over effect of 24p, whereas under the SLQ this would only be 10p. Varying the δ parameter does change the outcome, but this sensitivity is much less distinct than the initial choice between SLQ and FLQ. </w:t>
      </w:r>
      <w:r w:rsidR="008B458E" w:rsidRPr="00634466">
        <w:t>R</w:t>
      </w:r>
      <w:r w:rsidRPr="00634466">
        <w:t>esults obtained in the smaller more open sub-regions of GLA and RST</w:t>
      </w:r>
      <w:r w:rsidR="008B458E" w:rsidRPr="00634466">
        <w:t xml:space="preserve"> are similar. For the more self-contained ROS a qualitatively identical result is obtained, i.e. there is a step change from SLQ to FLQs. However,</w:t>
      </w:r>
      <w:r w:rsidRPr="00634466">
        <w:t xml:space="preserve"> spill-over effects are less distinct </w:t>
      </w:r>
      <w:r w:rsidR="008B458E" w:rsidRPr="00634466">
        <w:t>under all the approaches.</w:t>
      </w:r>
      <w:bookmarkEnd w:id="47"/>
      <w:bookmarkEnd w:id="48"/>
      <w:r w:rsidR="00BC5E59" w:rsidRPr="00634466">
        <w:t xml:space="preserve"> These results are in line with the stated aim of the FLQ formula, i.e. to allow for the additional import propensity of smaller regions.</w:t>
      </w:r>
      <w:r w:rsidR="00173344" w:rsidRPr="00634466">
        <w:t xml:space="preserve"> Given the nature of the adjustment formula, a</w:t>
      </w:r>
      <w:r w:rsidR="00A44F50" w:rsidRPr="00634466">
        <w:t xml:space="preserve">s detailed by Flegg and Webber </w:t>
      </w:r>
      <w:r w:rsidR="00173344" w:rsidRPr="00634466">
        <w:t>(</w:t>
      </w:r>
      <w:r w:rsidR="00A44F50" w:rsidRPr="00634466">
        <w:t>2007</w:t>
      </w:r>
      <w:r w:rsidR="00173344" w:rsidRPr="00634466">
        <w:t>),</w:t>
      </w:r>
      <w:r w:rsidR="00A44F50" w:rsidRPr="00634466">
        <w:t xml:space="preserve"> the relatively smallest regions are the most sensitive to the selection of the </w:t>
      </w:r>
      <w:r w:rsidR="00A44F50" w:rsidRPr="00634466">
        <w:sym w:font="Symbol" w:char="F064"/>
      </w:r>
      <w:r w:rsidR="00A44F50" w:rsidRPr="00634466">
        <w:t xml:space="preserve"> value. As the regions become relatively larger estimates under different </w:t>
      </w:r>
      <w:r w:rsidR="00A44F50" w:rsidRPr="00634466">
        <w:sym w:font="Symbol" w:char="F064"/>
      </w:r>
      <w:r w:rsidR="00A44F50" w:rsidRPr="00634466">
        <w:t xml:space="preserve"> values become more closely grouped together. </w:t>
      </w:r>
    </w:p>
    <w:p w:rsidR="00BC5E59" w:rsidRPr="00634466" w:rsidRDefault="00BC5E59" w:rsidP="00A26849">
      <w:pPr>
        <w:spacing w:line="480" w:lineRule="auto"/>
      </w:pPr>
    </w:p>
    <w:p w:rsidR="00A26849" w:rsidRPr="00634466" w:rsidRDefault="00A26849" w:rsidP="00A26849">
      <w:pPr>
        <w:spacing w:line="480" w:lineRule="auto"/>
      </w:pPr>
      <w:r w:rsidRPr="00634466">
        <w:t>As expected, the Type II multipliers reveal larger spill-ove</w:t>
      </w:r>
      <w:r w:rsidR="00843C98">
        <w:t>r effects. For example, under</w:t>
      </w:r>
      <w:r w:rsidRPr="00634466">
        <w:t xml:space="preserve"> the base-case assumption, a £1 of final demand s</w:t>
      </w:r>
      <w:r w:rsidR="008B458E" w:rsidRPr="00634466">
        <w:t>timulus in Glasgow results in 61</w:t>
      </w:r>
      <w:r w:rsidRPr="00634466">
        <w:t xml:space="preserve">p of </w:t>
      </w:r>
      <w:r w:rsidR="008B458E" w:rsidRPr="00634466">
        <w:t>indirect</w:t>
      </w:r>
      <w:r w:rsidR="000D2EE4">
        <w:t>-</w:t>
      </w:r>
      <w:r w:rsidR="008B458E" w:rsidRPr="00634466">
        <w:t xml:space="preserve"> and induced </w:t>
      </w:r>
      <w:r w:rsidRPr="00634466">
        <w:t xml:space="preserve">impacts in the other sub-regions. Again, these spill-over effects are much stronger for the smaller sub-regions. </w:t>
      </w:r>
    </w:p>
    <w:p w:rsidR="00BC5E59" w:rsidRPr="00634466" w:rsidRDefault="00BC5E59" w:rsidP="0021722E">
      <w:pPr>
        <w:pStyle w:val="Caption"/>
      </w:pPr>
      <w:bookmarkStart w:id="49" w:name="_Ref424067788"/>
    </w:p>
    <w:p w:rsidR="006D4719" w:rsidRPr="00634466" w:rsidRDefault="006D4719" w:rsidP="0021722E">
      <w:pPr>
        <w:pStyle w:val="Caption"/>
      </w:pPr>
      <w:bookmarkStart w:id="50" w:name="_Ref430699371"/>
      <w:r w:rsidRPr="00634466">
        <w:t xml:space="preserve">Figure </w:t>
      </w:r>
      <w:r w:rsidR="00BB6961" w:rsidRPr="00634466">
        <w:fldChar w:fldCharType="begin"/>
      </w:r>
      <w:r w:rsidR="004A1262" w:rsidRPr="00634466">
        <w:instrText xml:space="preserve"> SEQ Figure \* ARABIC </w:instrText>
      </w:r>
      <w:r w:rsidR="00BB6961" w:rsidRPr="00634466">
        <w:fldChar w:fldCharType="separate"/>
      </w:r>
      <w:r w:rsidR="00476FBF">
        <w:rPr>
          <w:noProof/>
        </w:rPr>
        <w:t>3</w:t>
      </w:r>
      <w:r w:rsidR="00BB6961" w:rsidRPr="00634466">
        <w:rPr>
          <w:noProof/>
        </w:rPr>
        <w:fldChar w:fldCharType="end"/>
      </w:r>
      <w:bookmarkEnd w:id="49"/>
      <w:bookmarkEnd w:id="50"/>
      <w:r w:rsidRPr="00634466">
        <w:t xml:space="preserve"> </w:t>
      </w:r>
      <w:r w:rsidR="004639CC" w:rsidRPr="00634466">
        <w:t>L</w:t>
      </w:r>
      <w:r w:rsidRPr="00634466">
        <w:t xml:space="preserve">ocal and spill-over effects </w:t>
      </w:r>
      <w:r w:rsidR="006A1057" w:rsidRPr="00634466">
        <w:t xml:space="preserve">for indirect and induced effects </w:t>
      </w:r>
      <w:r w:rsidR="004639CC" w:rsidRPr="00634466">
        <w:t>for two sectors under</w:t>
      </w:r>
      <w:r w:rsidRPr="00634466">
        <w:t xml:space="preserve"> alternative LQ-formulas.</w:t>
      </w:r>
    </w:p>
    <w:p w:rsidR="006D4719" w:rsidRPr="00634466" w:rsidRDefault="00146432" w:rsidP="006D4719">
      <w:pPr>
        <w:jc w:val="center"/>
      </w:pPr>
      <w:r w:rsidRPr="00634466">
        <w:rPr>
          <w:noProof/>
          <w:lang w:eastAsia="en-GB"/>
        </w:rPr>
        <w:drawing>
          <wp:inline distT="0" distB="0" distL="0" distR="0">
            <wp:extent cx="5580000" cy="3643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000" cy="3643200"/>
                    </a:xfrm>
                    <a:prstGeom prst="rect">
                      <a:avLst/>
                    </a:prstGeom>
                    <a:noFill/>
                  </pic:spPr>
                </pic:pic>
              </a:graphicData>
            </a:graphic>
          </wp:inline>
        </w:drawing>
      </w:r>
    </w:p>
    <w:p w:rsidR="00FF3A1C" w:rsidRPr="00634466" w:rsidRDefault="00FF3A1C" w:rsidP="006D4719">
      <w:pPr>
        <w:jc w:val="center"/>
      </w:pPr>
    </w:p>
    <w:p w:rsidR="00A46158" w:rsidRPr="00634466" w:rsidRDefault="00A46158" w:rsidP="006D4719">
      <w:pPr>
        <w:jc w:val="center"/>
      </w:pPr>
    </w:p>
    <w:p w:rsidR="00A46158" w:rsidRPr="00634466" w:rsidRDefault="00A46158" w:rsidP="00A46158">
      <w:pPr>
        <w:spacing w:line="480" w:lineRule="auto"/>
      </w:pPr>
      <w:r w:rsidRPr="00634466">
        <w:t xml:space="preserve">Within the aggregate economies of each region there are differences between sectors and the outcomes for these sectors vary in turn depending on the assumptions adopted. This is explored </w:t>
      </w:r>
      <w:r w:rsidR="000D2EE4" w:rsidRPr="00634466">
        <w:t xml:space="preserve">in </w:t>
      </w:r>
      <w:r w:rsidR="00BB6961">
        <w:fldChar w:fldCharType="begin"/>
      </w:r>
      <w:r w:rsidR="000D2EE4">
        <w:instrText xml:space="preserve"> REF _Ref430699371 \h </w:instrText>
      </w:r>
      <w:r w:rsidR="00BB6961">
        <w:fldChar w:fldCharType="separate"/>
      </w:r>
      <w:r w:rsidR="00476FBF" w:rsidRPr="00634466">
        <w:t xml:space="preserve">Figure </w:t>
      </w:r>
      <w:r w:rsidR="00476FBF">
        <w:rPr>
          <w:noProof/>
        </w:rPr>
        <w:t>3</w:t>
      </w:r>
      <w:r w:rsidR="00BB6961">
        <w:fldChar w:fldCharType="end"/>
      </w:r>
      <w:r w:rsidR="000D2EE4">
        <w:t xml:space="preserve"> </w:t>
      </w:r>
      <w:r w:rsidRPr="00634466">
        <w:t>for two contrasting sectors, Construction and Finance &amp; Business. Both sectors are labour intensive and therefore drive significant impacts. However, the Construction sector also requires significant intermediate inputs and therefore has far stronger indirect impact than Business &amp; finance. Therefore, it is not surprising that for Construction the spatial breakdown of the multiplier is more sensitive to the method used to allocate intermediate expenditures. The case of the sector in GLA shows some sensitivity to the δ value, not just the selection between SLQ and FLQ. Th</w:t>
      </w:r>
      <w:r w:rsidR="00C423CC" w:rsidRPr="00634466">
        <w:t xml:space="preserve">e sector is </w:t>
      </w:r>
      <w:r w:rsidR="00C423CC" w:rsidRPr="00634466">
        <w:lastRenderedPageBreak/>
        <w:t xml:space="preserve">very open. </w:t>
      </w:r>
      <w:r w:rsidR="00843C98">
        <w:t>In the base case</w:t>
      </w:r>
      <w:r w:rsidRPr="00634466">
        <w:t xml:space="preserve">, around </w:t>
      </w:r>
      <w:r w:rsidR="00C423CC" w:rsidRPr="00634466">
        <w:t xml:space="preserve">a </w:t>
      </w:r>
      <w:r w:rsidRPr="00634466">
        <w:t>third of the indirect impacts occur locally, whereas about two thirds under SLQ. This range is compressed f</w:t>
      </w:r>
      <w:r w:rsidR="008A521D">
        <w:t xml:space="preserve">or the Type </w:t>
      </w:r>
      <w:r w:rsidRPr="00634466">
        <w:t>II multipliers, where commuting and shopping trips mean that even under SLQ only about half of multiplier impacts are incurred locally.  Conversely, Finance &amp; business chimes with the aggregate results, in that there is a step change from SLQ to FLQ and then little variation across δ values. Again, this</w:t>
      </w:r>
      <w:r w:rsidR="008A521D">
        <w:t xml:space="preserve"> contrast is reduced under Type </w:t>
      </w:r>
      <w:r w:rsidRPr="00634466">
        <w:t xml:space="preserve">II multipliers, where the spill-over of induced effects dilutes the effects of alternative LQ methods. </w:t>
      </w:r>
    </w:p>
    <w:p w:rsidR="00A46158" w:rsidRPr="00634466" w:rsidRDefault="00A46158" w:rsidP="006D4719">
      <w:pPr>
        <w:jc w:val="center"/>
      </w:pPr>
    </w:p>
    <w:p w:rsidR="008E26B4" w:rsidRPr="00634466" w:rsidRDefault="008E26B4" w:rsidP="008E26B4">
      <w:pPr>
        <w:pStyle w:val="Heading2"/>
        <w:numPr>
          <w:ilvl w:val="1"/>
          <w:numId w:val="6"/>
        </w:numPr>
        <w:spacing w:line="480" w:lineRule="auto"/>
      </w:pPr>
      <w:bookmarkStart w:id="51" w:name="_Ref293494494"/>
      <w:r w:rsidRPr="00634466">
        <w:t>Household incomes and expenditures</w:t>
      </w:r>
      <w:bookmarkEnd w:id="51"/>
    </w:p>
    <w:p w:rsidR="008E26B4" w:rsidRPr="00634466" w:rsidRDefault="008E26B4" w:rsidP="008E26B4">
      <w:pPr>
        <w:spacing w:line="480" w:lineRule="auto"/>
      </w:pPr>
      <w:r w:rsidRPr="00634466">
        <w:t xml:space="preserve">As is detailed in section </w:t>
      </w:r>
      <w:fldSimple w:instr=" REF _Ref288311398 \r \h  \* MERGEFORMAT ">
        <w:r w:rsidR="00476FBF">
          <w:t>4.3</w:t>
        </w:r>
      </w:fldSimple>
      <w:r w:rsidRPr="00634466">
        <w:t xml:space="preserve"> and </w:t>
      </w:r>
      <w:fldSimple w:instr=" REF _Ref288651458 \r \h  \* MERGEFORMAT ">
        <w:r w:rsidR="00476FBF">
          <w:t>4.4.1</w:t>
        </w:r>
      </w:fldSimple>
      <w:r w:rsidR="00111856">
        <w:t>,</w:t>
      </w:r>
      <w:r w:rsidRPr="00634466">
        <w:t xml:space="preserve"> data on local gross disposable household income, shopping trips and commuting are used to determine the origin and destination flows of wages and consumption. This approach is in line wi</w:t>
      </w:r>
      <w:r w:rsidR="00843C98">
        <w:t xml:space="preserve">th past work on metropolitan IO </w:t>
      </w:r>
      <w:r w:rsidRPr="00634466">
        <w:t xml:space="preserve">tables as is summarised in section </w:t>
      </w:r>
      <w:fldSimple w:instr=" REF _Ref401933512 \n \h  \* MERGEFORMAT ">
        <w:r w:rsidR="00476FBF">
          <w:t>2.2</w:t>
        </w:r>
      </w:fldSimple>
      <w:r w:rsidRPr="00634466">
        <w:t xml:space="preserve"> (in comparison this is referred to as the Shopping Trip (ST) approach). </w:t>
      </w:r>
      <w:r w:rsidR="00C423CC" w:rsidRPr="00634466">
        <w:t>In cases where data on shopping trips are not available, it is likely that researchers will fall back on location quotients to estimate spill over of household final demand. Therefore, t</w:t>
      </w:r>
      <w:r w:rsidRPr="00634466">
        <w:t>o analyse the sensitivity of the interregional multipliers to household specification, the table was re-estimated</w:t>
      </w:r>
      <w:r w:rsidR="00714342" w:rsidRPr="00634466">
        <w:t xml:space="preserve"> using t</w:t>
      </w:r>
      <w:r w:rsidR="007A0885" w:rsidRPr="00634466">
        <w:t>he FLQ and SLQ</w:t>
      </w:r>
      <w:r w:rsidR="00714342" w:rsidRPr="00634466">
        <w:t xml:space="preserve">, respectively, </w:t>
      </w:r>
      <w:r w:rsidR="007A0885" w:rsidRPr="00634466">
        <w:t xml:space="preserve">to attribute household final demand across sub-regions in an identical way to the spatial attribution of intermediate demand described in section </w:t>
      </w:r>
      <w:fldSimple w:instr=" REF _Ref402863564 \n \h  \* MERGEFORMAT ">
        <w:r w:rsidR="00476FBF">
          <w:t>4.2</w:t>
        </w:r>
      </w:fldSimple>
      <w:r w:rsidR="00242831" w:rsidRPr="00634466">
        <w:t>.</w:t>
      </w:r>
    </w:p>
    <w:p w:rsidR="00242831" w:rsidRPr="00634466" w:rsidRDefault="00242831" w:rsidP="008E26B4">
      <w:pPr>
        <w:spacing w:line="480" w:lineRule="auto"/>
      </w:pPr>
    </w:p>
    <w:p w:rsidR="008E26B4" w:rsidRPr="00634466" w:rsidRDefault="008E26B4" w:rsidP="008E26B4">
      <w:pPr>
        <w:spacing w:line="480" w:lineRule="auto"/>
      </w:pPr>
      <w:r w:rsidRPr="00634466">
        <w:t xml:space="preserve">As can be seen from </w:t>
      </w:r>
      <w:fldSimple w:instr=" REF _Ref405564649 \h  \* MERGEFORMAT ">
        <w:r w:rsidR="00476FBF" w:rsidRPr="00634466">
          <w:t xml:space="preserve">Figure </w:t>
        </w:r>
        <w:r w:rsidR="00476FBF">
          <w:t>4</w:t>
        </w:r>
      </w:fldSimple>
      <w:r w:rsidR="00A934B2" w:rsidRPr="00634466">
        <w:t xml:space="preserve">, across all three sub-regions </w:t>
      </w:r>
      <w:r w:rsidRPr="00634466">
        <w:t>the ST and FLQ approaches deliver similar results in terms of the share of household final demand that goes to local sectors.</w:t>
      </w:r>
      <w:r w:rsidR="00A934B2" w:rsidRPr="00634466">
        <w:t xml:space="preserve"> The SLQ implies predominantly local household consumption for all three sub-regions. However, the contrast is marked in GLA and RST where the local share of household final demand jumps from approximately half</w:t>
      </w:r>
      <w:r w:rsidR="00AD468C" w:rsidRPr="00634466">
        <w:t xml:space="preserve"> under ST</w:t>
      </w:r>
      <w:r w:rsidR="00A934B2" w:rsidRPr="00634466">
        <w:t xml:space="preserve"> </w:t>
      </w:r>
      <w:r w:rsidR="00AD468C" w:rsidRPr="00634466">
        <w:t xml:space="preserve">and FLQ </w:t>
      </w:r>
      <w:r w:rsidR="00A934B2" w:rsidRPr="00634466">
        <w:t xml:space="preserve">to 89.9% and 81.2% </w:t>
      </w:r>
      <w:r w:rsidR="00AD468C" w:rsidRPr="00634466">
        <w:t xml:space="preserve">under SLQ </w:t>
      </w:r>
      <w:r w:rsidR="00A934B2" w:rsidRPr="00634466">
        <w:t>in GLA and RST respectively.</w:t>
      </w:r>
      <w:r w:rsidRPr="00634466">
        <w:t xml:space="preserve"> The rest of the Strathclyde region is slightly more open in terms of household consumption than is Glasgow, with </w:t>
      </w:r>
      <w:r w:rsidR="00415A6D" w:rsidRPr="00634466">
        <w:t xml:space="preserve">slightly </w:t>
      </w:r>
      <w:r w:rsidRPr="00634466">
        <w:t>more than half of household final demand being spent outside the sub-region under both ST and FLQ approaches. The ROS is clea</w:t>
      </w:r>
      <w:r w:rsidR="00A934B2" w:rsidRPr="00634466">
        <w:t>rly different, with 83.4% and 80</w:t>
      </w:r>
      <w:r w:rsidRPr="00634466">
        <w:t>.</w:t>
      </w:r>
      <w:r w:rsidR="00A934B2" w:rsidRPr="00634466">
        <w:t>7</w:t>
      </w:r>
      <w:r w:rsidRPr="00634466">
        <w:t xml:space="preserve">% of household final demand </w:t>
      </w:r>
      <w:r w:rsidRPr="00634466">
        <w:lastRenderedPageBreak/>
        <w:t xml:space="preserve">being incurred locally under the ST and FLQ approaches, respectively. This suggests that for large sub-regions such as the ROS </w:t>
      </w:r>
      <w:r w:rsidR="00224495" w:rsidRPr="00634466">
        <w:t>the overall outcome is less sensitive to the treatment</w:t>
      </w:r>
      <w:r w:rsidRPr="00634466">
        <w:t xml:space="preserve"> of household final demand.</w:t>
      </w:r>
    </w:p>
    <w:p w:rsidR="00315059" w:rsidRPr="00634466" w:rsidRDefault="00315059" w:rsidP="008E26B4">
      <w:pPr>
        <w:spacing w:line="480" w:lineRule="auto"/>
      </w:pPr>
    </w:p>
    <w:p w:rsidR="00315059" w:rsidRPr="00634466" w:rsidRDefault="00315059" w:rsidP="00315059">
      <w:pPr>
        <w:pStyle w:val="Caption"/>
      </w:pPr>
      <w:bookmarkStart w:id="52" w:name="_Ref405564649"/>
      <w:r w:rsidRPr="00634466">
        <w:t xml:space="preserve">Figure </w:t>
      </w:r>
      <w:r w:rsidR="00BB6961" w:rsidRPr="00634466">
        <w:fldChar w:fldCharType="begin"/>
      </w:r>
      <w:r w:rsidR="004A1262" w:rsidRPr="00634466">
        <w:instrText xml:space="preserve"> SEQ Figure \* ARABIC </w:instrText>
      </w:r>
      <w:r w:rsidR="00BB6961" w:rsidRPr="00634466">
        <w:fldChar w:fldCharType="separate"/>
      </w:r>
      <w:r w:rsidR="00476FBF">
        <w:rPr>
          <w:noProof/>
        </w:rPr>
        <w:t>4</w:t>
      </w:r>
      <w:r w:rsidR="00BB6961" w:rsidRPr="00634466">
        <w:rPr>
          <w:noProof/>
        </w:rPr>
        <w:fldChar w:fldCharType="end"/>
      </w:r>
      <w:bookmarkEnd w:id="52"/>
      <w:r w:rsidRPr="00634466">
        <w:t xml:space="preserve"> Origin and destination of household final demand under different approaches.</w:t>
      </w:r>
    </w:p>
    <w:p w:rsidR="00315059" w:rsidRPr="00634466" w:rsidRDefault="00315059" w:rsidP="00315059">
      <w:pPr>
        <w:jc w:val="center"/>
        <w:rPr>
          <w:lang w:eastAsia="en-GB"/>
        </w:rPr>
      </w:pPr>
      <w:r w:rsidRPr="00634466">
        <w:rPr>
          <w:noProof/>
          <w:lang w:eastAsia="en-GB"/>
        </w:rPr>
        <w:drawing>
          <wp:inline distT="0" distB="0" distL="0" distR="0">
            <wp:extent cx="5580000" cy="3643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000" cy="3643200"/>
                    </a:xfrm>
                    <a:prstGeom prst="rect">
                      <a:avLst/>
                    </a:prstGeom>
                    <a:noFill/>
                  </pic:spPr>
                </pic:pic>
              </a:graphicData>
            </a:graphic>
          </wp:inline>
        </w:drawing>
      </w:r>
    </w:p>
    <w:p w:rsidR="00315059" w:rsidRPr="00634466" w:rsidRDefault="00315059" w:rsidP="00315059"/>
    <w:p w:rsidR="00AD468C" w:rsidRPr="00634466" w:rsidRDefault="008E26B4" w:rsidP="00AD468C">
      <w:pPr>
        <w:spacing w:line="480" w:lineRule="auto"/>
      </w:pPr>
      <w:r w:rsidRPr="00634466">
        <w:t>Given the sensitivity</w:t>
      </w:r>
      <w:r w:rsidR="00AD468C" w:rsidRPr="00634466">
        <w:t xml:space="preserve"> of </w:t>
      </w:r>
      <w:r w:rsidRPr="00634466">
        <w:t>household final demand in GLA and RST</w:t>
      </w:r>
      <w:r w:rsidR="00AD468C" w:rsidRPr="00634466">
        <w:t xml:space="preserve"> to the estimation approach</w:t>
      </w:r>
      <w:r w:rsidRPr="00634466">
        <w:t>, it is interesting to see how this is reflected in the</w:t>
      </w:r>
      <w:r w:rsidR="002A018A" w:rsidRPr="00634466">
        <w:t xml:space="preserve"> Type II multipliers. I</w:t>
      </w:r>
      <w:r w:rsidRPr="00634466">
        <w:t>t should be noted</w:t>
      </w:r>
      <w:r w:rsidR="002A018A" w:rsidRPr="00634466">
        <w:t>, however,</w:t>
      </w:r>
      <w:r w:rsidRPr="00634466">
        <w:t xml:space="preserve"> that household final demand is not equally important across the 3 sub-regions, as Glasgow has high employment relative to popu</w:t>
      </w:r>
      <w:r w:rsidR="00A934B2" w:rsidRPr="00634466">
        <w:t>lation and vice versa for RST.</w:t>
      </w:r>
      <w:bookmarkStart w:id="53" w:name="_Ref402870321"/>
      <w:r w:rsidR="00AD468C" w:rsidRPr="00634466">
        <w:t xml:space="preserve"> A graphical representation of the multipliers with and without commuting is provided in Figure 5. The ST column for each sub-region represents the </w:t>
      </w:r>
      <w:r w:rsidR="008A521D">
        <w:t xml:space="preserve">default specification in the IO </w:t>
      </w:r>
      <w:r w:rsidR="00AD468C" w:rsidRPr="00634466">
        <w:t>table.</w:t>
      </w:r>
      <w:r w:rsidR="00A64694" w:rsidRPr="00634466">
        <w:t xml:space="preserve"> For indirect and induced effects with commuting ST produces </w:t>
      </w:r>
      <w:r w:rsidR="002A018A" w:rsidRPr="00634466">
        <w:t xml:space="preserve">the </w:t>
      </w:r>
      <w:r w:rsidR="00A64694" w:rsidRPr="00634466">
        <w:t xml:space="preserve">smallest local impacts and </w:t>
      </w:r>
      <w:r w:rsidR="002A018A" w:rsidRPr="00634466">
        <w:t xml:space="preserve">the </w:t>
      </w:r>
      <w:r w:rsidR="00A64694" w:rsidRPr="00634466">
        <w:t>largest spill-over effects across all three sub-regions and vice versa for SLQ. Results are the most sensitive for RST, where household expenditures are a larger share of final demand than elsewhere.</w:t>
      </w:r>
    </w:p>
    <w:p w:rsidR="00A64694" w:rsidRPr="00634466" w:rsidRDefault="00A64694" w:rsidP="00AD468C">
      <w:pPr>
        <w:spacing w:line="480" w:lineRule="auto"/>
      </w:pPr>
    </w:p>
    <w:p w:rsidR="00A64694" w:rsidRPr="00634466" w:rsidRDefault="00A64694" w:rsidP="00A64694">
      <w:pPr>
        <w:spacing w:line="480" w:lineRule="auto"/>
      </w:pPr>
      <w:r w:rsidRPr="00634466">
        <w:lastRenderedPageBreak/>
        <w:t>Looking at the right-hand side of the diagram</w:t>
      </w:r>
      <w:r w:rsidR="00111856">
        <w:t>,</w:t>
      </w:r>
      <w:r w:rsidRPr="00634466">
        <w:t xml:space="preserve"> it is clear that not allowing for commuting significantly alters the nature of the multipliers, reducing impacts from stimulus to GLA and inflating impacts from stimulus to RST. This occurs as the ratio of labour income to household final demand varies across the two sub-regions. In Glasgow, there is disproportionate compensation of employees relative to household final demand, and therefore changes in wage income trigger relatively small changes in household consumption. The converse is the case in the RST where the household sector is large relative to local wage </w:t>
      </w:r>
      <w:r w:rsidRPr="00634466">
        <w:rPr>
          <w:lang w:eastAsia="en-GB"/>
        </w:rPr>
        <w:t>income and therefore ignoring commuting suggests and overly sensitive link between wage income and</w:t>
      </w:r>
      <w:r w:rsidRPr="00634466">
        <w:t xml:space="preserve"> household expenditures. </w:t>
      </w:r>
    </w:p>
    <w:p w:rsidR="00A64694" w:rsidRPr="00634466" w:rsidRDefault="00A64694" w:rsidP="00A64694">
      <w:bookmarkStart w:id="54" w:name="_Ref402873213"/>
      <w:bookmarkEnd w:id="53"/>
    </w:p>
    <w:p w:rsidR="00895DC3" w:rsidRPr="00634466" w:rsidRDefault="008E26B4" w:rsidP="0021722E">
      <w:pPr>
        <w:pStyle w:val="Caption"/>
      </w:pPr>
      <w:bookmarkStart w:id="55" w:name="_Ref424214891"/>
      <w:r w:rsidRPr="00634466">
        <w:t xml:space="preserve">Figure </w:t>
      </w:r>
      <w:r w:rsidR="00BB6961" w:rsidRPr="00634466">
        <w:fldChar w:fldCharType="begin"/>
      </w:r>
      <w:r w:rsidR="00E16D08" w:rsidRPr="00634466">
        <w:instrText xml:space="preserve"> SEQ Figure \* ARABIC </w:instrText>
      </w:r>
      <w:r w:rsidR="00BB6961" w:rsidRPr="00634466">
        <w:fldChar w:fldCharType="separate"/>
      </w:r>
      <w:r w:rsidR="00476FBF">
        <w:rPr>
          <w:noProof/>
        </w:rPr>
        <w:t>5</w:t>
      </w:r>
      <w:r w:rsidR="00BB6961" w:rsidRPr="00634466">
        <w:rPr>
          <w:noProof/>
        </w:rPr>
        <w:fldChar w:fldCharType="end"/>
      </w:r>
      <w:bookmarkEnd w:id="54"/>
      <w:bookmarkEnd w:id="55"/>
      <w:r w:rsidRPr="00634466">
        <w:t xml:space="preserve"> </w:t>
      </w:r>
      <w:r w:rsidR="00895DC3" w:rsidRPr="00634466">
        <w:t>Indirect and induced effects for each sub-region based on ST, FLQ</w:t>
      </w:r>
      <w:r w:rsidR="009269DA" w:rsidRPr="00634466">
        <w:t xml:space="preserve">, </w:t>
      </w:r>
      <w:r w:rsidR="00315059" w:rsidRPr="00634466">
        <w:t xml:space="preserve">and </w:t>
      </w:r>
      <w:r w:rsidR="009269DA" w:rsidRPr="00634466">
        <w:t>SLQ</w:t>
      </w:r>
      <w:r w:rsidR="00895DC3" w:rsidRPr="00634466">
        <w:t xml:space="preserve"> approaches with </w:t>
      </w:r>
      <w:r w:rsidR="00EA0854" w:rsidRPr="00634466">
        <w:t xml:space="preserve">and without </w:t>
      </w:r>
      <w:r w:rsidR="00895DC3" w:rsidRPr="00634466">
        <w:t>commuting.</w:t>
      </w:r>
    </w:p>
    <w:p w:rsidR="00895DC3" w:rsidRPr="00634466" w:rsidRDefault="00315059" w:rsidP="00895DC3">
      <w:pPr>
        <w:jc w:val="center"/>
        <w:rPr>
          <w:lang w:eastAsia="en-GB"/>
        </w:rPr>
      </w:pPr>
      <w:r w:rsidRPr="00634466">
        <w:rPr>
          <w:noProof/>
          <w:lang w:eastAsia="en-GB"/>
        </w:rPr>
        <w:drawing>
          <wp:inline distT="0" distB="0" distL="0" distR="0">
            <wp:extent cx="5572800" cy="3639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800" cy="3639600"/>
                    </a:xfrm>
                    <a:prstGeom prst="rect">
                      <a:avLst/>
                    </a:prstGeom>
                    <a:noFill/>
                  </pic:spPr>
                </pic:pic>
              </a:graphicData>
            </a:graphic>
          </wp:inline>
        </w:drawing>
      </w:r>
    </w:p>
    <w:p w:rsidR="008215CD" w:rsidRPr="00634466" w:rsidRDefault="008215CD" w:rsidP="008E26B4">
      <w:pPr>
        <w:spacing w:line="480" w:lineRule="auto"/>
      </w:pPr>
    </w:p>
    <w:p w:rsidR="00111856" w:rsidRPr="00C315E6" w:rsidRDefault="00111856" w:rsidP="00111856">
      <w:pPr>
        <w:spacing w:line="480" w:lineRule="auto"/>
      </w:pPr>
      <w:r>
        <w:t>Looking at aggregate multipliers</w:t>
      </w:r>
      <w:r w:rsidR="008E26B4" w:rsidRPr="00634466">
        <w:t>, it is clearly important to account for interregional wage and consumption spill-over effects. From this vantage point the ST and FLQ approaches provide very similar results. However, the results are also very similar at the level of individual sectors</w:t>
      </w:r>
      <w:r>
        <w:t xml:space="preserve">. </w:t>
      </w:r>
      <w:r w:rsidR="00BB6961">
        <w:fldChar w:fldCharType="begin"/>
      </w:r>
      <w:r>
        <w:instrText xml:space="preserve"> REF _Ref403052543 \h </w:instrText>
      </w:r>
      <w:r w:rsidR="00BB6961">
        <w:fldChar w:fldCharType="separate"/>
      </w:r>
      <w:r w:rsidR="00476FBF">
        <w:t xml:space="preserve">Table </w:t>
      </w:r>
      <w:r w:rsidR="00476FBF">
        <w:rPr>
          <w:noProof/>
        </w:rPr>
        <w:t>8</w:t>
      </w:r>
      <w:r w:rsidR="00BB6961">
        <w:fldChar w:fldCharType="end"/>
      </w:r>
      <w:r>
        <w:t xml:space="preserve"> presents interregional Type-II multipliers calculated using the FLQ approach allowing for commuting. These are compared to the default multipliers (calculated using an ST approach with commuting) by </w:t>
      </w:r>
      <w:r>
        <w:lastRenderedPageBreak/>
        <w:t xml:space="preserve">calculating the percentage deviation of the FLQ multipliers from the ST-based multipliers. Relative to the ST multipliers the FLQ multipliers tend to overestimate local indirect and induced effects in GLA and RST (local impact highlighted in grey). This effect is negligible for the ROS, amounts to less than 1% for Glasgow but is on the order of 1-2% for most RST sectors. Primarily this is at the expense of spill-over effects in the ROS. These are small differences so that on balance the two approaches ST and FLQ can be concluded to produce similar results. </w:t>
      </w:r>
      <w:r>
        <w:br w:type="page"/>
      </w:r>
    </w:p>
    <w:p w:rsidR="00111856" w:rsidRDefault="00111856" w:rsidP="00111856">
      <w:pPr>
        <w:pStyle w:val="Caption"/>
      </w:pPr>
      <w:bookmarkStart w:id="56" w:name="_Ref403052543"/>
      <w:r>
        <w:lastRenderedPageBreak/>
        <w:t xml:space="preserve">Table </w:t>
      </w:r>
      <w:r w:rsidR="00BB6961">
        <w:fldChar w:fldCharType="begin"/>
      </w:r>
      <w:r>
        <w:instrText xml:space="preserve"> SEQ Table \* ARABIC </w:instrText>
      </w:r>
      <w:r w:rsidR="00BB6961">
        <w:fldChar w:fldCharType="separate"/>
      </w:r>
      <w:r w:rsidR="00476FBF">
        <w:rPr>
          <w:noProof/>
        </w:rPr>
        <w:t>8</w:t>
      </w:r>
      <w:r w:rsidR="00BB6961">
        <w:rPr>
          <w:noProof/>
        </w:rPr>
        <w:fldChar w:fldCharType="end"/>
      </w:r>
      <w:bookmarkEnd w:id="56"/>
      <w:r>
        <w:t xml:space="preserve"> Type-II multipliers estimated using an FLQ specification of households and their % deviation from the default Type-II multipliers.</w:t>
      </w:r>
    </w:p>
    <w:p w:rsidR="00111856" w:rsidRDefault="00111856" w:rsidP="00111856">
      <w:pPr>
        <w:rPr>
          <w:lang w:eastAsia="en-GB"/>
        </w:rPr>
      </w:pPr>
    </w:p>
    <w:tbl>
      <w:tblPr>
        <w:tblW w:w="0" w:type="auto"/>
        <w:tblInd w:w="108" w:type="dxa"/>
        <w:tblLook w:val="04A0"/>
      </w:tblPr>
      <w:tblGrid>
        <w:gridCol w:w="424"/>
        <w:gridCol w:w="379"/>
        <w:gridCol w:w="2137"/>
        <w:gridCol w:w="788"/>
        <w:gridCol w:w="500"/>
        <w:gridCol w:w="500"/>
        <w:gridCol w:w="500"/>
        <w:gridCol w:w="500"/>
        <w:gridCol w:w="253"/>
        <w:gridCol w:w="788"/>
        <w:gridCol w:w="582"/>
        <w:gridCol w:w="582"/>
        <w:gridCol w:w="664"/>
        <w:gridCol w:w="582"/>
      </w:tblGrid>
      <w:tr w:rsidR="00476FBF" w:rsidRPr="00476FBF" w:rsidTr="009C5B31">
        <w:trPr>
          <w:trHeight w:val="255"/>
        </w:trPr>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vMerge w:val="restart"/>
            <w:tcBorders>
              <w:top w:val="nil"/>
              <w:left w:val="nil"/>
              <w:bottom w:val="nil"/>
              <w:right w:val="nil"/>
            </w:tcBorders>
            <w:shd w:val="clear" w:color="auto" w:fill="auto"/>
            <w:noWrap/>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Sector</w:t>
            </w:r>
          </w:p>
        </w:tc>
        <w:tc>
          <w:tcPr>
            <w:tcW w:w="0" w:type="auto"/>
            <w:gridSpan w:val="5"/>
            <w:tcBorders>
              <w:top w:val="nil"/>
              <w:left w:val="nil"/>
              <w:bottom w:val="dashed" w:sz="8" w:space="0" w:color="auto"/>
              <w:right w:val="nil"/>
            </w:tcBorders>
            <w:shd w:val="clear" w:color="auto" w:fill="auto"/>
            <w:noWrap/>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FLQ</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gridSpan w:val="5"/>
            <w:tcBorders>
              <w:top w:val="nil"/>
              <w:left w:val="nil"/>
              <w:bottom w:val="dashed" w:sz="8" w:space="0" w:color="auto"/>
              <w:right w:val="nil"/>
            </w:tcBorders>
            <w:shd w:val="clear" w:color="auto" w:fill="auto"/>
            <w:noWrap/>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 deviation of FLQ and ST multipliers</w:t>
            </w:r>
          </w:p>
        </w:tc>
      </w:tr>
      <w:tr w:rsidR="00476FBF" w:rsidRPr="00476FBF" w:rsidTr="009C5B31">
        <w:trPr>
          <w:trHeight w:val="396"/>
        </w:trPr>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vMerge/>
            <w:tcBorders>
              <w:top w:val="nil"/>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vMerge w:val="restart"/>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Direct effect</w:t>
            </w:r>
          </w:p>
        </w:tc>
        <w:tc>
          <w:tcPr>
            <w:tcW w:w="0" w:type="auto"/>
            <w:gridSpan w:val="4"/>
            <w:tcBorders>
              <w:top w:val="dashed" w:sz="8" w:space="0" w:color="auto"/>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 xml:space="preserve">Indirect and </w:t>
            </w:r>
            <w:r w:rsidRPr="00476FBF">
              <w:rPr>
                <w:rFonts w:ascii="Calibri" w:eastAsia="Times New Roman" w:hAnsi="Calibri" w:cs="Arial"/>
                <w:b/>
                <w:bCs/>
                <w:sz w:val="16"/>
                <w:szCs w:val="16"/>
                <w:lang w:eastAsia="en-GB"/>
              </w:rPr>
              <w:br/>
              <w:t>induced effects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vMerge w:val="restart"/>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Direct effect</w:t>
            </w:r>
          </w:p>
        </w:tc>
        <w:tc>
          <w:tcPr>
            <w:tcW w:w="0" w:type="auto"/>
            <w:gridSpan w:val="4"/>
            <w:tcBorders>
              <w:top w:val="dashed" w:sz="8" w:space="0" w:color="auto"/>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 xml:space="preserve">Indirect and </w:t>
            </w:r>
            <w:r w:rsidRPr="00476FBF">
              <w:rPr>
                <w:rFonts w:ascii="Calibri" w:eastAsia="Times New Roman" w:hAnsi="Calibri" w:cs="Arial"/>
                <w:b/>
                <w:bCs/>
                <w:sz w:val="16"/>
                <w:szCs w:val="16"/>
                <w:lang w:eastAsia="en-GB"/>
              </w:rPr>
              <w:br/>
              <w:t>induced effects</w:t>
            </w:r>
          </w:p>
        </w:tc>
      </w:tr>
      <w:tr w:rsidR="00476FBF" w:rsidRPr="00476FBF" w:rsidTr="009C5B31">
        <w:trPr>
          <w:trHeight w:val="288"/>
        </w:trPr>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vMerge/>
            <w:tcBorders>
              <w:top w:val="nil"/>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vMerge/>
            <w:tcBorders>
              <w:top w:val="nil"/>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GLA</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RST</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ROS</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SCO</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vMerge/>
            <w:tcBorders>
              <w:top w:val="nil"/>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GLA</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RST</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ROS</w:t>
            </w:r>
          </w:p>
        </w:tc>
        <w:tc>
          <w:tcPr>
            <w:tcW w:w="0" w:type="auto"/>
            <w:tcBorders>
              <w:top w:val="nil"/>
              <w:left w:val="nil"/>
              <w:bottom w:val="nil"/>
              <w:right w:val="nil"/>
            </w:tcBorders>
            <w:shd w:val="clear" w:color="auto" w:fill="auto"/>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SCO</w:t>
            </w:r>
          </w:p>
        </w:tc>
      </w:tr>
      <w:tr w:rsidR="00476FBF" w:rsidRPr="00476FBF" w:rsidTr="009C5B31">
        <w:trPr>
          <w:trHeight w:val="255"/>
        </w:trPr>
        <w:tc>
          <w:tcPr>
            <w:tcW w:w="0" w:type="auto"/>
            <w:vMerge w:val="restart"/>
            <w:tcBorders>
              <w:top w:val="single" w:sz="8" w:space="0" w:color="auto"/>
              <w:left w:val="nil"/>
              <w:bottom w:val="nil"/>
              <w:right w:val="nil"/>
            </w:tcBorders>
            <w:shd w:val="clear" w:color="auto" w:fill="auto"/>
            <w:noWrap/>
            <w:textDirection w:val="btLr"/>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GLA</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Agriculture, forestry &amp; fishing</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single" w:sz="8" w:space="0" w:color="auto"/>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0.50</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0.21</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0.31</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2.02</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single" w:sz="8" w:space="0" w:color="auto"/>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5.5%</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-5.7%</w:t>
            </w:r>
          </w:p>
        </w:tc>
        <w:tc>
          <w:tcPr>
            <w:tcW w:w="0" w:type="auto"/>
            <w:tcBorders>
              <w:top w:val="single" w:sz="8"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Mining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Manufacturing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1.84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Energy</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-3.5%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Other utilities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Construction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2.20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Distribution &amp; catering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7.2%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Transport &amp; communication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Finance &amp; business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1.78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Public administration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Educ., health &amp; social work</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7.6%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single" w:sz="8" w:space="0" w:color="auto"/>
              <w:left w:val="nil"/>
              <w:bottom w:val="nil"/>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xml:space="preserve">Other services </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val="restart"/>
            <w:tcBorders>
              <w:top w:val="dotted" w:sz="4" w:space="0" w:color="auto"/>
              <w:left w:val="nil"/>
              <w:bottom w:val="dotted" w:sz="4" w:space="0" w:color="000000"/>
              <w:right w:val="nil"/>
            </w:tcBorders>
            <w:shd w:val="clear" w:color="auto" w:fill="auto"/>
            <w:noWrap/>
            <w:textDirection w:val="btLr"/>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RST</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13</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Agriculture, forestry &amp; fishing</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0.18</w:t>
            </w:r>
          </w:p>
        </w:tc>
        <w:tc>
          <w:tcPr>
            <w:tcW w:w="0" w:type="auto"/>
            <w:tcBorders>
              <w:top w:val="dotted" w:sz="4" w:space="0" w:color="auto"/>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0.49</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0.33</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2.00</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1.3%</w:t>
            </w:r>
          </w:p>
        </w:tc>
        <w:tc>
          <w:tcPr>
            <w:tcW w:w="0" w:type="auto"/>
            <w:tcBorders>
              <w:top w:val="dotted" w:sz="4" w:space="0" w:color="auto"/>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3.7%</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-5.6%</w:t>
            </w:r>
          </w:p>
        </w:tc>
        <w:tc>
          <w:tcPr>
            <w:tcW w:w="0" w:type="auto"/>
            <w:tcBorders>
              <w:top w:val="dotted" w:sz="4" w:space="0" w:color="auto"/>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Mining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0.19</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Manufacturing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1.87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Energy</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0.6%</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Other utilities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1.1%</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Construction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2.21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-4.4%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19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Distribution &amp; catering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0.19</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1.7%</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-7.2%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Transport &amp; communication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Finance &amp; business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1.83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1.7%</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Public administration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0.21</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1.6%</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-6.2%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Educ., health &amp; social work</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0.27</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-9.4%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dotted" w:sz="4" w:space="0" w:color="auto"/>
              <w:left w:val="nil"/>
              <w:bottom w:val="dotted" w:sz="4"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24</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xml:space="preserve">Other services </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0.24</w:t>
            </w:r>
          </w:p>
        </w:tc>
        <w:tc>
          <w:tcPr>
            <w:tcW w:w="0" w:type="auto"/>
            <w:tcBorders>
              <w:top w:val="nil"/>
              <w:left w:val="nil"/>
              <w:bottom w:val="dotted" w:sz="4" w:space="0" w:color="auto"/>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0.51</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0.34</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2.09</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1.5%</w:t>
            </w:r>
          </w:p>
        </w:tc>
        <w:tc>
          <w:tcPr>
            <w:tcW w:w="0" w:type="auto"/>
            <w:tcBorders>
              <w:top w:val="nil"/>
              <w:left w:val="nil"/>
              <w:bottom w:val="dotted" w:sz="4" w:space="0" w:color="auto"/>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5.6%</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-8.2%</w:t>
            </w:r>
          </w:p>
        </w:tc>
        <w:tc>
          <w:tcPr>
            <w:tcW w:w="0" w:type="auto"/>
            <w:tcBorders>
              <w:top w:val="nil"/>
              <w:left w:val="nil"/>
              <w:bottom w:val="dotted" w:sz="4"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val="restart"/>
            <w:tcBorders>
              <w:top w:val="nil"/>
              <w:left w:val="nil"/>
              <w:bottom w:val="single" w:sz="8" w:space="0" w:color="000000"/>
              <w:right w:val="nil"/>
            </w:tcBorders>
            <w:shd w:val="clear" w:color="auto" w:fill="auto"/>
            <w:noWrap/>
            <w:textDirection w:val="btLr"/>
            <w:vAlign w:val="center"/>
            <w:hideMark/>
          </w:tcPr>
          <w:p w:rsidR="00111856" w:rsidRPr="00476FBF" w:rsidRDefault="00111856" w:rsidP="009C5B31">
            <w:pPr>
              <w:jc w:val="center"/>
              <w:rPr>
                <w:rFonts w:ascii="Calibri" w:eastAsia="Times New Roman" w:hAnsi="Calibri" w:cs="Arial"/>
                <w:b/>
                <w:bCs/>
                <w:sz w:val="16"/>
                <w:szCs w:val="16"/>
                <w:lang w:eastAsia="en-GB"/>
              </w:rPr>
            </w:pPr>
            <w:r w:rsidRPr="00476FBF">
              <w:rPr>
                <w:rFonts w:ascii="Calibri" w:eastAsia="Times New Roman" w:hAnsi="Calibri" w:cs="Arial"/>
                <w:b/>
                <w:bCs/>
                <w:sz w:val="16"/>
                <w:szCs w:val="16"/>
                <w:lang w:eastAsia="en-GB"/>
              </w:rPr>
              <w:t>ROS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Agriculture, forestry &amp; fishing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0.67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26</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Mining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Manufacturing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0.13</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-1.4%</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Energy</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0.23</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0.80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29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Other utilities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0.09</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0.11</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0.81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-0.9%</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Construction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2.20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0.6%</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Distribution &amp; catering</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1.91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Transport &amp; communication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Finance &amp; business</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0.15</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0.58</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1.84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-1.2%</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Public administration</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0.33</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2.04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76"/>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Educ., health &amp; social work</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0.28</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2.17</w:t>
            </w:r>
          </w:p>
        </w:tc>
        <w:tc>
          <w:tcPr>
            <w:tcW w:w="0" w:type="auto"/>
            <w:tcBorders>
              <w:top w:val="nil"/>
              <w:left w:val="nil"/>
              <w:bottom w:val="nil"/>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-0.4%</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-1.1%</w:t>
            </w:r>
          </w:p>
        </w:tc>
        <w:tc>
          <w:tcPr>
            <w:tcW w:w="0" w:type="auto"/>
            <w:tcBorders>
              <w:top w:val="nil"/>
              <w:left w:val="nil"/>
              <w:bottom w:val="nil"/>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0.5%</w:t>
            </w:r>
          </w:p>
        </w:tc>
        <w:tc>
          <w:tcPr>
            <w:tcW w:w="0" w:type="auto"/>
            <w:tcBorders>
              <w:top w:val="nil"/>
              <w:left w:val="nil"/>
              <w:bottom w:val="nil"/>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r w:rsidR="00476FBF" w:rsidRPr="00476FBF" w:rsidTr="009C5B31">
        <w:trPr>
          <w:trHeight w:val="288"/>
        </w:trPr>
        <w:tc>
          <w:tcPr>
            <w:tcW w:w="0" w:type="auto"/>
            <w:vMerge/>
            <w:tcBorders>
              <w:top w:val="nil"/>
              <w:left w:val="nil"/>
              <w:bottom w:val="single" w:sz="8" w:space="0" w:color="000000"/>
              <w:right w:val="nil"/>
            </w:tcBorders>
            <w:vAlign w:val="center"/>
            <w:hideMark/>
          </w:tcPr>
          <w:p w:rsidR="00111856" w:rsidRPr="00476FBF" w:rsidRDefault="00111856" w:rsidP="009C5B31">
            <w:pPr>
              <w:rPr>
                <w:rFonts w:ascii="Calibri" w:eastAsia="Times New Roman" w:hAnsi="Calibri" w:cs="Arial"/>
                <w:b/>
                <w:bCs/>
                <w:sz w:val="16"/>
                <w:szCs w:val="16"/>
                <w:lang w:eastAsia="en-GB"/>
              </w:rPr>
            </w:pP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right"/>
              <w:rPr>
                <w:rFonts w:ascii="Calibri" w:eastAsia="Times New Roman" w:hAnsi="Calibri" w:cs="Arial"/>
                <w:sz w:val="16"/>
                <w:szCs w:val="16"/>
                <w:lang w:eastAsia="en-GB"/>
              </w:rPr>
            </w:pPr>
            <w:r w:rsidRPr="00476FBF">
              <w:rPr>
                <w:rFonts w:ascii="Calibri" w:eastAsia="Times New Roman" w:hAnsi="Calibri" w:cs="Arial"/>
                <w:sz w:val="16"/>
                <w:szCs w:val="16"/>
                <w:lang w:eastAsia="en-GB"/>
              </w:rPr>
              <w:t>36</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xml:space="preserve">Other services </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1.00</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0.14</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0.22</w:t>
            </w:r>
          </w:p>
        </w:tc>
        <w:tc>
          <w:tcPr>
            <w:tcW w:w="0" w:type="auto"/>
            <w:tcBorders>
              <w:top w:val="nil"/>
              <w:left w:val="nil"/>
              <w:bottom w:val="single" w:sz="8" w:space="0" w:color="auto"/>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0.75</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2.11</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rPr>
                <w:rFonts w:ascii="Calibri" w:eastAsia="Times New Roman" w:hAnsi="Calibri" w:cs="Arial"/>
                <w:sz w:val="16"/>
                <w:szCs w:val="16"/>
                <w:lang w:eastAsia="en-GB"/>
              </w:rPr>
            </w:pPr>
            <w:r w:rsidRPr="00476FBF">
              <w:rPr>
                <w:rFonts w:ascii="Calibri" w:eastAsia="Times New Roman" w:hAnsi="Calibri" w:cs="Arial"/>
                <w:sz w:val="16"/>
                <w:szCs w:val="16"/>
                <w:lang w:eastAsia="en-GB"/>
              </w:rPr>
              <w:t> </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-0.1%</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-0.6%</w:t>
            </w:r>
          </w:p>
        </w:tc>
        <w:tc>
          <w:tcPr>
            <w:tcW w:w="0" w:type="auto"/>
            <w:tcBorders>
              <w:top w:val="nil"/>
              <w:left w:val="nil"/>
              <w:bottom w:val="single" w:sz="8" w:space="0" w:color="auto"/>
              <w:right w:val="nil"/>
            </w:tcBorders>
            <w:shd w:val="clear" w:color="000000" w:fill="D9D9D9"/>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0.2%</w:t>
            </w:r>
          </w:p>
        </w:tc>
        <w:tc>
          <w:tcPr>
            <w:tcW w:w="0" w:type="auto"/>
            <w:tcBorders>
              <w:top w:val="nil"/>
              <w:left w:val="nil"/>
              <w:bottom w:val="single" w:sz="8" w:space="0" w:color="auto"/>
              <w:right w:val="nil"/>
            </w:tcBorders>
            <w:shd w:val="clear" w:color="auto" w:fill="auto"/>
            <w:noWrap/>
            <w:vAlign w:val="bottom"/>
            <w:hideMark/>
          </w:tcPr>
          <w:p w:rsidR="00111856" w:rsidRPr="00476FBF" w:rsidRDefault="00111856" w:rsidP="009C5B31">
            <w:pPr>
              <w:jc w:val="center"/>
              <w:rPr>
                <w:rFonts w:ascii="Calibri" w:eastAsia="Times New Roman" w:hAnsi="Calibri" w:cs="Arial"/>
                <w:sz w:val="16"/>
                <w:szCs w:val="16"/>
                <w:lang w:eastAsia="en-GB"/>
              </w:rPr>
            </w:pPr>
            <w:r w:rsidRPr="00476FBF">
              <w:rPr>
                <w:rFonts w:ascii="Calibri" w:eastAsia="Times New Roman" w:hAnsi="Calibri" w:cs="Arial"/>
                <w:sz w:val="16"/>
                <w:szCs w:val="16"/>
                <w:lang w:eastAsia="en-GB"/>
              </w:rPr>
              <w:t>-0.0%</w:t>
            </w:r>
          </w:p>
        </w:tc>
      </w:tr>
    </w:tbl>
    <w:p w:rsidR="00111856" w:rsidRPr="00FC2663" w:rsidRDefault="00111856" w:rsidP="00111856">
      <w:pPr>
        <w:rPr>
          <w:lang w:eastAsia="en-GB"/>
        </w:rPr>
      </w:pPr>
    </w:p>
    <w:p w:rsidR="00111856" w:rsidRPr="00634466" w:rsidRDefault="00111856" w:rsidP="008E26B4">
      <w:pPr>
        <w:spacing w:line="480" w:lineRule="auto"/>
      </w:pPr>
    </w:p>
    <w:p w:rsidR="008E26B4" w:rsidRPr="00634466" w:rsidRDefault="008E26B4" w:rsidP="008E26B4">
      <w:pPr>
        <w:pStyle w:val="Heading1"/>
        <w:numPr>
          <w:ilvl w:val="0"/>
          <w:numId w:val="6"/>
        </w:numPr>
        <w:spacing w:line="480" w:lineRule="auto"/>
      </w:pPr>
      <w:r w:rsidRPr="00634466">
        <w:lastRenderedPageBreak/>
        <w:t>Conclusions</w:t>
      </w:r>
    </w:p>
    <w:p w:rsidR="0031759E" w:rsidRPr="00634466" w:rsidRDefault="0031759E" w:rsidP="0031759E"/>
    <w:p w:rsidR="000A1A4B" w:rsidRDefault="003B7D06" w:rsidP="0031759E">
      <w:pPr>
        <w:spacing w:line="480" w:lineRule="auto"/>
      </w:pPr>
      <w:r>
        <w:t>This paper has demonstrated the use of non-survey approaches for constructing interregional input-output tables and explored the sensitivity of multipliers to the assumptions adopted in the process. An input-output table was</w:t>
      </w:r>
      <w:r w:rsidR="0031759E" w:rsidRPr="00634466">
        <w:t xml:space="preserve"> constructed for a city-region and its host regional economy using non-survey</w:t>
      </w:r>
      <w:r>
        <w:t xml:space="preserve"> methods. Location Quotients were</w:t>
      </w:r>
      <w:r w:rsidR="0031759E" w:rsidRPr="00634466">
        <w:t xml:space="preserve"> used to spatially disaggregate the official Scottish I</w:t>
      </w:r>
      <w:r w:rsidR="00843C98">
        <w:t>nput-</w:t>
      </w:r>
      <w:r w:rsidR="0031759E" w:rsidRPr="00634466">
        <w:t>O</w:t>
      </w:r>
      <w:r w:rsidR="00843C98">
        <w:t>utput</w:t>
      </w:r>
      <w:r w:rsidR="0031759E" w:rsidRPr="00634466">
        <w:t xml:space="preserve"> table to identify interdependencies between the largest city, Glasgow, its wider city-region in the rest of the Strathclyde region and the wider regional economy in the rest of Scotland. Secondary data was used as available to constrain results. In particular, data on commuting and shopping trips were used to inform spatial distribution of household wage income and consumption expenditures, in line with the metro</w:t>
      </w:r>
      <w:r w:rsidR="000A1A4B">
        <w:t>politan Input-Output tradition.</w:t>
      </w:r>
    </w:p>
    <w:p w:rsidR="000A1A4B" w:rsidRDefault="000A1A4B" w:rsidP="0031759E">
      <w:pPr>
        <w:spacing w:line="480" w:lineRule="auto"/>
      </w:pPr>
    </w:p>
    <w:p w:rsidR="000A1A4B" w:rsidRDefault="000A1A4B" w:rsidP="0031759E">
      <w:pPr>
        <w:spacing w:line="480" w:lineRule="auto"/>
      </w:pPr>
    </w:p>
    <w:p w:rsidR="0031759E" w:rsidRPr="00634466" w:rsidRDefault="0031759E" w:rsidP="0031759E">
      <w:pPr>
        <w:spacing w:line="480" w:lineRule="auto"/>
      </w:pPr>
      <w:r w:rsidRPr="00634466">
        <w:t>Sensitivity analysis was conducted around two dimensions: the specification of intermediate inputs and the flow of wages and hou</w:t>
      </w:r>
      <w:r w:rsidR="003B7D06">
        <w:t>sehold consumption. The results</w:t>
      </w:r>
      <w:r w:rsidRPr="00634466">
        <w:t xml:space="preserve"> supp</w:t>
      </w:r>
      <w:r w:rsidR="003B7D06">
        <w:t>ort</w:t>
      </w:r>
      <w:r w:rsidRPr="00634466">
        <w:t xml:space="preserve"> previous findings that</w:t>
      </w:r>
      <w:r w:rsidR="003B7D06">
        <w:t xml:space="preserve"> the</w:t>
      </w:r>
      <w:r w:rsidRPr="00634466">
        <w:t xml:space="preserve"> accurate estimation of intermediate trade is important if multipliers are not to be overstated. </w:t>
      </w:r>
      <w:r w:rsidR="00476FBF">
        <w:t>T</w:t>
      </w:r>
      <w:r w:rsidR="003B7D06">
        <w:t xml:space="preserve">he results further suggest </w:t>
      </w:r>
      <w:r w:rsidRPr="00634466">
        <w:t>that accurate estimation of wage and consumption flows are important if Type</w:t>
      </w:r>
      <w:r w:rsidR="008A521D">
        <w:t xml:space="preserve"> </w:t>
      </w:r>
      <w:r w:rsidRPr="00634466">
        <w:t xml:space="preserve">II multipliers are not to be overstated (and spill-over effects underestimated when working in a multi-region context). This is particularly important when working at smaller scales where commuting and shopping trips occur beyond the study area. </w:t>
      </w:r>
    </w:p>
    <w:p w:rsidR="0031759E" w:rsidRPr="00634466" w:rsidRDefault="0031759E" w:rsidP="0031759E">
      <w:pPr>
        <w:spacing w:line="480" w:lineRule="auto"/>
      </w:pPr>
    </w:p>
    <w:p w:rsidR="0031759E" w:rsidRPr="00634466" w:rsidRDefault="0031759E" w:rsidP="0031759E">
      <w:pPr>
        <w:spacing w:line="480" w:lineRule="auto"/>
      </w:pPr>
      <w:r w:rsidRPr="00634466">
        <w:t>For intermediate trade, the key distinction was found to</w:t>
      </w:r>
      <w:r w:rsidR="00476FBF">
        <w:t xml:space="preserve"> be</w:t>
      </w:r>
      <w:bookmarkStart w:id="57" w:name="_GoBack"/>
      <w:bookmarkEnd w:id="57"/>
      <w:r w:rsidRPr="00634466">
        <w:t xml:space="preserve"> between the types of location quotients used. The FLQ formula suggested far more interregional spill-over effects than the simple location quotients, which is in line with the stated aims of the FLQ approach. The choice of parameter for the FLQ is of secondary importance in this regard.</w:t>
      </w:r>
    </w:p>
    <w:p w:rsidR="0031759E" w:rsidRPr="00634466" w:rsidRDefault="0031759E" w:rsidP="0031759E">
      <w:pPr>
        <w:spacing w:line="480" w:lineRule="auto"/>
      </w:pPr>
    </w:p>
    <w:p w:rsidR="0031759E" w:rsidRPr="00634466" w:rsidRDefault="006E2C6D" w:rsidP="0031759E">
      <w:pPr>
        <w:spacing w:line="480" w:lineRule="auto"/>
      </w:pPr>
      <w:r>
        <w:lastRenderedPageBreak/>
        <w:t xml:space="preserve">In order to </w:t>
      </w:r>
      <w:r w:rsidRPr="00634466">
        <w:t>capture wage and consumption flows over regional boundaries</w:t>
      </w:r>
      <w:r>
        <w:t>, t</w:t>
      </w:r>
      <w:r w:rsidR="0031759E" w:rsidRPr="00634466">
        <w:t xml:space="preserve">he interregional IO table features a simple mechanism based on the metropolitan input-output literature that utilises secondary data on commuting and shopping trips. </w:t>
      </w:r>
      <w:r>
        <w:t>The results showed that t</w:t>
      </w:r>
      <w:r w:rsidR="0031759E" w:rsidRPr="00634466">
        <w:t>he specification of wage and consumption flows is important for the sub-regions within the city-region. Type</w:t>
      </w:r>
      <w:r w:rsidR="008A521D">
        <w:t xml:space="preserve"> </w:t>
      </w:r>
      <w:r w:rsidR="0031759E" w:rsidRPr="00634466">
        <w:t xml:space="preserve">II multipliers for the smaller sub-region of Glasgow City are less sensitive than for the larger sub-region in the Rest of Strathclyde. This occurs as local households are a more important source of final demand in the latter. Interregional wage and consumption flows were far less important for the larger Rest of Scotland sub-region. Suggesting that accurately estimating the spill over of induced effects becomes less critical the larger the region being analysed. When comparing alternative approaches for estimating interregional consumption flows, results based on shopping trips are remarkably similar to those obtained using FLQ location quotients. Irrespective of the specification of household consumption, it is important to allow for the effects of commuting on interregional flow of wage income, as the alternative leads to a biased estimation of the overall impact of the sectors in a particular region. </w:t>
      </w:r>
    </w:p>
    <w:p w:rsidR="0031759E" w:rsidRPr="00634466" w:rsidRDefault="0031759E" w:rsidP="0031759E">
      <w:pPr>
        <w:spacing w:line="480" w:lineRule="auto"/>
      </w:pPr>
    </w:p>
    <w:p w:rsidR="0031759E" w:rsidRPr="00634466" w:rsidRDefault="0031759E" w:rsidP="0031759E">
      <w:pPr>
        <w:spacing w:line="480" w:lineRule="auto"/>
        <w:rPr>
          <w:b/>
        </w:rPr>
      </w:pPr>
      <w:r w:rsidRPr="00634466">
        <w:t>The results indicate that researchers must adopt a wider stance than solely focussing on trade when constructing local level IO tables. Given that these results are based on simulation it would be desirable to verify them through empirical testing. However, this is not possible for the case of Glasgow and its city-region as a fully surveyed benchmark table is lacking. There are several local economy tables available for Scottish sub-regions but these are based on small island economies and therefore not suitable to test for the impact of commuting and shopping trips when using non-survey met</w:t>
      </w:r>
      <w:r w:rsidR="008A521D">
        <w:t xml:space="preserve">hods to estimate local level IO </w:t>
      </w:r>
      <w:r w:rsidRPr="00634466">
        <w:t>tables. However, opportunities may arise in other circumstances with the proliferation of local level input-output tables</w:t>
      </w:r>
      <w:r w:rsidR="00843C98">
        <w:t xml:space="preserve">, perhaps applying spatial projection. </w:t>
      </w:r>
    </w:p>
    <w:p w:rsidR="0031759E" w:rsidRPr="00634466" w:rsidRDefault="0031759E" w:rsidP="0031759E">
      <w:pPr>
        <w:spacing w:line="480" w:lineRule="auto"/>
      </w:pPr>
    </w:p>
    <w:p w:rsidR="0031759E" w:rsidRPr="00634466" w:rsidRDefault="0031759E" w:rsidP="0031759E">
      <w:pPr>
        <w:spacing w:line="480" w:lineRule="auto"/>
      </w:pPr>
      <w:r w:rsidRPr="00634466">
        <w:t xml:space="preserve">Allowing for </w:t>
      </w:r>
      <w:proofErr w:type="spellStart"/>
      <w:r w:rsidRPr="00634466">
        <w:t>spillover</w:t>
      </w:r>
      <w:proofErr w:type="spellEnd"/>
      <w:r w:rsidRPr="00634466">
        <w:t xml:space="preserve"> of household consumption and wage income is a significant improvement over conventional approaches but still has limitations, which would require more detailed data to address. </w:t>
      </w:r>
      <w:r w:rsidRPr="00634466">
        <w:lastRenderedPageBreak/>
        <w:t>In particular it would be useful to obtain sector specific commuting intensities and more detailed picture of interregional flows of household consumption. The first of these could be achieved with further disaggregation of census results but the latter does not have an obvious solution short of extensive primary data collection, such as through detailed expenditure diaries. A possible solution might be making use of big-data sources, such as card payment databases, which are occasionally made accessible to academic researchers.</w:t>
      </w:r>
    </w:p>
    <w:p w:rsidR="0031759E" w:rsidRPr="00634466" w:rsidRDefault="0031759E" w:rsidP="0031759E"/>
    <w:p w:rsidR="0079740F" w:rsidRPr="00634466" w:rsidRDefault="0079740F" w:rsidP="0079740F"/>
    <w:p w:rsidR="00994BC7" w:rsidRPr="00634466" w:rsidRDefault="00994BC7" w:rsidP="0031759E">
      <w:pPr>
        <w:spacing w:line="480" w:lineRule="auto"/>
        <w:sectPr w:rsidR="00994BC7" w:rsidRPr="00634466" w:rsidSect="00BD7929">
          <w:footerReference w:type="default" r:id="rId14"/>
          <w:pgSz w:w="11907" w:h="16839" w:code="9"/>
          <w:pgMar w:top="1134" w:right="1418" w:bottom="1134" w:left="1418" w:header="709" w:footer="709" w:gutter="0"/>
          <w:cols w:space="708"/>
          <w:docGrid w:linePitch="360"/>
        </w:sectPr>
      </w:pPr>
    </w:p>
    <w:p w:rsidR="00493FF2" w:rsidRPr="00634466" w:rsidRDefault="00493FF2" w:rsidP="00493FF2">
      <w:pPr>
        <w:pStyle w:val="Heading1"/>
        <w:spacing w:line="360" w:lineRule="auto"/>
        <w:ind w:left="432" w:hanging="432"/>
      </w:pPr>
      <w:r w:rsidRPr="00634466">
        <w:lastRenderedPageBreak/>
        <w:t>References</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Batey, P.W.J. (1985). Input-Output Models for Regional Demographic –Economic Analysis: Some Structural Comparisons. Environment and Planning A. Vol. 17, pp. 73-99.</w:t>
      </w:r>
    </w:p>
    <w:p w:rsidR="00493FF2" w:rsidRPr="00634466" w:rsidRDefault="00493FF2" w:rsidP="00493FF2">
      <w:pPr>
        <w:spacing w:after="240" w:line="480" w:lineRule="auto"/>
        <w:rPr>
          <w:rFonts w:ascii="Garamond" w:hAnsi="Garamond"/>
          <w:spacing w:val="10"/>
        </w:rPr>
      </w:pPr>
      <w:proofErr w:type="spellStart"/>
      <w:proofErr w:type="gramStart"/>
      <w:r w:rsidRPr="00634466">
        <w:rPr>
          <w:rFonts w:ascii="Garamond" w:hAnsi="Garamond"/>
          <w:spacing w:val="10"/>
        </w:rPr>
        <w:t>Bonfiglio</w:t>
      </w:r>
      <w:proofErr w:type="spellEnd"/>
      <w:r w:rsidRPr="00634466">
        <w:rPr>
          <w:rFonts w:ascii="Garamond" w:hAnsi="Garamond"/>
          <w:spacing w:val="10"/>
        </w:rPr>
        <w:t xml:space="preserve"> A. (2009) On the Parameterization of Techniques for Representing Regional Economic Structures.</w:t>
      </w:r>
      <w:proofErr w:type="gramEnd"/>
      <w:r w:rsidRPr="00634466">
        <w:rPr>
          <w:rFonts w:ascii="Garamond" w:hAnsi="Garamond"/>
          <w:spacing w:val="10"/>
        </w:rPr>
        <w:t xml:space="preserve"> Economic Systems Research. Vol. 21, pp. 115−127.</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t>Bonfiglio</w:t>
      </w:r>
      <w:proofErr w:type="spellEnd"/>
      <w:r w:rsidRPr="00634466">
        <w:rPr>
          <w:rFonts w:ascii="Garamond" w:hAnsi="Garamond"/>
          <w:spacing w:val="10"/>
        </w:rPr>
        <w:t xml:space="preserve">, A., &amp; </w:t>
      </w:r>
      <w:proofErr w:type="spellStart"/>
      <w:r w:rsidRPr="00634466">
        <w:rPr>
          <w:rFonts w:ascii="Garamond" w:hAnsi="Garamond"/>
          <w:spacing w:val="10"/>
        </w:rPr>
        <w:t>Chelli</w:t>
      </w:r>
      <w:proofErr w:type="spellEnd"/>
      <w:r w:rsidRPr="00634466">
        <w:rPr>
          <w:rFonts w:ascii="Garamond" w:hAnsi="Garamond"/>
          <w:spacing w:val="10"/>
        </w:rPr>
        <w:t xml:space="preserve">, F. (2008). Assessing the behaviour of non-survey methods for constructing regional input–output tables through a Monte Carlo simulation. Economic Systems Research.  Vol. 20, No. 3, pp. 243-258. </w:t>
      </w:r>
    </w:p>
    <w:p w:rsidR="00493FF2" w:rsidRDefault="00493FF2" w:rsidP="00493FF2">
      <w:pPr>
        <w:spacing w:after="240" w:line="480" w:lineRule="auto"/>
        <w:rPr>
          <w:rFonts w:ascii="Garamond" w:hAnsi="Garamond"/>
          <w:spacing w:val="10"/>
        </w:rPr>
      </w:pPr>
      <w:proofErr w:type="spellStart"/>
      <w:r w:rsidRPr="00634466">
        <w:rPr>
          <w:rFonts w:ascii="Garamond" w:hAnsi="Garamond"/>
          <w:spacing w:val="10"/>
        </w:rPr>
        <w:t>Boomsma</w:t>
      </w:r>
      <w:proofErr w:type="spellEnd"/>
      <w:r w:rsidRPr="00634466">
        <w:rPr>
          <w:rFonts w:ascii="Garamond" w:hAnsi="Garamond"/>
          <w:spacing w:val="10"/>
        </w:rPr>
        <w:t xml:space="preserve">, P., &amp; </w:t>
      </w:r>
      <w:proofErr w:type="spellStart"/>
      <w:r w:rsidRPr="00634466">
        <w:rPr>
          <w:rFonts w:ascii="Garamond" w:hAnsi="Garamond"/>
          <w:spacing w:val="10"/>
        </w:rPr>
        <w:t>Oosterhaven</w:t>
      </w:r>
      <w:proofErr w:type="spellEnd"/>
      <w:r w:rsidRPr="00634466">
        <w:rPr>
          <w:rFonts w:ascii="Garamond" w:hAnsi="Garamond"/>
          <w:spacing w:val="10"/>
        </w:rPr>
        <w:t>, J. (1992). A Double-Entry Method for the Construction of Bi-Regional Output-Output Tables. Journal of Regional Science, Vol. 32, No. 3, pp. 269-284.</w:t>
      </w:r>
    </w:p>
    <w:p w:rsidR="00D73F00" w:rsidRPr="00634466" w:rsidRDefault="00D73F00" w:rsidP="00493FF2">
      <w:pPr>
        <w:spacing w:after="240" w:line="480" w:lineRule="auto"/>
        <w:rPr>
          <w:rFonts w:ascii="Garamond" w:hAnsi="Garamond"/>
          <w:spacing w:val="10"/>
        </w:rPr>
      </w:pPr>
      <w:proofErr w:type="gramStart"/>
      <w:r w:rsidRPr="00D73F00">
        <w:rPr>
          <w:rFonts w:ascii="Garamond" w:hAnsi="Garamond"/>
          <w:spacing w:val="10"/>
        </w:rPr>
        <w:t>Emonts-Holley, T., Ross, A., &amp; Swales, J. K. (2015).</w:t>
      </w:r>
      <w:proofErr w:type="gramEnd"/>
      <w:r w:rsidRPr="00D73F00">
        <w:rPr>
          <w:rFonts w:ascii="Garamond" w:hAnsi="Garamond"/>
          <w:spacing w:val="10"/>
        </w:rPr>
        <w:t xml:space="preserve"> </w:t>
      </w:r>
      <w:proofErr w:type="gramStart"/>
      <w:r w:rsidRPr="00D73F00">
        <w:rPr>
          <w:rFonts w:ascii="Garamond" w:hAnsi="Garamond"/>
          <w:spacing w:val="10"/>
        </w:rPr>
        <w:t>Type II Errors in IO Multipliers.</w:t>
      </w:r>
      <w:proofErr w:type="gramEnd"/>
      <w:r>
        <w:rPr>
          <w:rFonts w:ascii="Garamond" w:hAnsi="Garamond"/>
          <w:spacing w:val="10"/>
        </w:rPr>
        <w:t xml:space="preserve"> </w:t>
      </w:r>
      <w:proofErr w:type="gramStart"/>
      <w:r>
        <w:rPr>
          <w:rFonts w:ascii="Garamond" w:hAnsi="Garamond"/>
          <w:spacing w:val="10"/>
        </w:rPr>
        <w:t>Strathclyde Discussion Papers in Economics 15-04.</w:t>
      </w:r>
      <w:proofErr w:type="gramEnd"/>
      <w:r>
        <w:rPr>
          <w:rFonts w:ascii="Garamond" w:hAnsi="Garamond"/>
          <w:spacing w:val="10"/>
        </w:rPr>
        <w:t xml:space="preserve"> Retrieved from the World Wide Web: </w:t>
      </w:r>
      <w:hyperlink r:id="rId15" w:history="1">
        <w:r w:rsidRPr="00137D61">
          <w:rPr>
            <w:rStyle w:val="Hyperlink"/>
            <w:rFonts w:ascii="Garamond" w:hAnsi="Garamond"/>
            <w:spacing w:val="10"/>
          </w:rPr>
          <w:t>https://www.strath.ac.uk/media/departments/economics/researchdiscussionpapers/15-04.pdf</w:t>
        </w:r>
      </w:hyperlink>
      <w:r>
        <w:rPr>
          <w:rFonts w:ascii="Garamond" w:hAnsi="Garamond"/>
          <w:spacing w:val="10"/>
        </w:rPr>
        <w:t xml:space="preserve"> </w:t>
      </w:r>
    </w:p>
    <w:p w:rsidR="00493FF2" w:rsidRPr="00634466" w:rsidRDefault="00493FF2" w:rsidP="00493FF2">
      <w:pPr>
        <w:spacing w:after="240" w:line="480" w:lineRule="auto"/>
        <w:rPr>
          <w:rFonts w:ascii="Garamond" w:hAnsi="Garamond"/>
          <w:spacing w:val="10"/>
        </w:rPr>
      </w:pPr>
      <w:proofErr w:type="gramStart"/>
      <w:r w:rsidRPr="00634466">
        <w:rPr>
          <w:rFonts w:ascii="Garamond" w:hAnsi="Garamond"/>
          <w:spacing w:val="10"/>
        </w:rPr>
        <w:t>Flegg.</w:t>
      </w:r>
      <w:proofErr w:type="gramEnd"/>
      <w:r w:rsidRPr="00634466">
        <w:rPr>
          <w:rFonts w:ascii="Garamond" w:hAnsi="Garamond"/>
          <w:spacing w:val="10"/>
        </w:rPr>
        <w:t xml:space="preserve"> A.T., Webber, C.D. &amp; Elliott, M.V. (1995). On the appropriate use of location quotients in generating regional input-output tables. Regional Studies, Vol. 29, No. 6, pp. 547-561.</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Flegg, A.T. &amp; Webber, C.D. (1997). On the appropriate use of location quotients in generating regional input-output tables: Reply. Regional Studies, Vol. 31, No. 8, pp. 795-805.</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lastRenderedPageBreak/>
        <w:t>Flegg, A.T. &amp; Webber, C.D. (2000). Regional size, regional specialisation and the FLQ formula. Regional Studies. Vol. 34, No. 6, pp. 563-569.</w:t>
      </w:r>
    </w:p>
    <w:p w:rsidR="002F0269" w:rsidRPr="00634466" w:rsidRDefault="002F0269" w:rsidP="002F0269">
      <w:pPr>
        <w:spacing w:after="240" w:line="480" w:lineRule="auto"/>
        <w:rPr>
          <w:rFonts w:ascii="Garamond" w:hAnsi="Garamond"/>
          <w:spacing w:val="10"/>
        </w:rPr>
      </w:pPr>
      <w:r w:rsidRPr="00634466">
        <w:rPr>
          <w:rFonts w:ascii="Garamond" w:hAnsi="Garamond"/>
          <w:spacing w:val="10"/>
        </w:rPr>
        <w:t xml:space="preserve">Flegg, A. T., &amp; </w:t>
      </w:r>
      <w:proofErr w:type="spellStart"/>
      <w:r w:rsidRPr="00634466">
        <w:rPr>
          <w:rFonts w:ascii="Garamond" w:hAnsi="Garamond"/>
          <w:spacing w:val="10"/>
        </w:rPr>
        <w:t>Tohmo</w:t>
      </w:r>
      <w:proofErr w:type="spellEnd"/>
      <w:r w:rsidRPr="00634466">
        <w:rPr>
          <w:rFonts w:ascii="Garamond" w:hAnsi="Garamond"/>
          <w:spacing w:val="10"/>
        </w:rPr>
        <w:t xml:space="preserve">, T. (2013a). Regional input–output tables and the FLQ formula: a case study of Finland. Regional studies, Vol. 47, No. 5, pp. 703-721. </w:t>
      </w:r>
    </w:p>
    <w:p w:rsidR="00405807" w:rsidRPr="00634466" w:rsidRDefault="00405807" w:rsidP="00493FF2">
      <w:pPr>
        <w:spacing w:after="240" w:line="480" w:lineRule="auto"/>
        <w:rPr>
          <w:rFonts w:ascii="Garamond" w:hAnsi="Garamond"/>
          <w:spacing w:val="10"/>
        </w:rPr>
      </w:pPr>
      <w:r w:rsidRPr="00634466">
        <w:rPr>
          <w:rFonts w:ascii="Garamond" w:hAnsi="Garamond"/>
          <w:spacing w:val="10"/>
        </w:rPr>
        <w:t xml:space="preserve">Flegg, A. T., &amp; </w:t>
      </w:r>
      <w:proofErr w:type="spellStart"/>
      <w:r w:rsidRPr="00634466">
        <w:rPr>
          <w:rFonts w:ascii="Garamond" w:hAnsi="Garamond"/>
          <w:spacing w:val="10"/>
        </w:rPr>
        <w:t>Tohmo</w:t>
      </w:r>
      <w:proofErr w:type="spellEnd"/>
      <w:r w:rsidRPr="00634466">
        <w:rPr>
          <w:rFonts w:ascii="Garamond" w:hAnsi="Garamond"/>
          <w:spacing w:val="10"/>
        </w:rPr>
        <w:t>, T. (2013</w:t>
      </w:r>
      <w:r w:rsidR="002F0269" w:rsidRPr="00634466">
        <w:rPr>
          <w:rFonts w:ascii="Garamond" w:hAnsi="Garamond"/>
          <w:spacing w:val="10"/>
        </w:rPr>
        <w:t>b</w:t>
      </w:r>
      <w:r w:rsidRPr="00634466">
        <w:rPr>
          <w:rFonts w:ascii="Garamond" w:hAnsi="Garamond"/>
          <w:spacing w:val="10"/>
        </w:rPr>
        <w:t xml:space="preserve">). A Comment on Tobias </w:t>
      </w:r>
      <w:proofErr w:type="spellStart"/>
      <w:r w:rsidRPr="00634466">
        <w:rPr>
          <w:rFonts w:ascii="Garamond" w:hAnsi="Garamond"/>
          <w:spacing w:val="10"/>
        </w:rPr>
        <w:t>Kronenberg’s</w:t>
      </w:r>
      <w:proofErr w:type="spellEnd"/>
      <w:r w:rsidRPr="00634466">
        <w:rPr>
          <w:rFonts w:ascii="Garamond" w:hAnsi="Garamond"/>
          <w:spacing w:val="10"/>
        </w:rPr>
        <w:t xml:space="preserve"> “Construction of regional input-output tables using </w:t>
      </w:r>
      <w:proofErr w:type="spellStart"/>
      <w:r w:rsidRPr="00634466">
        <w:rPr>
          <w:rFonts w:ascii="Garamond" w:hAnsi="Garamond"/>
          <w:spacing w:val="10"/>
        </w:rPr>
        <w:t>nonsurvey</w:t>
      </w:r>
      <w:proofErr w:type="spellEnd"/>
      <w:r w:rsidRPr="00634466">
        <w:rPr>
          <w:rFonts w:ascii="Garamond" w:hAnsi="Garamond"/>
          <w:spacing w:val="10"/>
        </w:rPr>
        <w:t xml:space="preserve"> methods: the role of cross-hauling”. International Regional Science Review, Vol. 36, No. 2, pp. 235-257.</w:t>
      </w:r>
    </w:p>
    <w:p w:rsidR="00493FF2" w:rsidRPr="00634466" w:rsidRDefault="00493FF2" w:rsidP="00493FF2">
      <w:pPr>
        <w:spacing w:after="240" w:line="480" w:lineRule="auto"/>
        <w:rPr>
          <w:rFonts w:ascii="Garamond" w:hAnsi="Garamond"/>
          <w:spacing w:val="10"/>
        </w:rPr>
      </w:pPr>
      <w:proofErr w:type="spellStart"/>
      <w:proofErr w:type="gramStart"/>
      <w:r w:rsidRPr="00634466">
        <w:rPr>
          <w:rFonts w:ascii="Garamond" w:hAnsi="Garamond"/>
          <w:spacing w:val="10"/>
        </w:rPr>
        <w:t>Harrigan</w:t>
      </w:r>
      <w:proofErr w:type="spellEnd"/>
      <w:r w:rsidRPr="00634466">
        <w:rPr>
          <w:rFonts w:ascii="Garamond" w:hAnsi="Garamond"/>
          <w:spacing w:val="10"/>
        </w:rPr>
        <w:t xml:space="preserve">, F., </w:t>
      </w:r>
      <w:proofErr w:type="spellStart"/>
      <w:r w:rsidRPr="00634466">
        <w:rPr>
          <w:rFonts w:ascii="Garamond" w:hAnsi="Garamond"/>
          <w:spacing w:val="10"/>
        </w:rPr>
        <w:t>McGilvray</w:t>
      </w:r>
      <w:proofErr w:type="spellEnd"/>
      <w:r w:rsidRPr="00634466">
        <w:rPr>
          <w:rFonts w:ascii="Garamond" w:hAnsi="Garamond"/>
          <w:spacing w:val="10"/>
        </w:rPr>
        <w:t xml:space="preserve">, J.W. &amp; </w:t>
      </w:r>
      <w:proofErr w:type="spellStart"/>
      <w:r w:rsidRPr="00634466">
        <w:rPr>
          <w:rFonts w:ascii="Garamond" w:hAnsi="Garamond"/>
          <w:spacing w:val="10"/>
        </w:rPr>
        <w:t>McNicoll</w:t>
      </w:r>
      <w:proofErr w:type="spellEnd"/>
      <w:r w:rsidRPr="00634466">
        <w:rPr>
          <w:rFonts w:ascii="Garamond" w:hAnsi="Garamond"/>
          <w:spacing w:val="10"/>
        </w:rPr>
        <w:t>, I.H. (1981).</w:t>
      </w:r>
      <w:proofErr w:type="gramEnd"/>
      <w:r w:rsidRPr="00634466">
        <w:rPr>
          <w:rFonts w:ascii="Garamond" w:hAnsi="Garamond"/>
          <w:spacing w:val="10"/>
        </w:rPr>
        <w:t xml:space="preserve"> The estimation of interregional trade flows. Journal of Regional Science, Vol. 21, No. 1, pp. 65-77.</w:t>
      </w:r>
    </w:p>
    <w:p w:rsidR="00493FF2" w:rsidRPr="00634466" w:rsidRDefault="00493FF2" w:rsidP="00493FF2">
      <w:pPr>
        <w:spacing w:after="240" w:line="480" w:lineRule="auto"/>
        <w:rPr>
          <w:rFonts w:ascii="Garamond" w:hAnsi="Garamond"/>
          <w:spacing w:val="10"/>
          <w:lang w:val="is-IS"/>
        </w:rPr>
      </w:pPr>
      <w:r w:rsidRPr="00634466">
        <w:rPr>
          <w:rFonts w:ascii="Garamond" w:hAnsi="Garamond"/>
          <w:spacing w:val="10"/>
          <w:lang w:val="is-IS"/>
        </w:rPr>
        <w:t>Harris, R.I.D. &amp; Liu, A. (1998). Input-Output Modelling of the Urban and Regional Economy: The Importance of External Trade. Regional Studies, Vol. 32, No. 9, pp. 851-862.</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Hewings, J.D., </w:t>
      </w:r>
      <w:proofErr w:type="spellStart"/>
      <w:r w:rsidRPr="00634466">
        <w:rPr>
          <w:rFonts w:ascii="Garamond" w:hAnsi="Garamond"/>
          <w:spacing w:val="10"/>
        </w:rPr>
        <w:t>Okuyama</w:t>
      </w:r>
      <w:proofErr w:type="spellEnd"/>
      <w:r w:rsidRPr="00634466">
        <w:rPr>
          <w:rFonts w:ascii="Garamond" w:hAnsi="Garamond"/>
          <w:spacing w:val="10"/>
        </w:rPr>
        <w:t xml:space="preserve">, Y. &amp; </w:t>
      </w:r>
      <w:proofErr w:type="spellStart"/>
      <w:r w:rsidRPr="00634466">
        <w:rPr>
          <w:rFonts w:ascii="Garamond" w:hAnsi="Garamond"/>
          <w:spacing w:val="10"/>
        </w:rPr>
        <w:t>Sonis</w:t>
      </w:r>
      <w:proofErr w:type="spellEnd"/>
      <w:r w:rsidRPr="00634466">
        <w:rPr>
          <w:rFonts w:ascii="Garamond" w:hAnsi="Garamond"/>
          <w:spacing w:val="10"/>
        </w:rPr>
        <w:t>, M. (2001). Economic Interdependence Within the Chicago Metropolitan Area: A Miyazawa Analysis. Journal of Regional Science, Vol. 41, No. 2, pp. 195-217.</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Hewings, J.D. &amp; Parr, J.B. (2007). Spatial Interdependence in a Metropolitan Setting. Spatial Economic Analysis. Vol. 2, No. 1, pp. 7-23.</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Hillis, I. (1998). Sub Regional Government Accounts (experimental). Office for National Statistics (ONS). Retrieved from the World Wide Web: </w:t>
      </w:r>
      <w:hyperlink r:id="rId16" w:history="1">
        <w:r w:rsidRPr="00634466">
          <w:rPr>
            <w:rStyle w:val="Hyperlink"/>
            <w:rFonts w:ascii="Garamond" w:hAnsi="Garamond"/>
          </w:rPr>
          <w:t>http://www.statistics.gov.uk/statbase/Product.asp?vlnk=9580&amp;More=Y</w:t>
        </w:r>
      </w:hyperlink>
      <w:r w:rsidRPr="00634466">
        <w:rPr>
          <w:rFonts w:ascii="Garamond" w:hAnsi="Garamond"/>
          <w:spacing w:val="10"/>
        </w:rPr>
        <w:t xml:space="preserve"> </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Jun, M.J. (2004). A Metropolitan Input-Output Model: </w:t>
      </w:r>
      <w:proofErr w:type="spellStart"/>
      <w:r w:rsidRPr="00634466">
        <w:rPr>
          <w:rFonts w:ascii="Garamond" w:hAnsi="Garamond"/>
          <w:spacing w:val="10"/>
        </w:rPr>
        <w:t>Multisectoral</w:t>
      </w:r>
      <w:proofErr w:type="spellEnd"/>
      <w:r w:rsidRPr="00634466">
        <w:rPr>
          <w:rFonts w:ascii="Garamond" w:hAnsi="Garamond"/>
          <w:spacing w:val="10"/>
        </w:rPr>
        <w:t xml:space="preserve"> and </w:t>
      </w:r>
      <w:proofErr w:type="spellStart"/>
      <w:r w:rsidRPr="00634466">
        <w:rPr>
          <w:rFonts w:ascii="Garamond" w:hAnsi="Garamond"/>
          <w:spacing w:val="10"/>
        </w:rPr>
        <w:t>Multispatial</w:t>
      </w:r>
      <w:proofErr w:type="spellEnd"/>
      <w:r w:rsidRPr="00634466">
        <w:rPr>
          <w:rFonts w:ascii="Garamond" w:hAnsi="Garamond"/>
          <w:spacing w:val="10"/>
        </w:rPr>
        <w:t xml:space="preserve"> Relations of Production, Income Formation and Consumption. Annals of Regional Science, Vol 31, pp 131-147.</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lastRenderedPageBreak/>
        <w:t>Kowalewksi</w:t>
      </w:r>
      <w:proofErr w:type="spellEnd"/>
      <w:r w:rsidRPr="00634466">
        <w:rPr>
          <w:rFonts w:ascii="Garamond" w:hAnsi="Garamond"/>
          <w:spacing w:val="10"/>
        </w:rPr>
        <w:t xml:space="preserve">, J. (2013). Regionalization of national input–output tables: empirical evidence on the use of the FLQ formula. </w:t>
      </w:r>
      <w:r w:rsidRPr="00634466">
        <w:rPr>
          <w:rFonts w:ascii="Garamond" w:hAnsi="Garamond"/>
          <w:iCs/>
          <w:spacing w:val="10"/>
        </w:rPr>
        <w:t>Regional Studies</w:t>
      </w:r>
      <w:r w:rsidRPr="00634466">
        <w:rPr>
          <w:rFonts w:ascii="Garamond" w:hAnsi="Garamond"/>
          <w:spacing w:val="10"/>
        </w:rPr>
        <w:t>, (ahead-of-print), 1-11.</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t>Kronenberg</w:t>
      </w:r>
      <w:proofErr w:type="spellEnd"/>
      <w:r w:rsidRPr="00634466">
        <w:rPr>
          <w:rFonts w:ascii="Garamond" w:hAnsi="Garamond"/>
          <w:spacing w:val="10"/>
        </w:rPr>
        <w:t xml:space="preserve">, T. (2009). Construction of Regional Input-Output Tables Using </w:t>
      </w:r>
      <w:proofErr w:type="spellStart"/>
      <w:r w:rsidRPr="00634466">
        <w:rPr>
          <w:rFonts w:ascii="Garamond" w:hAnsi="Garamond"/>
          <w:spacing w:val="10"/>
        </w:rPr>
        <w:t>Nonsurvey</w:t>
      </w:r>
      <w:proofErr w:type="spellEnd"/>
      <w:r w:rsidRPr="00634466">
        <w:rPr>
          <w:rFonts w:ascii="Garamond" w:hAnsi="Garamond"/>
          <w:spacing w:val="10"/>
        </w:rPr>
        <w:t xml:space="preserve"> Methods The Role of Cross-Hauling. International Regional Science Review, Vol. 32, No. 1, pp. 40-64.</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Lahr, M.L. (1993). A Review of the Literature Supporting the Hybrid Approach to Constructing Regional Input-Output Models. Economic Systems Research. Vol. 5, No. 3, pp. 277-293.</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Lahr, M. &amp; de </w:t>
      </w:r>
      <w:proofErr w:type="spellStart"/>
      <w:r w:rsidRPr="00634466">
        <w:rPr>
          <w:rFonts w:ascii="Garamond" w:hAnsi="Garamond"/>
          <w:spacing w:val="10"/>
        </w:rPr>
        <w:t>Mesnard</w:t>
      </w:r>
      <w:proofErr w:type="spellEnd"/>
      <w:r w:rsidRPr="00634466">
        <w:rPr>
          <w:rFonts w:ascii="Garamond" w:hAnsi="Garamond"/>
          <w:spacing w:val="10"/>
        </w:rPr>
        <w:t xml:space="preserve">, L. (2004). </w:t>
      </w:r>
      <w:proofErr w:type="spellStart"/>
      <w:r w:rsidRPr="00634466">
        <w:rPr>
          <w:rFonts w:ascii="Garamond" w:hAnsi="Garamond"/>
          <w:spacing w:val="10"/>
        </w:rPr>
        <w:t>Biproportional</w:t>
      </w:r>
      <w:proofErr w:type="spellEnd"/>
      <w:r w:rsidRPr="00634466">
        <w:rPr>
          <w:rFonts w:ascii="Garamond" w:hAnsi="Garamond"/>
          <w:spacing w:val="10"/>
        </w:rPr>
        <w:t xml:space="preserve"> </w:t>
      </w:r>
      <w:proofErr w:type="spellStart"/>
      <w:r w:rsidRPr="00634466">
        <w:rPr>
          <w:rFonts w:ascii="Garamond" w:hAnsi="Garamond"/>
          <w:spacing w:val="10"/>
        </w:rPr>
        <w:t>Teqhniques</w:t>
      </w:r>
      <w:proofErr w:type="spellEnd"/>
      <w:r w:rsidRPr="00634466">
        <w:rPr>
          <w:rFonts w:ascii="Garamond" w:hAnsi="Garamond"/>
          <w:spacing w:val="10"/>
        </w:rPr>
        <w:t xml:space="preserve"> in Input-Output Analysis: Table Updating and Structural Analysis. Economic Systems Research. Vol. 16, No. 2, pp. 115-134.</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Madden, M. (1985). Demographic-economic Analysis in a Multi-zonal Region: A Case Study of </w:t>
      </w:r>
      <w:proofErr w:type="spellStart"/>
      <w:r w:rsidRPr="00634466">
        <w:rPr>
          <w:rFonts w:ascii="Garamond" w:hAnsi="Garamond"/>
          <w:spacing w:val="10"/>
        </w:rPr>
        <w:t>Nordrein-Westfalen</w:t>
      </w:r>
      <w:proofErr w:type="spellEnd"/>
      <w:r w:rsidRPr="00634466">
        <w:rPr>
          <w:rFonts w:ascii="Garamond" w:hAnsi="Garamond"/>
          <w:spacing w:val="10"/>
        </w:rPr>
        <w:t>. Regional Science and Urban Economics. Vol. 15, pp. 517-540.</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Madsen, B., &amp; Jensen-Butler, C. (2005). Spatial accounting methods and the construction of spatial social accounting matrices. Economic systems research, Vol. 17, No. 2, pp 187-210.</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Miller, R.E. &amp; Blair, P.D. (2009). Input-Output Analysis: Foundations and Extensions, 2</w:t>
      </w:r>
      <w:r w:rsidRPr="00634466">
        <w:rPr>
          <w:rFonts w:ascii="Garamond" w:hAnsi="Garamond"/>
          <w:spacing w:val="10"/>
          <w:vertAlign w:val="superscript"/>
        </w:rPr>
        <w:t>nd</w:t>
      </w:r>
      <w:r w:rsidRPr="00634466">
        <w:rPr>
          <w:rFonts w:ascii="Garamond" w:hAnsi="Garamond"/>
          <w:spacing w:val="10"/>
        </w:rPr>
        <w:t xml:space="preserve"> edition. Cambridge: Cambridge University Press.</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t>Norcliffe</w:t>
      </w:r>
      <w:proofErr w:type="spellEnd"/>
      <w:r w:rsidRPr="00634466">
        <w:rPr>
          <w:rFonts w:ascii="Garamond" w:hAnsi="Garamond"/>
          <w:spacing w:val="10"/>
        </w:rPr>
        <w:t>, G.B. (1983). Using location quotients to estimate the economic base and trade flows. Regional Studies. Vol. 17, No. 3. pp. 161-168.</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t>Oosterhaven</w:t>
      </w:r>
      <w:proofErr w:type="spellEnd"/>
      <w:r w:rsidRPr="00634466">
        <w:rPr>
          <w:rFonts w:ascii="Garamond" w:hAnsi="Garamond"/>
          <w:spacing w:val="10"/>
        </w:rPr>
        <w:t>, J. (1981). Interregional input-output analysis and Dutch regional policy problems. Groningen.</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lastRenderedPageBreak/>
        <w:t>Oosterhaven</w:t>
      </w:r>
      <w:proofErr w:type="spellEnd"/>
      <w:r w:rsidRPr="00634466">
        <w:rPr>
          <w:rFonts w:ascii="Garamond" w:hAnsi="Garamond"/>
          <w:spacing w:val="10"/>
        </w:rPr>
        <w:t xml:space="preserve">, J. &amp; </w:t>
      </w:r>
      <w:proofErr w:type="spellStart"/>
      <w:r w:rsidRPr="00634466">
        <w:rPr>
          <w:rFonts w:ascii="Garamond" w:hAnsi="Garamond"/>
          <w:spacing w:val="10"/>
        </w:rPr>
        <w:t>Stelder</w:t>
      </w:r>
      <w:proofErr w:type="spellEnd"/>
      <w:r w:rsidRPr="00634466">
        <w:rPr>
          <w:rFonts w:ascii="Garamond" w:hAnsi="Garamond"/>
          <w:spacing w:val="10"/>
        </w:rPr>
        <w:t>, D. (2007). Regional and Interregional IO Analysis. Monograph: University of Groningen, Faculty of Economics and Business.</w:t>
      </w:r>
    </w:p>
    <w:p w:rsidR="00B90191" w:rsidRDefault="00B90191" w:rsidP="00493FF2">
      <w:pPr>
        <w:spacing w:after="240" w:line="480" w:lineRule="auto"/>
        <w:rPr>
          <w:rFonts w:ascii="Garamond" w:hAnsi="Garamond"/>
          <w:spacing w:val="10"/>
        </w:rPr>
      </w:pPr>
      <w:proofErr w:type="spellStart"/>
      <w:proofErr w:type="gramStart"/>
      <w:r w:rsidRPr="00634466">
        <w:rPr>
          <w:rFonts w:ascii="Garamond" w:hAnsi="Garamond"/>
          <w:spacing w:val="10"/>
        </w:rPr>
        <w:t>Oosterhaven</w:t>
      </w:r>
      <w:proofErr w:type="spellEnd"/>
      <w:r w:rsidRPr="00634466">
        <w:rPr>
          <w:rFonts w:ascii="Garamond" w:hAnsi="Garamond"/>
          <w:spacing w:val="10"/>
        </w:rPr>
        <w:t>, J., &amp; Escobedo</w:t>
      </w:r>
      <w:r w:rsidRPr="00634466">
        <w:rPr>
          <w:rFonts w:ascii="Cambria Math" w:hAnsi="Cambria Math" w:cs="Cambria Math"/>
          <w:spacing w:val="10"/>
        </w:rPr>
        <w:t>‐</w:t>
      </w:r>
      <w:proofErr w:type="spellStart"/>
      <w:r w:rsidRPr="00634466">
        <w:rPr>
          <w:rFonts w:ascii="Garamond" w:hAnsi="Garamond"/>
          <w:spacing w:val="10"/>
        </w:rPr>
        <w:t>Carde</w:t>
      </w:r>
      <w:r w:rsidRPr="00634466">
        <w:rPr>
          <w:rFonts w:ascii="Garamond" w:hAnsi="Garamond" w:cs="Garamond"/>
          <w:spacing w:val="10"/>
        </w:rPr>
        <w:t>ñ</w:t>
      </w:r>
      <w:r w:rsidRPr="00634466">
        <w:rPr>
          <w:rFonts w:ascii="Garamond" w:hAnsi="Garamond"/>
          <w:spacing w:val="10"/>
        </w:rPr>
        <w:t>oso</w:t>
      </w:r>
      <w:proofErr w:type="spellEnd"/>
      <w:r w:rsidRPr="00634466">
        <w:rPr>
          <w:rFonts w:ascii="Garamond" w:hAnsi="Garamond"/>
          <w:spacing w:val="10"/>
        </w:rPr>
        <w:t>, F. (2011).</w:t>
      </w:r>
      <w:proofErr w:type="gramEnd"/>
      <w:r w:rsidRPr="00634466">
        <w:rPr>
          <w:rFonts w:ascii="Garamond" w:hAnsi="Garamond"/>
          <w:spacing w:val="10"/>
        </w:rPr>
        <w:t xml:space="preserve"> A new method to estimate input</w:t>
      </w:r>
      <w:r w:rsidRPr="00634466">
        <w:rPr>
          <w:rFonts w:ascii="Cambria Math" w:hAnsi="Cambria Math" w:cs="Cambria Math"/>
          <w:spacing w:val="10"/>
        </w:rPr>
        <w:t>‐</w:t>
      </w:r>
      <w:r w:rsidRPr="00634466">
        <w:rPr>
          <w:rFonts w:ascii="Garamond" w:hAnsi="Garamond"/>
          <w:spacing w:val="10"/>
        </w:rPr>
        <w:t>output tables by means of structural lags, tested on Spanish regions. Papers in Regional Science, Vol 90, No. 4, pp. 829-844.</w:t>
      </w:r>
    </w:p>
    <w:p w:rsidR="00D73F00" w:rsidRPr="00972C5B" w:rsidRDefault="00D73F00" w:rsidP="00D73F00">
      <w:pPr>
        <w:spacing w:after="240" w:line="480" w:lineRule="auto"/>
        <w:rPr>
          <w:rFonts w:ascii="Garamond" w:hAnsi="Garamond"/>
          <w:spacing w:val="10"/>
        </w:rPr>
      </w:pPr>
      <w:r w:rsidRPr="00381C4D">
        <w:rPr>
          <w:rFonts w:ascii="Garamond" w:hAnsi="Garamond"/>
          <w:spacing w:val="10"/>
        </w:rPr>
        <w:t>Richardson, H. W. (1985). Input</w:t>
      </w:r>
      <w:r w:rsidRPr="00381C4D">
        <w:rPr>
          <w:rFonts w:ascii="Cambria Math" w:hAnsi="Cambria Math" w:cs="Cambria Math"/>
          <w:spacing w:val="10"/>
        </w:rPr>
        <w:t>‐</w:t>
      </w:r>
      <w:r w:rsidRPr="00381C4D">
        <w:rPr>
          <w:rFonts w:ascii="Garamond" w:hAnsi="Garamond"/>
          <w:spacing w:val="10"/>
        </w:rPr>
        <w:t>Output and Economic Base Multipliers: Looking Backward and Forward*. Journal of Regional Science,</w:t>
      </w:r>
      <w:r>
        <w:rPr>
          <w:rFonts w:ascii="Garamond" w:hAnsi="Garamond"/>
          <w:spacing w:val="10"/>
        </w:rPr>
        <w:t xml:space="preserve"> Vol.</w:t>
      </w:r>
      <w:r w:rsidRPr="00381C4D">
        <w:rPr>
          <w:rFonts w:ascii="Garamond" w:hAnsi="Garamond"/>
          <w:spacing w:val="10"/>
        </w:rPr>
        <w:t xml:space="preserve"> 25</w:t>
      </w:r>
      <w:r>
        <w:rPr>
          <w:rFonts w:ascii="Garamond" w:hAnsi="Garamond"/>
          <w:spacing w:val="10"/>
        </w:rPr>
        <w:t>, No. 4</w:t>
      </w:r>
      <w:r w:rsidRPr="00381C4D">
        <w:rPr>
          <w:rFonts w:ascii="Garamond" w:hAnsi="Garamond"/>
          <w:spacing w:val="10"/>
        </w:rPr>
        <w:t xml:space="preserve">, </w:t>
      </w:r>
      <w:r>
        <w:rPr>
          <w:rFonts w:ascii="Garamond" w:hAnsi="Garamond"/>
          <w:spacing w:val="10"/>
        </w:rPr>
        <w:t xml:space="preserve">pp. </w:t>
      </w:r>
      <w:r w:rsidRPr="00381C4D">
        <w:rPr>
          <w:rFonts w:ascii="Garamond" w:hAnsi="Garamond"/>
          <w:spacing w:val="10"/>
        </w:rPr>
        <w:t>607-661.</w:t>
      </w:r>
    </w:p>
    <w:p w:rsidR="00493FF2" w:rsidRPr="00634466" w:rsidRDefault="00493FF2" w:rsidP="00493FF2">
      <w:pPr>
        <w:spacing w:after="240" w:line="480" w:lineRule="auto"/>
        <w:rPr>
          <w:rFonts w:ascii="Garamond" w:hAnsi="Garamond"/>
          <w:spacing w:val="10"/>
        </w:rPr>
      </w:pPr>
      <w:proofErr w:type="spellStart"/>
      <w:proofErr w:type="gramStart"/>
      <w:r w:rsidRPr="00634466">
        <w:rPr>
          <w:rFonts w:ascii="Garamond" w:hAnsi="Garamond"/>
          <w:spacing w:val="10"/>
        </w:rPr>
        <w:t>Riddington</w:t>
      </w:r>
      <w:proofErr w:type="spellEnd"/>
      <w:r w:rsidRPr="00634466">
        <w:rPr>
          <w:rFonts w:ascii="Garamond" w:hAnsi="Garamond"/>
          <w:spacing w:val="10"/>
        </w:rPr>
        <w:t>, G., Gibson, H., &amp; Anderson, J. (2006).</w:t>
      </w:r>
      <w:proofErr w:type="gramEnd"/>
      <w:r w:rsidRPr="00634466">
        <w:rPr>
          <w:rFonts w:ascii="Garamond" w:hAnsi="Garamond"/>
          <w:spacing w:val="10"/>
        </w:rPr>
        <w:t xml:space="preserve"> Comparison of gravity model, survey and location quotient-based local area tables and multipliers. Regional Studies, Vol. 40, No. 9, pp. 1069-1081.</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Roberts, D. (2003). The economic base of rural areas: a SAM-based analysis of the Western Isles, 1997. Environment and Planning A, Vol. 35, No. 1, pp. 95-112.</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Round, J.I. (1978). An Interregional Input-Output Approach to the Evaluation of </w:t>
      </w:r>
      <w:proofErr w:type="spellStart"/>
      <w:r w:rsidRPr="00634466">
        <w:rPr>
          <w:rFonts w:ascii="Garamond" w:hAnsi="Garamond"/>
          <w:spacing w:val="10"/>
        </w:rPr>
        <w:t>Nonsurvey</w:t>
      </w:r>
      <w:proofErr w:type="spellEnd"/>
      <w:r w:rsidRPr="00634466">
        <w:rPr>
          <w:rFonts w:ascii="Garamond" w:hAnsi="Garamond"/>
          <w:spacing w:val="10"/>
        </w:rPr>
        <w:t xml:space="preserve"> Methods. Journal of Regional Science. Vol. 18, No. 2., pp. 179-194.</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Schaffer, W.A. &amp; Chu, K. (1969). </w:t>
      </w:r>
      <w:proofErr w:type="spellStart"/>
      <w:r w:rsidRPr="00634466">
        <w:rPr>
          <w:rFonts w:ascii="Garamond" w:hAnsi="Garamond"/>
          <w:spacing w:val="10"/>
        </w:rPr>
        <w:t>Nonsurvey</w:t>
      </w:r>
      <w:proofErr w:type="spellEnd"/>
      <w:r w:rsidRPr="00634466">
        <w:rPr>
          <w:rFonts w:ascii="Garamond" w:hAnsi="Garamond"/>
          <w:spacing w:val="10"/>
        </w:rPr>
        <w:t xml:space="preserve"> Techniques for Constructing Regional Interindustry Models. Papers in Regional Science. Vol. 23, No. 1, pp. 83-104.</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Smith, P. &amp; Morrison, W.I. (1974). Simulating the Urban Economy: Input-Output Techniques. Pion, London.</w:t>
      </w:r>
    </w:p>
    <w:p w:rsidR="00493FF2" w:rsidRPr="00634466" w:rsidRDefault="00493FF2" w:rsidP="00493FF2">
      <w:pPr>
        <w:spacing w:after="240" w:line="480" w:lineRule="auto"/>
        <w:rPr>
          <w:rFonts w:ascii="Garamond" w:hAnsi="Garamond"/>
          <w:spacing w:val="10"/>
        </w:rPr>
      </w:pPr>
      <w:proofErr w:type="gramStart"/>
      <w:r w:rsidRPr="00634466">
        <w:rPr>
          <w:rFonts w:ascii="Garamond" w:hAnsi="Garamond"/>
          <w:spacing w:val="10"/>
        </w:rPr>
        <w:t xml:space="preserve">Stevens, B. H., &amp; </w:t>
      </w:r>
      <w:proofErr w:type="spellStart"/>
      <w:r w:rsidRPr="00634466">
        <w:rPr>
          <w:rFonts w:ascii="Garamond" w:hAnsi="Garamond"/>
          <w:spacing w:val="10"/>
        </w:rPr>
        <w:t>Treyz</w:t>
      </w:r>
      <w:proofErr w:type="spellEnd"/>
      <w:r w:rsidRPr="00634466">
        <w:rPr>
          <w:rFonts w:ascii="Garamond" w:hAnsi="Garamond"/>
          <w:spacing w:val="10"/>
        </w:rPr>
        <w:t>, G. I. (1986).</w:t>
      </w:r>
      <w:proofErr w:type="gramEnd"/>
      <w:r w:rsidRPr="00634466">
        <w:rPr>
          <w:rFonts w:ascii="Garamond" w:hAnsi="Garamond"/>
          <w:spacing w:val="10"/>
        </w:rPr>
        <w:t xml:space="preserve"> A multiregional model forecast for the United States through 1995. The American Economic Review, Vol. 76, No. 2, pp. 304-307.</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t>Stoeckl</w:t>
      </w:r>
      <w:proofErr w:type="spellEnd"/>
      <w:r w:rsidRPr="00634466">
        <w:rPr>
          <w:rFonts w:ascii="Garamond" w:hAnsi="Garamond"/>
          <w:spacing w:val="10"/>
        </w:rPr>
        <w:t xml:space="preserve">, N. (2012). Comparing Multipliers from Survey and Non-Survey Based IO Models An Empirical Investigation from Northern Australia. </w:t>
      </w:r>
      <w:r w:rsidRPr="00634466">
        <w:rPr>
          <w:rFonts w:ascii="Garamond" w:hAnsi="Garamond"/>
          <w:iCs/>
          <w:spacing w:val="10"/>
        </w:rPr>
        <w:t>International Regional Science Review</w:t>
      </w:r>
      <w:r w:rsidRPr="00634466">
        <w:rPr>
          <w:rFonts w:ascii="Garamond" w:hAnsi="Garamond"/>
          <w:spacing w:val="10"/>
        </w:rPr>
        <w:t xml:space="preserve">, Vol. </w:t>
      </w:r>
      <w:r w:rsidRPr="00634466">
        <w:rPr>
          <w:rFonts w:ascii="Garamond" w:hAnsi="Garamond"/>
          <w:iCs/>
          <w:spacing w:val="10"/>
        </w:rPr>
        <w:t xml:space="preserve">35, No. </w:t>
      </w:r>
      <w:r w:rsidRPr="00634466">
        <w:rPr>
          <w:rFonts w:ascii="Garamond" w:hAnsi="Garamond"/>
          <w:spacing w:val="10"/>
        </w:rPr>
        <w:t xml:space="preserve">4, pp. 367-388. </w:t>
      </w:r>
    </w:p>
    <w:p w:rsidR="00493FF2" w:rsidRPr="00634466" w:rsidRDefault="00493FF2" w:rsidP="00493FF2">
      <w:pPr>
        <w:spacing w:after="240" w:line="480" w:lineRule="auto"/>
        <w:rPr>
          <w:rFonts w:ascii="Garamond" w:hAnsi="Garamond"/>
          <w:spacing w:val="10"/>
        </w:rPr>
      </w:pPr>
      <w:proofErr w:type="spellStart"/>
      <w:r w:rsidRPr="00634466">
        <w:rPr>
          <w:rFonts w:ascii="Garamond" w:hAnsi="Garamond"/>
          <w:spacing w:val="10"/>
        </w:rPr>
        <w:lastRenderedPageBreak/>
        <w:t>Tohmo</w:t>
      </w:r>
      <w:proofErr w:type="spellEnd"/>
      <w:r w:rsidRPr="00634466">
        <w:rPr>
          <w:rFonts w:ascii="Garamond" w:hAnsi="Garamond"/>
          <w:spacing w:val="10"/>
        </w:rPr>
        <w:t>, T. (2004). New Developments in the Use of Location Quotients to Estimate Regional Input-Output Coefficients and Multipliers. Regional Studies, Vol. 381, No. 1, pp. 45-54.</w:t>
      </w:r>
    </w:p>
    <w:p w:rsidR="00581826" w:rsidRPr="00634466" w:rsidRDefault="00581826" w:rsidP="00493FF2">
      <w:pPr>
        <w:spacing w:after="240" w:line="480" w:lineRule="auto"/>
        <w:rPr>
          <w:rFonts w:ascii="Garamond" w:hAnsi="Garamond"/>
          <w:spacing w:val="10"/>
        </w:rPr>
      </w:pPr>
      <w:proofErr w:type="gramStart"/>
      <w:r w:rsidRPr="00634466">
        <w:rPr>
          <w:rFonts w:ascii="Garamond" w:hAnsi="Garamond"/>
          <w:spacing w:val="10"/>
        </w:rPr>
        <w:t>van</w:t>
      </w:r>
      <w:proofErr w:type="gramEnd"/>
      <w:r w:rsidRPr="00634466">
        <w:rPr>
          <w:rFonts w:ascii="Garamond" w:hAnsi="Garamond"/>
          <w:spacing w:val="10"/>
        </w:rPr>
        <w:t xml:space="preserve"> Dijk, J. &amp; </w:t>
      </w:r>
      <w:proofErr w:type="spellStart"/>
      <w:r w:rsidRPr="00634466">
        <w:rPr>
          <w:rFonts w:ascii="Garamond" w:hAnsi="Garamond"/>
          <w:spacing w:val="10"/>
        </w:rPr>
        <w:t>Oosterhaven</w:t>
      </w:r>
      <w:proofErr w:type="spellEnd"/>
      <w:r w:rsidRPr="00634466">
        <w:rPr>
          <w:rFonts w:ascii="Garamond" w:hAnsi="Garamond"/>
          <w:spacing w:val="10"/>
        </w:rPr>
        <w:t xml:space="preserve">, J. (1986). Regional Impacts of Migrants' Expenditures: An Input-Output/Vacancy-chain Approach. In Batey, P.W.J. &amp; Madden, M. (eds.) London Papers in Regional Science (Vol. 15, pp. 122-146). </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West, G. R. (1990). Regional trade estimation: a hybrid approach. International Regional Science Review, Vol. 13, No. 1-2, pp. 103-118.</w:t>
      </w:r>
    </w:p>
    <w:p w:rsidR="00493FF2" w:rsidRPr="00634466" w:rsidRDefault="00493FF2" w:rsidP="00493FF2">
      <w:pPr>
        <w:spacing w:after="240" w:line="480" w:lineRule="auto"/>
        <w:rPr>
          <w:rFonts w:ascii="Garamond" w:hAnsi="Garamond"/>
          <w:spacing w:val="10"/>
        </w:rPr>
      </w:pPr>
      <w:r w:rsidRPr="00634466">
        <w:rPr>
          <w:rFonts w:ascii="Garamond" w:hAnsi="Garamond"/>
          <w:spacing w:val="10"/>
        </w:rPr>
        <w:t xml:space="preserve">Willis, K.G. (1987). Spatially disaggregated input-output tables: an evaluation and comparison of survey and </w:t>
      </w:r>
      <w:proofErr w:type="spellStart"/>
      <w:r w:rsidRPr="00634466">
        <w:rPr>
          <w:rFonts w:ascii="Garamond" w:hAnsi="Garamond"/>
          <w:spacing w:val="10"/>
        </w:rPr>
        <w:t>nonsurvey</w:t>
      </w:r>
      <w:proofErr w:type="spellEnd"/>
      <w:r w:rsidRPr="00634466">
        <w:rPr>
          <w:rFonts w:ascii="Garamond" w:hAnsi="Garamond"/>
          <w:spacing w:val="10"/>
        </w:rPr>
        <w:t xml:space="preserve"> results. Environment and Planning A. Volume 19, pp. 107-116.</w:t>
      </w:r>
    </w:p>
    <w:p w:rsidR="00493FF2" w:rsidRPr="00972C5B" w:rsidRDefault="00493FF2" w:rsidP="00493FF2">
      <w:pPr>
        <w:spacing w:after="240" w:line="480" w:lineRule="auto"/>
        <w:rPr>
          <w:rFonts w:ascii="Garamond" w:hAnsi="Garamond"/>
          <w:spacing w:val="10"/>
        </w:rPr>
      </w:pPr>
      <w:r w:rsidRPr="00634466">
        <w:rPr>
          <w:rFonts w:ascii="Garamond" w:hAnsi="Garamond"/>
          <w:spacing w:val="10"/>
        </w:rPr>
        <w:t>Wilson, A.G. (1970). Entropy in Urban and Regional Modelling. London: Pion.</w:t>
      </w:r>
    </w:p>
    <w:p w:rsidR="008E26B4" w:rsidRDefault="008E26B4" w:rsidP="008E26B4">
      <w:pPr>
        <w:spacing w:line="480" w:lineRule="auto"/>
      </w:pPr>
    </w:p>
    <w:p w:rsidR="004F15CB" w:rsidRPr="00482C10" w:rsidRDefault="004F15CB" w:rsidP="004F15CB">
      <w:pPr>
        <w:spacing w:line="276" w:lineRule="auto"/>
      </w:pPr>
    </w:p>
    <w:sectPr w:rsidR="004F15CB" w:rsidRPr="00482C10" w:rsidSect="00493FF2">
      <w:pgSz w:w="11907" w:h="16839" w:code="9"/>
      <w:pgMar w:top="1134" w:right="1701"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25" w:rsidRDefault="008D6E25" w:rsidP="008E26B4">
      <w:r>
        <w:separator/>
      </w:r>
    </w:p>
  </w:endnote>
  <w:endnote w:type="continuationSeparator" w:id="0">
    <w:p w:rsidR="008D6E25" w:rsidRDefault="008D6E25" w:rsidP="008E2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mr1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65730"/>
      <w:docPartObj>
        <w:docPartGallery w:val="Page Numbers (Bottom of Page)"/>
        <w:docPartUnique/>
      </w:docPartObj>
    </w:sdtPr>
    <w:sdtEndPr>
      <w:rPr>
        <w:noProof/>
      </w:rPr>
    </w:sdtEndPr>
    <w:sdtContent>
      <w:p w:rsidR="008D4465" w:rsidRDefault="00BB6961">
        <w:pPr>
          <w:pStyle w:val="Footer"/>
          <w:jc w:val="center"/>
        </w:pPr>
        <w:r>
          <w:fldChar w:fldCharType="begin"/>
        </w:r>
        <w:r w:rsidR="008D4465">
          <w:instrText xml:space="preserve"> PAGE   \* MERGEFORMAT </w:instrText>
        </w:r>
        <w:r>
          <w:fldChar w:fldCharType="separate"/>
        </w:r>
        <w:r w:rsidR="00AA6F8A">
          <w:rPr>
            <w:noProof/>
          </w:rPr>
          <w:t>31</w:t>
        </w:r>
        <w:r>
          <w:rPr>
            <w:noProof/>
          </w:rPr>
          <w:fldChar w:fldCharType="end"/>
        </w:r>
      </w:p>
    </w:sdtContent>
  </w:sdt>
  <w:p w:rsidR="008D4465" w:rsidRDefault="008D4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25" w:rsidRDefault="008D6E25" w:rsidP="008E26B4">
      <w:r>
        <w:separator/>
      </w:r>
    </w:p>
  </w:footnote>
  <w:footnote w:type="continuationSeparator" w:id="0">
    <w:p w:rsidR="008D6E25" w:rsidRDefault="008D6E25" w:rsidP="008E26B4">
      <w:r>
        <w:continuationSeparator/>
      </w:r>
    </w:p>
  </w:footnote>
  <w:footnote w:id="1">
    <w:p w:rsidR="008D4465" w:rsidRDefault="008D4465" w:rsidP="008861D5">
      <w:pPr>
        <w:pStyle w:val="FootnoteText"/>
      </w:pPr>
      <w:r>
        <w:rPr>
          <w:rStyle w:val="FootnoteReference"/>
          <w:rFonts w:eastAsiaTheme="majorEastAsia"/>
        </w:rPr>
        <w:footnoteRef/>
      </w:r>
      <w:r>
        <w:t xml:space="preserve"> </w:t>
      </w:r>
      <w:proofErr w:type="spellStart"/>
      <w:r>
        <w:t>Boomsma</w:t>
      </w:r>
      <w:proofErr w:type="spellEnd"/>
      <w:r>
        <w:t xml:space="preserve"> &amp; </w:t>
      </w:r>
      <w:proofErr w:type="spellStart"/>
      <w:r>
        <w:t>Oosterhaven</w:t>
      </w:r>
      <w:proofErr w:type="spellEnd"/>
      <w:r>
        <w:t xml:space="preserve"> (1992, p. 282, Footnote 5) point out that a bi-regional table (i.e. region of interest and rest of host economy) can be constructed using 9 months of labour.</w:t>
      </w:r>
    </w:p>
  </w:footnote>
  <w:footnote w:id="2">
    <w:p w:rsidR="008D4465" w:rsidRDefault="008D4465" w:rsidP="004522A9">
      <w:pPr>
        <w:pStyle w:val="FootnoteText"/>
      </w:pPr>
      <w:r>
        <w:rPr>
          <w:rStyle w:val="FootnoteReference"/>
        </w:rPr>
        <w:footnoteRef/>
      </w:r>
      <w:r>
        <w:t xml:space="preserve"> </w:t>
      </w:r>
      <w:r>
        <w:rPr>
          <w:rFonts w:eastAsiaTheme="minorEastAsia"/>
        </w:rPr>
        <w:t xml:space="preserve">It is assumed that </w:t>
      </w: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NR</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NN</m:t>
            </m:r>
          </m:sup>
        </m:sSubSup>
      </m:oMath>
      <w:r>
        <w:rPr>
          <w:rFonts w:eastAsiaTheme="minorEastAsia"/>
        </w:rPr>
        <w:t xml:space="preserve"> so that the input requirements of the regional sector are the same as that of the national sector. Furthermore, </w:t>
      </w:r>
      <w:r w:rsidRPr="004522A9">
        <w:rPr>
          <w:rFonts w:eastAsiaTheme="minorEastAsia"/>
        </w:rPr>
        <w:t>the</w:t>
      </w:r>
      <w:r>
        <w:rPr>
          <w:rFonts w:eastAsiaTheme="minorEastAsia"/>
        </w:rPr>
        <w:t>se</w:t>
      </w:r>
      <w:r w:rsidRPr="004522A9">
        <w:rPr>
          <w:rFonts w:eastAsiaTheme="minorEastAsia"/>
        </w:rPr>
        <w:t xml:space="preserve"> input coefficients exclude imports from abroad and</w:t>
      </w:r>
      <w:r>
        <w:rPr>
          <w:rFonts w:eastAsiaTheme="minorEastAsia"/>
        </w:rPr>
        <w:t xml:space="preserve"> should therefore not be confused with</w:t>
      </w:r>
      <w:r w:rsidRPr="004522A9">
        <w:rPr>
          <w:rFonts w:eastAsiaTheme="minorEastAsia"/>
        </w:rPr>
        <w:t xml:space="preserve"> technical coefficients</w:t>
      </w:r>
      <w:r>
        <w:rPr>
          <w:rFonts w:eastAsiaTheme="minorEastAsia"/>
        </w:rPr>
        <w:t>. Reg</w:t>
      </w:r>
      <w:r w:rsidRPr="004522A9">
        <w:rPr>
          <w:rFonts w:eastAsiaTheme="minorEastAsia"/>
        </w:rPr>
        <w:t>ional and national propensities to import foreign goods</w:t>
      </w:r>
      <w:r>
        <w:rPr>
          <w:rFonts w:eastAsiaTheme="minorEastAsia"/>
        </w:rPr>
        <w:t xml:space="preserve"> are assumed to be the same</w:t>
      </w:r>
      <w:r w:rsidRPr="004522A9">
        <w:rPr>
          <w:rFonts w:eastAsiaTheme="minorEastAsia"/>
        </w:rPr>
        <w:t>.</w:t>
      </w:r>
      <w:r>
        <w:rPr>
          <w:rFonts w:eastAsiaTheme="minorEastAsia"/>
        </w:rPr>
        <w:t xml:space="preserve"> </w:t>
      </w:r>
      <w:r>
        <w:t>T</w:t>
      </w:r>
      <w:r w:rsidRPr="004D526A">
        <w:t xml:space="preserve">he LQ </w:t>
      </w:r>
      <w:r>
        <w:t xml:space="preserve">can be seen as a </w:t>
      </w:r>
      <w:r w:rsidRPr="004D526A">
        <w:t xml:space="preserve">self-sufficiency trade coefficient </w:t>
      </w:r>
      <w:r>
        <w:t xml:space="preserve">or, as put by Stevens &amp; </w:t>
      </w:r>
      <w:proofErr w:type="spellStart"/>
      <w:r>
        <w:t>Treyz</w:t>
      </w:r>
      <w:proofErr w:type="spellEnd"/>
      <w:r>
        <w:t xml:space="preserve"> (1986), </w:t>
      </w:r>
      <w:r w:rsidRPr="004D526A">
        <w:t>a Regional Purchase Coefficient (RPC)</w:t>
      </w:r>
      <w:r>
        <w:t>.</w:t>
      </w:r>
    </w:p>
  </w:footnote>
  <w:footnote w:id="3">
    <w:p w:rsidR="008D4465" w:rsidRDefault="008D4465" w:rsidP="00BD7929">
      <w:pPr>
        <w:pStyle w:val="FootnoteText"/>
      </w:pPr>
      <w:r>
        <w:rPr>
          <w:rStyle w:val="FootnoteReference"/>
        </w:rPr>
        <w:footnoteRef/>
      </w:r>
      <w:r>
        <w:t xml:space="preserve"> </w:t>
      </w:r>
      <w:r w:rsidRPr="00E45522">
        <w:t>The approach was initially presented in Flegg</w:t>
      </w:r>
      <w:r>
        <w:t>, Webber &amp; Elliott</w:t>
      </w:r>
      <w:r w:rsidRPr="00E45522">
        <w:t xml:space="preserve"> (1995) but a revised version (Flegg and Webber (1997) has become the default specification and is for instance presented in Miller &amp; Blair (2009). This paper follows the convention of referring to the FLQ approach as that described in (Flegg &amp; Webber, 1997).</w:t>
      </w:r>
      <w:r>
        <w:t xml:space="preserve"> An augmented version is provided in Flegg &amp; Webber (2000).</w:t>
      </w:r>
    </w:p>
  </w:footnote>
  <w:footnote w:id="4">
    <w:p w:rsidR="008D4465" w:rsidRPr="0075599E" w:rsidRDefault="008D4465" w:rsidP="00BD7929">
      <w:pPr>
        <w:pStyle w:val="FootnoteText"/>
        <w:rPr>
          <w:lang w:val="is-IS"/>
        </w:rPr>
      </w:pPr>
      <w:r>
        <w:rPr>
          <w:rStyle w:val="FootnoteReference"/>
          <w:rFonts w:eastAsiaTheme="majorEastAsia"/>
        </w:rPr>
        <w:footnoteRef/>
      </w:r>
      <w:r>
        <w:t xml:space="preserve"> </w:t>
      </w:r>
      <w:r>
        <w:rPr>
          <w:lang w:val="is-IS"/>
        </w:rPr>
        <w:t>Norcliffe identifies 4 main assumptions. However, his fourth assumption is not relevant in the context of IO-accounts, as it is for estimating export base models, and is hence omitted here.</w:t>
      </w:r>
    </w:p>
  </w:footnote>
  <w:footnote w:id="5">
    <w:p w:rsidR="008D4465" w:rsidRDefault="008D4465" w:rsidP="00B91E77">
      <w:pPr>
        <w:pStyle w:val="FootnoteText"/>
      </w:pPr>
      <w:r>
        <w:rPr>
          <w:rStyle w:val="FootnoteReference"/>
        </w:rPr>
        <w:footnoteRef/>
      </w:r>
      <w:r>
        <w:t xml:space="preserve"> </w:t>
      </w:r>
      <w:r w:rsidRPr="00B474F8">
        <w:t>An alternative approach is taken by Madsen &amp; Jensen-Butler (2005), which construct an interregional Social Accounting Matrix for Denmark that separately identifies; the place of production for production activities; place of residence for institutions; marketplace for commodities; and marketplace for factors.</w:t>
      </w:r>
    </w:p>
  </w:footnote>
  <w:footnote w:id="6">
    <w:p w:rsidR="008D4465" w:rsidRPr="00731C6C" w:rsidRDefault="008D4465" w:rsidP="008E26B4">
      <w:pPr>
        <w:pStyle w:val="FootnoteText"/>
        <w:rPr>
          <w:lang w:val="is-IS"/>
        </w:rPr>
      </w:pPr>
      <w:r>
        <w:rPr>
          <w:rStyle w:val="FootnoteReference"/>
        </w:rPr>
        <w:footnoteRef/>
      </w:r>
      <w:r>
        <w:t xml:space="preserve"> </w:t>
      </w:r>
      <w:r w:rsidRPr="008B260D">
        <w:t xml:space="preserve">This is a wide definition of Glasgow city-region encompassing the whole of the former Strathclyde Regional Council (SRC) area outside Glasgow. This includes the council areas of East </w:t>
      </w:r>
      <w:r>
        <w:t xml:space="preserve">and West </w:t>
      </w:r>
      <w:r w:rsidRPr="008B260D">
        <w:t>Dunbartonshire</w:t>
      </w:r>
      <w:r>
        <w:t>,</w:t>
      </w:r>
      <w:r w:rsidRPr="008B260D">
        <w:t xml:space="preserve"> </w:t>
      </w:r>
      <w:proofErr w:type="spellStart"/>
      <w:r w:rsidRPr="008B260D">
        <w:t>Helensburgh</w:t>
      </w:r>
      <w:proofErr w:type="spellEnd"/>
      <w:r w:rsidRPr="008B260D">
        <w:t xml:space="preserve"> and Lomond, East, North and South Ayrshire mainland, Inverclyde, East Renfrewshire and Renfrewshire, North and South Lanarkshire. The SRC was abolished in 1996 but many public services in the area are still provided at the Strathclyde level, such as Strathclyde Fire and Rescue Service and the Strathc</w:t>
      </w:r>
      <w:r>
        <w:t>lyde Partnership for Transport.</w:t>
      </w:r>
    </w:p>
  </w:footnote>
  <w:footnote w:id="7">
    <w:p w:rsidR="008D4465" w:rsidRPr="00495B9E" w:rsidRDefault="008D4465" w:rsidP="00784F01">
      <w:pPr>
        <w:pStyle w:val="FootnoteText"/>
        <w:rPr>
          <w:lang w:val="is-IS"/>
        </w:rPr>
      </w:pPr>
      <w:r>
        <w:rPr>
          <w:rStyle w:val="FootnoteReference"/>
          <w:rFonts w:eastAsiaTheme="majorEastAsia"/>
        </w:rPr>
        <w:footnoteRef/>
      </w:r>
      <w:r>
        <w:t xml:space="preserve"> </w:t>
      </w:r>
      <w:r>
        <w:rPr>
          <w:lang w:val="is-IS"/>
        </w:rPr>
        <w:t>The schematics are based on Oosterhaven &amp; Stelder (2007), which provides an accessible introduction to interregional IO models.</w:t>
      </w:r>
    </w:p>
  </w:footnote>
  <w:footnote w:id="8">
    <w:p w:rsidR="008D4465" w:rsidRPr="006578E2" w:rsidRDefault="008D4465" w:rsidP="00784F01">
      <w:pPr>
        <w:pStyle w:val="FootnoteText"/>
        <w:rPr>
          <w:lang w:val="is-IS"/>
        </w:rPr>
      </w:pPr>
      <w:r>
        <w:rPr>
          <w:rStyle w:val="FootnoteReference"/>
        </w:rPr>
        <w:footnoteRef/>
      </w:r>
      <w:r>
        <w:t xml:space="preserve"> </w:t>
      </w:r>
      <w:r w:rsidRPr="006578E2">
        <w:t>The AB</w:t>
      </w:r>
      <w:r>
        <w:t>I</w:t>
      </w:r>
      <w:r w:rsidRPr="006578E2">
        <w:t xml:space="preserve"> provides headcount numbers of full time and part time workers. To obtain estimates of full time equivalent (FTE) employment, part time workers are taken to be holding on average one third of a full time equivalent job.</w:t>
      </w:r>
    </w:p>
  </w:footnote>
  <w:footnote w:id="9">
    <w:p w:rsidR="008D4465" w:rsidRPr="00AA7A77" w:rsidRDefault="008D4465" w:rsidP="00116B84">
      <w:pPr>
        <w:pStyle w:val="FootnoteText"/>
        <w:rPr>
          <w:lang w:val="is-IS"/>
        </w:rPr>
      </w:pPr>
      <w:r>
        <w:rPr>
          <w:rStyle w:val="FootnoteReference"/>
        </w:rPr>
        <w:footnoteRef/>
      </w:r>
      <w:r>
        <w:t xml:space="preserve"> </w:t>
      </w:r>
      <w:r w:rsidRPr="002D797B">
        <w:t>The latest year the regional government accounts (Hillis, 1998) refer to is 1998. This was a one-off publication. Therefore it assumed that the spatial distribution of government activities within Scotland has not changed significantly since then. These accounts reveal central and local government expenditures at NUTS2 level. The NUTS2 area South West Scotland includes Glasgow and what is designated as the Rest of Strathclyde (RST) in this IO</w:t>
      </w:r>
      <w:r>
        <w:t xml:space="preserve"> </w:t>
      </w:r>
      <w:r w:rsidRPr="002D797B">
        <w:t>table – in addition to the relatively small NUTS3 area of Dumfries &amp; Galloway, which is attributed to the Rest of Scotland. Therefore government expenditures in the NUTS 2 region SW-Scotland has to be disaggregated into expenditures in GLA, RST and ROS. This is done using public sector employment in the NUTS 2 area, broken down by each IO region. Government expenditures in the other three NUTS 2 regions</w:t>
      </w:r>
      <w:r>
        <w:t xml:space="preserve"> are attributed directly to ROS</w:t>
      </w:r>
      <w:r w:rsidRPr="00BF11FB">
        <w:t>.</w:t>
      </w:r>
    </w:p>
  </w:footnote>
  <w:footnote w:id="10">
    <w:p w:rsidR="008D4465" w:rsidRDefault="008D4465">
      <w:pPr>
        <w:pStyle w:val="FootnoteText"/>
      </w:pPr>
      <w:r>
        <w:rPr>
          <w:rStyle w:val="FootnoteReference"/>
        </w:rPr>
        <w:footnoteRef/>
      </w:r>
      <w:r>
        <w:t xml:space="preserve"> </w:t>
      </w:r>
      <w:r w:rsidRPr="001B60F2">
        <w:t>For this it is assumed that the RUK/ROW breakdown of exports at the Scottish level hold at the sub-regional level.</w:t>
      </w:r>
    </w:p>
  </w:footnote>
  <w:footnote w:id="11">
    <w:p w:rsidR="008D4465" w:rsidRDefault="008D4465" w:rsidP="00D477A9">
      <w:pPr>
        <w:pStyle w:val="FootnoteText"/>
      </w:pPr>
      <w:r>
        <w:rPr>
          <w:rStyle w:val="FootnoteReference"/>
        </w:rPr>
        <w:footnoteRef/>
      </w:r>
      <w:r>
        <w:t xml:space="preserve"> </w:t>
      </w:r>
      <w:r w:rsidRPr="009E7D8E">
        <w:t>Because of the spatial-disaggregation the multipliers for individual s</w:t>
      </w:r>
      <w:r>
        <w:t>ectors in individual sub-region</w:t>
      </w:r>
      <w:r w:rsidRPr="009E7D8E">
        <w:t>s are not identical. However, their weighted average adds up to the original single-region multiplier. It is well known that any ch</w:t>
      </w:r>
      <w:r>
        <w:t xml:space="preserve">anges to the structure of an IO </w:t>
      </w:r>
      <w:r w:rsidRPr="009E7D8E">
        <w:t>table will cause slight changes in individual multipliers as discussed by Miller &amp; Blair (2009, Ch. 4.9.2., pp. 165-167).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46"/>
    <w:multiLevelType w:val="hybridMultilevel"/>
    <w:tmpl w:val="9276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F5514"/>
    <w:multiLevelType w:val="hybridMultilevel"/>
    <w:tmpl w:val="48C07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81079C"/>
    <w:multiLevelType w:val="hybridMultilevel"/>
    <w:tmpl w:val="1D3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E109C"/>
    <w:multiLevelType w:val="hybridMultilevel"/>
    <w:tmpl w:val="FF2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2859C5"/>
    <w:multiLevelType w:val="hybridMultilevel"/>
    <w:tmpl w:val="65EE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D11B9"/>
    <w:multiLevelType w:val="hybridMultilevel"/>
    <w:tmpl w:val="5E72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E28A7"/>
    <w:multiLevelType w:val="hybridMultilevel"/>
    <w:tmpl w:val="6E1C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6609C"/>
    <w:multiLevelType w:val="multilevel"/>
    <w:tmpl w:val="C6924554"/>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0785CAE"/>
    <w:multiLevelType w:val="hybridMultilevel"/>
    <w:tmpl w:val="B84C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2B0732"/>
    <w:multiLevelType w:val="multilevel"/>
    <w:tmpl w:val="C6924554"/>
    <w:numStyleLink w:val="Headings"/>
  </w:abstractNum>
  <w:abstractNum w:abstractNumId="10">
    <w:nsid w:val="28BA2D15"/>
    <w:multiLevelType w:val="hybridMultilevel"/>
    <w:tmpl w:val="360C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049C4"/>
    <w:multiLevelType w:val="hybridMultilevel"/>
    <w:tmpl w:val="49E8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921731"/>
    <w:multiLevelType w:val="hybridMultilevel"/>
    <w:tmpl w:val="D486A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6725F3"/>
    <w:multiLevelType w:val="hybridMultilevel"/>
    <w:tmpl w:val="21BCA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E2311E"/>
    <w:multiLevelType w:val="multilevel"/>
    <w:tmpl w:val="C69245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8833183"/>
    <w:multiLevelType w:val="hybridMultilevel"/>
    <w:tmpl w:val="7116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523F0E"/>
    <w:multiLevelType w:val="hybridMultilevel"/>
    <w:tmpl w:val="64CA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A80212"/>
    <w:multiLevelType w:val="hybridMultilevel"/>
    <w:tmpl w:val="29D8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E70B4D"/>
    <w:multiLevelType w:val="hybridMultilevel"/>
    <w:tmpl w:val="28D8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EF7743"/>
    <w:multiLevelType w:val="hybridMultilevel"/>
    <w:tmpl w:val="137E1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270198"/>
    <w:multiLevelType w:val="hybridMultilevel"/>
    <w:tmpl w:val="8684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8"/>
  </w:num>
  <w:num w:numId="5">
    <w:abstractNumId w:val="15"/>
  </w:num>
  <w:num w:numId="6">
    <w:abstractNumId w:val="14"/>
  </w:num>
  <w:num w:numId="7">
    <w:abstractNumId w:val="11"/>
  </w:num>
  <w:num w:numId="8">
    <w:abstractNumId w:val="0"/>
  </w:num>
  <w:num w:numId="9">
    <w:abstractNumId w:val="12"/>
  </w:num>
  <w:num w:numId="10">
    <w:abstractNumId w:val="6"/>
  </w:num>
  <w:num w:numId="11">
    <w:abstractNumId w:val="13"/>
  </w:num>
  <w:num w:numId="12">
    <w:abstractNumId w:val="4"/>
  </w:num>
  <w:num w:numId="13">
    <w:abstractNumId w:val="10"/>
  </w:num>
  <w:num w:numId="14">
    <w:abstractNumId w:val="2"/>
  </w:num>
  <w:num w:numId="15">
    <w:abstractNumId w:val="16"/>
  </w:num>
  <w:num w:numId="16">
    <w:abstractNumId w:val="18"/>
  </w:num>
  <w:num w:numId="17">
    <w:abstractNumId w:val="3"/>
  </w:num>
  <w:num w:numId="18">
    <w:abstractNumId w:val="20"/>
  </w:num>
  <w:num w:numId="19">
    <w:abstractNumId w:val="5"/>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92379"/>
    <w:rsid w:val="00012D40"/>
    <w:rsid w:val="000153C7"/>
    <w:rsid w:val="00031C4E"/>
    <w:rsid w:val="000374BD"/>
    <w:rsid w:val="0006173D"/>
    <w:rsid w:val="00067D7F"/>
    <w:rsid w:val="00094714"/>
    <w:rsid w:val="00097A49"/>
    <w:rsid w:val="000A1A4B"/>
    <w:rsid w:val="000B0C97"/>
    <w:rsid w:val="000B1715"/>
    <w:rsid w:val="000B2DD9"/>
    <w:rsid w:val="000D2EE4"/>
    <w:rsid w:val="000E5424"/>
    <w:rsid w:val="001115EF"/>
    <w:rsid w:val="00111856"/>
    <w:rsid w:val="00116B84"/>
    <w:rsid w:val="00131316"/>
    <w:rsid w:val="00131D4C"/>
    <w:rsid w:val="00146432"/>
    <w:rsid w:val="00164A70"/>
    <w:rsid w:val="00173344"/>
    <w:rsid w:val="001836D3"/>
    <w:rsid w:val="00186CC8"/>
    <w:rsid w:val="001B3FC0"/>
    <w:rsid w:val="001B60F2"/>
    <w:rsid w:val="001E1AE1"/>
    <w:rsid w:val="001F3C34"/>
    <w:rsid w:val="0021722E"/>
    <w:rsid w:val="002234D3"/>
    <w:rsid w:val="00224495"/>
    <w:rsid w:val="00226FCA"/>
    <w:rsid w:val="0023408A"/>
    <w:rsid w:val="00242831"/>
    <w:rsid w:val="00242DFE"/>
    <w:rsid w:val="0025329F"/>
    <w:rsid w:val="002617C2"/>
    <w:rsid w:val="00263D53"/>
    <w:rsid w:val="00284907"/>
    <w:rsid w:val="00285580"/>
    <w:rsid w:val="002A018A"/>
    <w:rsid w:val="002C332F"/>
    <w:rsid w:val="002E08B5"/>
    <w:rsid w:val="002F0269"/>
    <w:rsid w:val="002F505E"/>
    <w:rsid w:val="00301583"/>
    <w:rsid w:val="00315059"/>
    <w:rsid w:val="0031759E"/>
    <w:rsid w:val="00322B92"/>
    <w:rsid w:val="00327DCF"/>
    <w:rsid w:val="00334353"/>
    <w:rsid w:val="0033456E"/>
    <w:rsid w:val="00337952"/>
    <w:rsid w:val="003412EF"/>
    <w:rsid w:val="003B7D06"/>
    <w:rsid w:val="003C3F83"/>
    <w:rsid w:val="003C7E47"/>
    <w:rsid w:val="003D3855"/>
    <w:rsid w:val="003E07F8"/>
    <w:rsid w:val="003E6061"/>
    <w:rsid w:val="003E75C3"/>
    <w:rsid w:val="003E7A23"/>
    <w:rsid w:val="003F513B"/>
    <w:rsid w:val="00401821"/>
    <w:rsid w:val="00405807"/>
    <w:rsid w:val="00407C8C"/>
    <w:rsid w:val="004111E8"/>
    <w:rsid w:val="004122B5"/>
    <w:rsid w:val="00415A6D"/>
    <w:rsid w:val="0042535E"/>
    <w:rsid w:val="00426851"/>
    <w:rsid w:val="004302D1"/>
    <w:rsid w:val="004403DD"/>
    <w:rsid w:val="00443CE7"/>
    <w:rsid w:val="00447B08"/>
    <w:rsid w:val="00451A83"/>
    <w:rsid w:val="004522A9"/>
    <w:rsid w:val="00461D37"/>
    <w:rsid w:val="004639CC"/>
    <w:rsid w:val="00476FBF"/>
    <w:rsid w:val="004818C8"/>
    <w:rsid w:val="00482C10"/>
    <w:rsid w:val="00493FF2"/>
    <w:rsid w:val="004A1262"/>
    <w:rsid w:val="004B04BD"/>
    <w:rsid w:val="004B4620"/>
    <w:rsid w:val="004B4FF9"/>
    <w:rsid w:val="004C7B55"/>
    <w:rsid w:val="004D4364"/>
    <w:rsid w:val="004D56D7"/>
    <w:rsid w:val="004D5C10"/>
    <w:rsid w:val="004E62AD"/>
    <w:rsid w:val="004F15CB"/>
    <w:rsid w:val="004F6947"/>
    <w:rsid w:val="005044D4"/>
    <w:rsid w:val="00505FC6"/>
    <w:rsid w:val="00513639"/>
    <w:rsid w:val="00515A62"/>
    <w:rsid w:val="00527EF1"/>
    <w:rsid w:val="005533D1"/>
    <w:rsid w:val="00565121"/>
    <w:rsid w:val="005741C2"/>
    <w:rsid w:val="00581826"/>
    <w:rsid w:val="005873A7"/>
    <w:rsid w:val="005C35FE"/>
    <w:rsid w:val="005C77EE"/>
    <w:rsid w:val="005D26F1"/>
    <w:rsid w:val="005F12E5"/>
    <w:rsid w:val="00610F15"/>
    <w:rsid w:val="00611F0E"/>
    <w:rsid w:val="00616CBB"/>
    <w:rsid w:val="0062706E"/>
    <w:rsid w:val="0063088F"/>
    <w:rsid w:val="00634466"/>
    <w:rsid w:val="00634C69"/>
    <w:rsid w:val="006633B6"/>
    <w:rsid w:val="00665FA7"/>
    <w:rsid w:val="00666CF5"/>
    <w:rsid w:val="00671D62"/>
    <w:rsid w:val="00680577"/>
    <w:rsid w:val="006909CB"/>
    <w:rsid w:val="00697AF6"/>
    <w:rsid w:val="006A1057"/>
    <w:rsid w:val="006B4410"/>
    <w:rsid w:val="006D4719"/>
    <w:rsid w:val="006E2C6D"/>
    <w:rsid w:val="006F0BAB"/>
    <w:rsid w:val="006F520B"/>
    <w:rsid w:val="007014A4"/>
    <w:rsid w:val="00704C7F"/>
    <w:rsid w:val="00714342"/>
    <w:rsid w:val="0074426D"/>
    <w:rsid w:val="007453F9"/>
    <w:rsid w:val="00750EC0"/>
    <w:rsid w:val="007542C7"/>
    <w:rsid w:val="00754923"/>
    <w:rsid w:val="00762514"/>
    <w:rsid w:val="00764B2F"/>
    <w:rsid w:val="00784F01"/>
    <w:rsid w:val="00791D0B"/>
    <w:rsid w:val="0079740F"/>
    <w:rsid w:val="007A0885"/>
    <w:rsid w:val="007A7991"/>
    <w:rsid w:val="007A7E3F"/>
    <w:rsid w:val="007D2E45"/>
    <w:rsid w:val="007F1053"/>
    <w:rsid w:val="00805CA7"/>
    <w:rsid w:val="008100B8"/>
    <w:rsid w:val="0081011F"/>
    <w:rsid w:val="008215CD"/>
    <w:rsid w:val="00822124"/>
    <w:rsid w:val="0082384F"/>
    <w:rsid w:val="00843C98"/>
    <w:rsid w:val="00870956"/>
    <w:rsid w:val="008861D5"/>
    <w:rsid w:val="00893EB9"/>
    <w:rsid w:val="00895DC3"/>
    <w:rsid w:val="008A521D"/>
    <w:rsid w:val="008A796E"/>
    <w:rsid w:val="008B035E"/>
    <w:rsid w:val="008B114F"/>
    <w:rsid w:val="008B458E"/>
    <w:rsid w:val="008B45E1"/>
    <w:rsid w:val="008C1D6D"/>
    <w:rsid w:val="008C39A9"/>
    <w:rsid w:val="008D2948"/>
    <w:rsid w:val="008D4465"/>
    <w:rsid w:val="008D6E25"/>
    <w:rsid w:val="008E26B4"/>
    <w:rsid w:val="00926106"/>
    <w:rsid w:val="009269DA"/>
    <w:rsid w:val="009362CA"/>
    <w:rsid w:val="00937DA3"/>
    <w:rsid w:val="00977E08"/>
    <w:rsid w:val="00982F80"/>
    <w:rsid w:val="0098593F"/>
    <w:rsid w:val="00992379"/>
    <w:rsid w:val="00994BC7"/>
    <w:rsid w:val="00996702"/>
    <w:rsid w:val="009C2795"/>
    <w:rsid w:val="009D45D1"/>
    <w:rsid w:val="009D7EFA"/>
    <w:rsid w:val="009E0868"/>
    <w:rsid w:val="009E0D1D"/>
    <w:rsid w:val="009E7D8E"/>
    <w:rsid w:val="00A048E6"/>
    <w:rsid w:val="00A10A63"/>
    <w:rsid w:val="00A25B2C"/>
    <w:rsid w:val="00A26849"/>
    <w:rsid w:val="00A33A77"/>
    <w:rsid w:val="00A44F50"/>
    <w:rsid w:val="00A46158"/>
    <w:rsid w:val="00A524A3"/>
    <w:rsid w:val="00A64694"/>
    <w:rsid w:val="00A720FD"/>
    <w:rsid w:val="00A934B2"/>
    <w:rsid w:val="00A96E77"/>
    <w:rsid w:val="00AA52F9"/>
    <w:rsid w:val="00AA5D0D"/>
    <w:rsid w:val="00AA6F8A"/>
    <w:rsid w:val="00AC250F"/>
    <w:rsid w:val="00AD1C35"/>
    <w:rsid w:val="00AD468C"/>
    <w:rsid w:val="00AE0B32"/>
    <w:rsid w:val="00AE4F5A"/>
    <w:rsid w:val="00AE7191"/>
    <w:rsid w:val="00B12FF4"/>
    <w:rsid w:val="00B252C8"/>
    <w:rsid w:val="00B32C2C"/>
    <w:rsid w:val="00B628F4"/>
    <w:rsid w:val="00B75C18"/>
    <w:rsid w:val="00B90191"/>
    <w:rsid w:val="00B91E77"/>
    <w:rsid w:val="00BA649D"/>
    <w:rsid w:val="00BB2B62"/>
    <w:rsid w:val="00BB6961"/>
    <w:rsid w:val="00BC3D49"/>
    <w:rsid w:val="00BC5E59"/>
    <w:rsid w:val="00BC7AF4"/>
    <w:rsid w:val="00BD7929"/>
    <w:rsid w:val="00BE265C"/>
    <w:rsid w:val="00BE533F"/>
    <w:rsid w:val="00C0462C"/>
    <w:rsid w:val="00C13C0E"/>
    <w:rsid w:val="00C17D67"/>
    <w:rsid w:val="00C247FC"/>
    <w:rsid w:val="00C26184"/>
    <w:rsid w:val="00C35D90"/>
    <w:rsid w:val="00C423CC"/>
    <w:rsid w:val="00C5429E"/>
    <w:rsid w:val="00C562D9"/>
    <w:rsid w:val="00C603B9"/>
    <w:rsid w:val="00C7326F"/>
    <w:rsid w:val="00C763D5"/>
    <w:rsid w:val="00C831E5"/>
    <w:rsid w:val="00CA1D22"/>
    <w:rsid w:val="00CD2DAB"/>
    <w:rsid w:val="00D03B59"/>
    <w:rsid w:val="00D11FB1"/>
    <w:rsid w:val="00D148B2"/>
    <w:rsid w:val="00D24087"/>
    <w:rsid w:val="00D26469"/>
    <w:rsid w:val="00D2675A"/>
    <w:rsid w:val="00D477A9"/>
    <w:rsid w:val="00D52956"/>
    <w:rsid w:val="00D73F00"/>
    <w:rsid w:val="00D90AEC"/>
    <w:rsid w:val="00D92B5C"/>
    <w:rsid w:val="00D9420A"/>
    <w:rsid w:val="00DB1993"/>
    <w:rsid w:val="00DD0220"/>
    <w:rsid w:val="00DD1B86"/>
    <w:rsid w:val="00E11336"/>
    <w:rsid w:val="00E14DAF"/>
    <w:rsid w:val="00E16D08"/>
    <w:rsid w:val="00E16F82"/>
    <w:rsid w:val="00E31270"/>
    <w:rsid w:val="00E42757"/>
    <w:rsid w:val="00E6350F"/>
    <w:rsid w:val="00E9258A"/>
    <w:rsid w:val="00E93ED2"/>
    <w:rsid w:val="00EA0854"/>
    <w:rsid w:val="00EB7F01"/>
    <w:rsid w:val="00EC0D2C"/>
    <w:rsid w:val="00EC0F19"/>
    <w:rsid w:val="00ED0182"/>
    <w:rsid w:val="00ED33D9"/>
    <w:rsid w:val="00EF26D9"/>
    <w:rsid w:val="00F74656"/>
    <w:rsid w:val="00F83083"/>
    <w:rsid w:val="00FB1B19"/>
    <w:rsid w:val="00FD55F7"/>
    <w:rsid w:val="00FE2D0A"/>
    <w:rsid w:val="00FF0C5C"/>
    <w:rsid w:val="00FF3A1C"/>
    <w:rsid w:val="00FF56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79"/>
  </w:style>
  <w:style w:type="paragraph" w:styleId="Heading1">
    <w:name w:val="heading 1"/>
    <w:basedOn w:val="Normal"/>
    <w:next w:val="Normal"/>
    <w:link w:val="Heading1Char"/>
    <w:autoRedefine/>
    <w:uiPriority w:val="99"/>
    <w:qFormat/>
    <w:rsid w:val="00C247FC"/>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9"/>
    <w:unhideWhenUsed/>
    <w:qFormat/>
    <w:rsid w:val="00C247FC"/>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A26849"/>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8E26B4"/>
    <w:pPr>
      <w:keepNext/>
      <w:keepLines/>
      <w:spacing w:before="200"/>
      <w:outlineLvl w:val="3"/>
    </w:pPr>
    <w:rPr>
      <w:rFonts w:asciiTheme="majorHAnsi" w:eastAsiaTheme="majorEastAsia" w:hAnsiTheme="majorHAnsi" w:cstheme="majorBidi"/>
      <w:b/>
      <w:bCs/>
      <w:i/>
      <w:iCs/>
      <w:color w:val="4F81BD" w:themeColor="accent1"/>
      <w:spacing w:val="10"/>
    </w:rPr>
  </w:style>
  <w:style w:type="paragraph" w:styleId="Heading5">
    <w:name w:val="heading 5"/>
    <w:basedOn w:val="Normal"/>
    <w:next w:val="Normal"/>
    <w:link w:val="Heading5Char"/>
    <w:unhideWhenUsed/>
    <w:qFormat/>
    <w:rsid w:val="008E26B4"/>
    <w:pPr>
      <w:keepNext/>
      <w:keepLines/>
      <w:spacing w:before="200"/>
      <w:outlineLvl w:val="4"/>
    </w:pPr>
    <w:rPr>
      <w:rFonts w:asciiTheme="majorHAnsi" w:eastAsiaTheme="majorEastAsia" w:hAnsiTheme="majorHAnsi" w:cstheme="majorBidi"/>
      <w:color w:val="243F60" w:themeColor="accent1" w:themeShade="7F"/>
      <w:spacing w:val="10"/>
    </w:rPr>
  </w:style>
  <w:style w:type="paragraph" w:styleId="Heading6">
    <w:name w:val="heading 6"/>
    <w:basedOn w:val="Normal"/>
    <w:next w:val="Normal"/>
    <w:link w:val="Heading6Char"/>
    <w:qFormat/>
    <w:rsid w:val="008E26B4"/>
    <w:pPr>
      <w:tabs>
        <w:tab w:val="num" w:pos="1152"/>
      </w:tabs>
      <w:spacing w:before="240" w:after="60" w:line="360" w:lineRule="auto"/>
      <w:ind w:left="1152" w:hanging="1152"/>
      <w:jc w:val="both"/>
      <w:outlineLvl w:val="5"/>
    </w:pPr>
    <w:rPr>
      <w:rFonts w:ascii="Times New Roman" w:eastAsia="Times New Roman" w:hAnsi="Times New Roman" w:cs="Times New Roman"/>
      <w:b/>
      <w:bCs/>
      <w:spacing w:val="10"/>
      <w:lang w:eastAsia="en-GB"/>
    </w:rPr>
  </w:style>
  <w:style w:type="paragraph" w:styleId="Heading7">
    <w:name w:val="heading 7"/>
    <w:basedOn w:val="Normal"/>
    <w:next w:val="Normal"/>
    <w:link w:val="Heading7Char"/>
    <w:qFormat/>
    <w:rsid w:val="008E26B4"/>
    <w:pPr>
      <w:tabs>
        <w:tab w:val="num" w:pos="1296"/>
      </w:tabs>
      <w:spacing w:before="240" w:after="60" w:line="360" w:lineRule="auto"/>
      <w:ind w:left="1296" w:hanging="1296"/>
      <w:jc w:val="both"/>
      <w:outlineLvl w:val="6"/>
    </w:pPr>
    <w:rPr>
      <w:rFonts w:ascii="Times New Roman" w:eastAsia="Times New Roman" w:hAnsi="Times New Roman" w:cs="Times New Roman"/>
      <w:spacing w:val="10"/>
      <w:sz w:val="24"/>
      <w:szCs w:val="24"/>
      <w:lang w:eastAsia="en-GB"/>
    </w:rPr>
  </w:style>
  <w:style w:type="paragraph" w:styleId="Heading8">
    <w:name w:val="heading 8"/>
    <w:basedOn w:val="Normal"/>
    <w:next w:val="Normal"/>
    <w:link w:val="Heading8Char"/>
    <w:qFormat/>
    <w:rsid w:val="008E26B4"/>
    <w:pPr>
      <w:tabs>
        <w:tab w:val="num" w:pos="1440"/>
      </w:tabs>
      <w:spacing w:before="240" w:after="60" w:line="360" w:lineRule="auto"/>
      <w:ind w:left="1440" w:hanging="1440"/>
      <w:jc w:val="both"/>
      <w:outlineLvl w:val="7"/>
    </w:pPr>
    <w:rPr>
      <w:rFonts w:ascii="Times New Roman" w:eastAsia="Times New Roman" w:hAnsi="Times New Roman" w:cs="Times New Roman"/>
      <w:i/>
      <w:iCs/>
      <w:spacing w:val="10"/>
      <w:sz w:val="24"/>
      <w:szCs w:val="24"/>
      <w:lang w:eastAsia="en-GB"/>
    </w:rPr>
  </w:style>
  <w:style w:type="paragraph" w:styleId="Heading9">
    <w:name w:val="heading 9"/>
    <w:basedOn w:val="Normal"/>
    <w:next w:val="Normal"/>
    <w:link w:val="Heading9Char"/>
    <w:qFormat/>
    <w:rsid w:val="008E26B4"/>
    <w:pPr>
      <w:tabs>
        <w:tab w:val="num" w:pos="1584"/>
      </w:tabs>
      <w:spacing w:before="240" w:after="60" w:line="360" w:lineRule="auto"/>
      <w:ind w:left="1584" w:hanging="1584"/>
      <w:jc w:val="both"/>
      <w:outlineLvl w:val="8"/>
    </w:pPr>
    <w:rPr>
      <w:rFonts w:ascii="Arial" w:eastAsia="Times New Roman" w:hAnsi="Arial" w:cs="Arial"/>
      <w:spacing w:val="1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nhideWhenUsed/>
    <w:qFormat/>
    <w:rsid w:val="0021722E"/>
    <w:pPr>
      <w:spacing w:after="200"/>
      <w:ind w:left="-284"/>
    </w:pPr>
    <w:rPr>
      <w:b/>
      <w:bCs/>
      <w:sz w:val="18"/>
      <w:szCs w:val="18"/>
    </w:rPr>
  </w:style>
  <w:style w:type="character" w:customStyle="1" w:styleId="Heading1Char">
    <w:name w:val="Heading 1 Char"/>
    <w:basedOn w:val="DefaultParagraphFont"/>
    <w:link w:val="Heading1"/>
    <w:uiPriority w:val="99"/>
    <w:rsid w:val="00C247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C247FC"/>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4F15CB"/>
    <w:rPr>
      <w:color w:val="0000FF" w:themeColor="hyperlink"/>
      <w:u w:val="single"/>
    </w:rPr>
  </w:style>
  <w:style w:type="character" w:customStyle="1" w:styleId="Heading3Char">
    <w:name w:val="Heading 3 Char"/>
    <w:basedOn w:val="DefaultParagraphFont"/>
    <w:link w:val="Heading3"/>
    <w:uiPriority w:val="99"/>
    <w:rsid w:val="00A26849"/>
    <w:rPr>
      <w:rFonts w:asciiTheme="majorHAnsi" w:eastAsiaTheme="majorEastAsia" w:hAnsiTheme="majorHAnsi" w:cstheme="majorBidi"/>
      <w:b/>
      <w:bCs/>
    </w:rPr>
  </w:style>
  <w:style w:type="character" w:customStyle="1" w:styleId="Heading4Char">
    <w:name w:val="Heading 4 Char"/>
    <w:basedOn w:val="DefaultParagraphFont"/>
    <w:link w:val="Heading4"/>
    <w:rsid w:val="008E26B4"/>
    <w:rPr>
      <w:rFonts w:asciiTheme="majorHAnsi" w:eastAsiaTheme="majorEastAsia" w:hAnsiTheme="majorHAnsi" w:cstheme="majorBidi"/>
      <w:b/>
      <w:bCs/>
      <w:i/>
      <w:iCs/>
      <w:color w:val="4F81BD" w:themeColor="accent1"/>
      <w:spacing w:val="10"/>
    </w:rPr>
  </w:style>
  <w:style w:type="character" w:customStyle="1" w:styleId="Heading5Char">
    <w:name w:val="Heading 5 Char"/>
    <w:basedOn w:val="DefaultParagraphFont"/>
    <w:link w:val="Heading5"/>
    <w:rsid w:val="008E26B4"/>
    <w:rPr>
      <w:rFonts w:asciiTheme="majorHAnsi" w:eastAsiaTheme="majorEastAsia" w:hAnsiTheme="majorHAnsi" w:cstheme="majorBidi"/>
      <w:color w:val="243F60" w:themeColor="accent1" w:themeShade="7F"/>
      <w:spacing w:val="10"/>
    </w:rPr>
  </w:style>
  <w:style w:type="character" w:customStyle="1" w:styleId="Heading6Char">
    <w:name w:val="Heading 6 Char"/>
    <w:basedOn w:val="DefaultParagraphFont"/>
    <w:link w:val="Heading6"/>
    <w:rsid w:val="008E26B4"/>
    <w:rPr>
      <w:rFonts w:ascii="Times New Roman" w:eastAsia="Times New Roman" w:hAnsi="Times New Roman" w:cs="Times New Roman"/>
      <w:b/>
      <w:bCs/>
      <w:spacing w:val="10"/>
      <w:lang w:eastAsia="en-GB"/>
    </w:rPr>
  </w:style>
  <w:style w:type="character" w:customStyle="1" w:styleId="Heading7Char">
    <w:name w:val="Heading 7 Char"/>
    <w:basedOn w:val="DefaultParagraphFont"/>
    <w:link w:val="Heading7"/>
    <w:rsid w:val="008E26B4"/>
    <w:rPr>
      <w:rFonts w:ascii="Times New Roman" w:eastAsia="Times New Roman" w:hAnsi="Times New Roman" w:cs="Times New Roman"/>
      <w:spacing w:val="10"/>
      <w:sz w:val="24"/>
      <w:szCs w:val="24"/>
      <w:lang w:eastAsia="en-GB"/>
    </w:rPr>
  </w:style>
  <w:style w:type="character" w:customStyle="1" w:styleId="Heading8Char">
    <w:name w:val="Heading 8 Char"/>
    <w:basedOn w:val="DefaultParagraphFont"/>
    <w:link w:val="Heading8"/>
    <w:rsid w:val="008E26B4"/>
    <w:rPr>
      <w:rFonts w:ascii="Times New Roman" w:eastAsia="Times New Roman" w:hAnsi="Times New Roman" w:cs="Times New Roman"/>
      <w:i/>
      <w:iCs/>
      <w:spacing w:val="10"/>
      <w:sz w:val="24"/>
      <w:szCs w:val="24"/>
      <w:lang w:eastAsia="en-GB"/>
    </w:rPr>
  </w:style>
  <w:style w:type="character" w:customStyle="1" w:styleId="Heading9Char">
    <w:name w:val="Heading 9 Char"/>
    <w:basedOn w:val="DefaultParagraphFont"/>
    <w:link w:val="Heading9"/>
    <w:rsid w:val="008E26B4"/>
    <w:rPr>
      <w:rFonts w:ascii="Arial" w:eastAsia="Times New Roman" w:hAnsi="Arial" w:cs="Arial"/>
      <w:spacing w:val="10"/>
      <w:lang w:eastAsia="en-GB"/>
    </w:rPr>
  </w:style>
  <w:style w:type="paragraph" w:styleId="Subtitle">
    <w:name w:val="Subtitle"/>
    <w:basedOn w:val="Normal"/>
    <w:next w:val="Normal"/>
    <w:link w:val="SubtitleChar"/>
    <w:uiPriority w:val="11"/>
    <w:qFormat/>
    <w:rsid w:val="008E26B4"/>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E26B4"/>
    <w:rPr>
      <w:rFonts w:asciiTheme="majorHAnsi" w:eastAsiaTheme="majorEastAsia" w:hAnsiTheme="majorHAnsi" w:cstheme="majorBidi"/>
      <w:i/>
      <w:iCs/>
      <w:spacing w:val="15"/>
      <w:sz w:val="24"/>
      <w:szCs w:val="24"/>
    </w:rPr>
  </w:style>
  <w:style w:type="numbering" w:customStyle="1" w:styleId="Headings">
    <w:name w:val="Headings"/>
    <w:uiPriority w:val="99"/>
    <w:rsid w:val="008E26B4"/>
    <w:pPr>
      <w:numPr>
        <w:numId w:val="1"/>
      </w:numPr>
    </w:pPr>
  </w:style>
  <w:style w:type="paragraph" w:styleId="FootnoteText">
    <w:name w:val="footnote text"/>
    <w:basedOn w:val="Normal"/>
    <w:link w:val="FootnoteTextChar"/>
    <w:uiPriority w:val="99"/>
    <w:semiHidden/>
    <w:rsid w:val="008E26B4"/>
    <w:pPr>
      <w:jc w:val="both"/>
    </w:pPr>
    <w:rPr>
      <w:rFonts w:ascii="Garamond" w:eastAsia="Times New Roman" w:hAnsi="Garamond" w:cs="Times New Roman"/>
      <w:spacing w:val="10"/>
      <w:sz w:val="18"/>
      <w:szCs w:val="20"/>
      <w:lang w:eastAsia="en-GB"/>
    </w:rPr>
  </w:style>
  <w:style w:type="character" w:customStyle="1" w:styleId="FootnoteTextChar">
    <w:name w:val="Footnote Text Char"/>
    <w:basedOn w:val="DefaultParagraphFont"/>
    <w:link w:val="FootnoteText"/>
    <w:uiPriority w:val="99"/>
    <w:semiHidden/>
    <w:rsid w:val="008E26B4"/>
    <w:rPr>
      <w:rFonts w:ascii="Garamond" w:eastAsia="Times New Roman" w:hAnsi="Garamond" w:cs="Times New Roman"/>
      <w:spacing w:val="10"/>
      <w:sz w:val="18"/>
      <w:szCs w:val="20"/>
      <w:lang w:eastAsia="en-GB"/>
    </w:rPr>
  </w:style>
  <w:style w:type="character" w:styleId="FootnoteReference">
    <w:name w:val="footnote reference"/>
    <w:basedOn w:val="DefaultParagraphFont"/>
    <w:uiPriority w:val="99"/>
    <w:semiHidden/>
    <w:rsid w:val="008E26B4"/>
    <w:rPr>
      <w:vertAlign w:val="superscript"/>
    </w:rPr>
  </w:style>
  <w:style w:type="paragraph" w:styleId="BalloonText">
    <w:name w:val="Balloon Text"/>
    <w:basedOn w:val="Normal"/>
    <w:link w:val="BalloonTextChar"/>
    <w:uiPriority w:val="99"/>
    <w:unhideWhenUsed/>
    <w:rsid w:val="008E26B4"/>
    <w:rPr>
      <w:rFonts w:ascii="Tahoma" w:hAnsi="Tahoma" w:cs="Tahoma"/>
      <w:spacing w:val="10"/>
      <w:sz w:val="16"/>
      <w:szCs w:val="16"/>
    </w:rPr>
  </w:style>
  <w:style w:type="character" w:customStyle="1" w:styleId="BalloonTextChar">
    <w:name w:val="Balloon Text Char"/>
    <w:basedOn w:val="DefaultParagraphFont"/>
    <w:link w:val="BalloonText"/>
    <w:uiPriority w:val="99"/>
    <w:rsid w:val="008E26B4"/>
    <w:rPr>
      <w:rFonts w:ascii="Tahoma" w:hAnsi="Tahoma" w:cs="Tahoma"/>
      <w:spacing w:val="10"/>
      <w:sz w:val="16"/>
      <w:szCs w:val="16"/>
    </w:rPr>
  </w:style>
  <w:style w:type="paragraph" w:styleId="Footer">
    <w:name w:val="footer"/>
    <w:basedOn w:val="Normal"/>
    <w:link w:val="FooterChar"/>
    <w:uiPriority w:val="99"/>
    <w:rsid w:val="008E26B4"/>
    <w:pPr>
      <w:tabs>
        <w:tab w:val="center" w:pos="4320"/>
        <w:tab w:val="right" w:pos="8640"/>
      </w:tabs>
      <w:spacing w:line="360" w:lineRule="auto"/>
      <w:jc w:val="both"/>
    </w:pPr>
    <w:rPr>
      <w:rFonts w:ascii="Garamond" w:eastAsia="Times New Roman" w:hAnsi="Garamond" w:cs="Times New Roman"/>
      <w:spacing w:val="10"/>
      <w:sz w:val="24"/>
      <w:szCs w:val="26"/>
      <w:lang w:eastAsia="en-GB"/>
    </w:rPr>
  </w:style>
  <w:style w:type="character" w:customStyle="1" w:styleId="FooterChar">
    <w:name w:val="Footer Char"/>
    <w:basedOn w:val="DefaultParagraphFont"/>
    <w:link w:val="Footer"/>
    <w:uiPriority w:val="99"/>
    <w:rsid w:val="008E26B4"/>
    <w:rPr>
      <w:rFonts w:ascii="Garamond" w:eastAsia="Times New Roman" w:hAnsi="Garamond" w:cs="Times New Roman"/>
      <w:spacing w:val="10"/>
      <w:sz w:val="24"/>
      <w:szCs w:val="26"/>
      <w:lang w:eastAsia="en-GB"/>
    </w:rPr>
  </w:style>
  <w:style w:type="character" w:styleId="PageNumber">
    <w:name w:val="page number"/>
    <w:basedOn w:val="DefaultParagraphFont"/>
    <w:uiPriority w:val="99"/>
    <w:rsid w:val="008E26B4"/>
  </w:style>
  <w:style w:type="paragraph" w:styleId="TOC1">
    <w:name w:val="toc 1"/>
    <w:basedOn w:val="Normal"/>
    <w:next w:val="Normal"/>
    <w:autoRedefine/>
    <w:uiPriority w:val="39"/>
    <w:rsid w:val="008E26B4"/>
    <w:pPr>
      <w:tabs>
        <w:tab w:val="left" w:pos="480"/>
        <w:tab w:val="left" w:pos="960"/>
        <w:tab w:val="right" w:leader="dot" w:pos="7913"/>
      </w:tabs>
      <w:spacing w:before="120" w:after="120" w:line="360" w:lineRule="auto"/>
    </w:pPr>
    <w:rPr>
      <w:rFonts w:ascii="Times New Roman" w:eastAsia="Times New Roman" w:hAnsi="Times New Roman" w:cs="Times New Roman"/>
      <w:b/>
      <w:bCs/>
      <w:caps/>
      <w:spacing w:val="10"/>
      <w:sz w:val="20"/>
      <w:szCs w:val="24"/>
      <w:lang w:eastAsia="en-GB"/>
    </w:rPr>
  </w:style>
  <w:style w:type="paragraph" w:styleId="TOC2">
    <w:name w:val="toc 2"/>
    <w:basedOn w:val="Normal"/>
    <w:next w:val="Normal"/>
    <w:autoRedefine/>
    <w:uiPriority w:val="39"/>
    <w:rsid w:val="008E26B4"/>
    <w:pPr>
      <w:tabs>
        <w:tab w:val="left" w:pos="960"/>
        <w:tab w:val="right" w:leader="dot" w:pos="7913"/>
      </w:tabs>
      <w:spacing w:line="312" w:lineRule="auto"/>
      <w:ind w:left="238"/>
      <w:jc w:val="both"/>
    </w:pPr>
    <w:rPr>
      <w:rFonts w:ascii="Times New Roman" w:eastAsia="Times New Roman" w:hAnsi="Times New Roman" w:cs="Times New Roman"/>
      <w:smallCaps/>
      <w:spacing w:val="10"/>
      <w:sz w:val="20"/>
      <w:szCs w:val="24"/>
      <w:lang w:eastAsia="en-GB"/>
    </w:rPr>
  </w:style>
  <w:style w:type="paragraph" w:styleId="TOC3">
    <w:name w:val="toc 3"/>
    <w:basedOn w:val="Normal"/>
    <w:next w:val="Normal"/>
    <w:autoRedefine/>
    <w:uiPriority w:val="39"/>
    <w:rsid w:val="008E26B4"/>
    <w:pPr>
      <w:spacing w:line="360" w:lineRule="auto"/>
      <w:ind w:left="480"/>
      <w:jc w:val="both"/>
    </w:pPr>
    <w:rPr>
      <w:rFonts w:ascii="Times New Roman" w:eastAsia="Times New Roman" w:hAnsi="Times New Roman" w:cs="Times New Roman"/>
      <w:i/>
      <w:iCs/>
      <w:spacing w:val="10"/>
      <w:sz w:val="20"/>
      <w:szCs w:val="24"/>
      <w:lang w:eastAsia="en-GB"/>
    </w:rPr>
  </w:style>
  <w:style w:type="paragraph" w:styleId="TOC4">
    <w:name w:val="toc 4"/>
    <w:basedOn w:val="Normal"/>
    <w:next w:val="Normal"/>
    <w:autoRedefine/>
    <w:uiPriority w:val="39"/>
    <w:rsid w:val="008E26B4"/>
    <w:pPr>
      <w:spacing w:line="360" w:lineRule="auto"/>
      <w:ind w:left="720"/>
      <w:jc w:val="both"/>
    </w:pPr>
    <w:rPr>
      <w:rFonts w:ascii="Times New Roman" w:eastAsia="Times New Roman" w:hAnsi="Times New Roman" w:cs="Times New Roman"/>
      <w:spacing w:val="10"/>
      <w:sz w:val="18"/>
      <w:szCs w:val="21"/>
      <w:lang w:eastAsia="en-GB"/>
    </w:rPr>
  </w:style>
  <w:style w:type="paragraph" w:styleId="TOC5">
    <w:name w:val="toc 5"/>
    <w:basedOn w:val="Normal"/>
    <w:next w:val="Normal"/>
    <w:autoRedefine/>
    <w:uiPriority w:val="39"/>
    <w:rsid w:val="008E26B4"/>
    <w:pPr>
      <w:spacing w:line="360" w:lineRule="auto"/>
      <w:ind w:left="960"/>
      <w:jc w:val="both"/>
    </w:pPr>
    <w:rPr>
      <w:rFonts w:ascii="Times New Roman" w:eastAsia="Times New Roman" w:hAnsi="Times New Roman" w:cs="Times New Roman"/>
      <w:spacing w:val="10"/>
      <w:sz w:val="18"/>
      <w:szCs w:val="21"/>
      <w:lang w:eastAsia="en-GB"/>
    </w:rPr>
  </w:style>
  <w:style w:type="paragraph" w:styleId="TOC6">
    <w:name w:val="toc 6"/>
    <w:basedOn w:val="Normal"/>
    <w:next w:val="Normal"/>
    <w:autoRedefine/>
    <w:uiPriority w:val="39"/>
    <w:rsid w:val="008E26B4"/>
    <w:pPr>
      <w:spacing w:line="360" w:lineRule="auto"/>
      <w:ind w:left="1200"/>
      <w:jc w:val="both"/>
    </w:pPr>
    <w:rPr>
      <w:rFonts w:ascii="Times New Roman" w:eastAsia="Times New Roman" w:hAnsi="Times New Roman" w:cs="Times New Roman"/>
      <w:spacing w:val="10"/>
      <w:sz w:val="18"/>
      <w:szCs w:val="21"/>
      <w:lang w:eastAsia="en-GB"/>
    </w:rPr>
  </w:style>
  <w:style w:type="paragraph" w:styleId="TOC7">
    <w:name w:val="toc 7"/>
    <w:basedOn w:val="Normal"/>
    <w:next w:val="Normal"/>
    <w:autoRedefine/>
    <w:uiPriority w:val="39"/>
    <w:rsid w:val="008E26B4"/>
    <w:pPr>
      <w:spacing w:line="360" w:lineRule="auto"/>
      <w:ind w:left="1440"/>
      <w:jc w:val="both"/>
    </w:pPr>
    <w:rPr>
      <w:rFonts w:ascii="Times New Roman" w:eastAsia="Times New Roman" w:hAnsi="Times New Roman" w:cs="Times New Roman"/>
      <w:spacing w:val="10"/>
      <w:sz w:val="18"/>
      <w:szCs w:val="21"/>
      <w:lang w:eastAsia="en-GB"/>
    </w:rPr>
  </w:style>
  <w:style w:type="paragraph" w:styleId="TOC8">
    <w:name w:val="toc 8"/>
    <w:basedOn w:val="Normal"/>
    <w:next w:val="Normal"/>
    <w:autoRedefine/>
    <w:uiPriority w:val="39"/>
    <w:rsid w:val="008E26B4"/>
    <w:pPr>
      <w:spacing w:line="360" w:lineRule="auto"/>
      <w:ind w:left="1680"/>
      <w:jc w:val="both"/>
    </w:pPr>
    <w:rPr>
      <w:rFonts w:ascii="Times New Roman" w:eastAsia="Times New Roman" w:hAnsi="Times New Roman" w:cs="Times New Roman"/>
      <w:spacing w:val="10"/>
      <w:sz w:val="18"/>
      <w:szCs w:val="21"/>
      <w:lang w:eastAsia="en-GB"/>
    </w:rPr>
  </w:style>
  <w:style w:type="paragraph" w:styleId="TOC9">
    <w:name w:val="toc 9"/>
    <w:basedOn w:val="Normal"/>
    <w:next w:val="Normal"/>
    <w:autoRedefine/>
    <w:uiPriority w:val="39"/>
    <w:rsid w:val="008E26B4"/>
    <w:pPr>
      <w:spacing w:line="360" w:lineRule="auto"/>
      <w:ind w:left="1920"/>
      <w:jc w:val="both"/>
    </w:pPr>
    <w:rPr>
      <w:rFonts w:ascii="Times New Roman" w:eastAsia="Times New Roman" w:hAnsi="Times New Roman" w:cs="Times New Roman"/>
      <w:spacing w:val="10"/>
      <w:sz w:val="18"/>
      <w:szCs w:val="21"/>
      <w:lang w:eastAsia="en-GB"/>
    </w:rPr>
  </w:style>
  <w:style w:type="paragraph" w:styleId="ListParagraph">
    <w:name w:val="List Paragraph"/>
    <w:basedOn w:val="Normal"/>
    <w:uiPriority w:val="34"/>
    <w:qFormat/>
    <w:rsid w:val="008E26B4"/>
    <w:pPr>
      <w:spacing w:line="360" w:lineRule="auto"/>
      <w:ind w:left="720"/>
      <w:jc w:val="both"/>
    </w:pPr>
    <w:rPr>
      <w:rFonts w:ascii="Garamond" w:eastAsia="Times New Roman" w:hAnsi="Garamond" w:cs="Times New Roman"/>
      <w:spacing w:val="10"/>
      <w:sz w:val="24"/>
      <w:szCs w:val="26"/>
      <w:lang w:eastAsia="en-GB"/>
    </w:rPr>
  </w:style>
  <w:style w:type="paragraph" w:styleId="Header">
    <w:name w:val="header"/>
    <w:basedOn w:val="Normal"/>
    <w:link w:val="HeaderChar"/>
    <w:uiPriority w:val="99"/>
    <w:rsid w:val="008E26B4"/>
    <w:pPr>
      <w:tabs>
        <w:tab w:val="center" w:pos="4513"/>
        <w:tab w:val="right" w:pos="9026"/>
      </w:tabs>
      <w:spacing w:line="360" w:lineRule="auto"/>
      <w:jc w:val="both"/>
    </w:pPr>
    <w:rPr>
      <w:rFonts w:ascii="Garamond" w:eastAsia="Times New Roman" w:hAnsi="Garamond" w:cs="Times New Roman"/>
      <w:spacing w:val="10"/>
      <w:sz w:val="24"/>
      <w:szCs w:val="26"/>
      <w:lang w:eastAsia="en-GB"/>
    </w:rPr>
  </w:style>
  <w:style w:type="character" w:customStyle="1" w:styleId="HeaderChar">
    <w:name w:val="Header Char"/>
    <w:basedOn w:val="DefaultParagraphFont"/>
    <w:link w:val="Header"/>
    <w:uiPriority w:val="99"/>
    <w:rsid w:val="008E26B4"/>
    <w:rPr>
      <w:rFonts w:ascii="Garamond" w:eastAsia="Times New Roman" w:hAnsi="Garamond" w:cs="Times New Roman"/>
      <w:spacing w:val="10"/>
      <w:sz w:val="24"/>
      <w:szCs w:val="26"/>
      <w:lang w:eastAsia="en-GB"/>
    </w:rPr>
  </w:style>
  <w:style w:type="character" w:customStyle="1" w:styleId="CharChar3">
    <w:name w:val="Char Char3"/>
    <w:basedOn w:val="DefaultParagraphFont"/>
    <w:rsid w:val="008E26B4"/>
    <w:rPr>
      <w:rFonts w:ascii="Garamond" w:hAnsi="Garamond"/>
      <w:spacing w:val="10"/>
      <w:sz w:val="24"/>
      <w:szCs w:val="26"/>
    </w:rPr>
  </w:style>
  <w:style w:type="paragraph" w:styleId="EndnoteText">
    <w:name w:val="endnote text"/>
    <w:basedOn w:val="Normal"/>
    <w:link w:val="EndnoteTextChar"/>
    <w:semiHidden/>
    <w:rsid w:val="008E26B4"/>
    <w:pPr>
      <w:spacing w:line="360" w:lineRule="auto"/>
      <w:jc w:val="both"/>
    </w:pPr>
    <w:rPr>
      <w:rFonts w:ascii="Garamond" w:eastAsia="Times New Roman" w:hAnsi="Garamond" w:cs="Times New Roman"/>
      <w:spacing w:val="10"/>
      <w:sz w:val="20"/>
      <w:szCs w:val="20"/>
      <w:lang w:eastAsia="en-GB"/>
    </w:rPr>
  </w:style>
  <w:style w:type="character" w:customStyle="1" w:styleId="EndnoteTextChar">
    <w:name w:val="Endnote Text Char"/>
    <w:basedOn w:val="DefaultParagraphFont"/>
    <w:link w:val="EndnoteText"/>
    <w:semiHidden/>
    <w:rsid w:val="008E26B4"/>
    <w:rPr>
      <w:rFonts w:ascii="Garamond" w:eastAsia="Times New Roman" w:hAnsi="Garamond" w:cs="Times New Roman"/>
      <w:spacing w:val="10"/>
      <w:sz w:val="20"/>
      <w:szCs w:val="20"/>
      <w:lang w:eastAsia="en-GB"/>
    </w:rPr>
  </w:style>
  <w:style w:type="character" w:customStyle="1" w:styleId="CharChar2">
    <w:name w:val="Char Char2"/>
    <w:basedOn w:val="DefaultParagraphFont"/>
    <w:rsid w:val="008E26B4"/>
    <w:rPr>
      <w:rFonts w:ascii="Garamond" w:hAnsi="Garamond"/>
      <w:spacing w:val="10"/>
    </w:rPr>
  </w:style>
  <w:style w:type="character" w:styleId="EndnoteReference">
    <w:name w:val="endnote reference"/>
    <w:basedOn w:val="DefaultParagraphFont"/>
    <w:semiHidden/>
    <w:rsid w:val="008E26B4"/>
    <w:rPr>
      <w:vertAlign w:val="superscript"/>
    </w:rPr>
  </w:style>
  <w:style w:type="paragraph" w:styleId="DocumentMap">
    <w:name w:val="Document Map"/>
    <w:basedOn w:val="Normal"/>
    <w:link w:val="DocumentMapChar"/>
    <w:uiPriority w:val="99"/>
    <w:semiHidden/>
    <w:rsid w:val="008E26B4"/>
    <w:pPr>
      <w:spacing w:line="360" w:lineRule="auto"/>
      <w:jc w:val="both"/>
    </w:pPr>
    <w:rPr>
      <w:rFonts w:ascii="Tahoma" w:eastAsia="Times New Roman" w:hAnsi="Tahoma" w:cs="Tahoma"/>
      <w:spacing w:val="10"/>
      <w:sz w:val="16"/>
      <w:szCs w:val="16"/>
      <w:lang w:eastAsia="en-GB"/>
    </w:rPr>
  </w:style>
  <w:style w:type="character" w:customStyle="1" w:styleId="DocumentMapChar">
    <w:name w:val="Document Map Char"/>
    <w:basedOn w:val="DefaultParagraphFont"/>
    <w:link w:val="DocumentMap"/>
    <w:uiPriority w:val="99"/>
    <w:semiHidden/>
    <w:rsid w:val="008E26B4"/>
    <w:rPr>
      <w:rFonts w:ascii="Tahoma" w:eastAsia="Times New Roman" w:hAnsi="Tahoma" w:cs="Tahoma"/>
      <w:spacing w:val="10"/>
      <w:sz w:val="16"/>
      <w:szCs w:val="16"/>
      <w:lang w:eastAsia="en-GB"/>
    </w:rPr>
  </w:style>
  <w:style w:type="character" w:customStyle="1" w:styleId="CharChar1">
    <w:name w:val="Char Char1"/>
    <w:basedOn w:val="DefaultParagraphFont"/>
    <w:rsid w:val="008E26B4"/>
    <w:rPr>
      <w:rFonts w:ascii="Tahoma" w:hAnsi="Tahoma" w:cs="Tahoma"/>
      <w:spacing w:val="10"/>
      <w:sz w:val="16"/>
      <w:szCs w:val="16"/>
    </w:rPr>
  </w:style>
  <w:style w:type="character" w:customStyle="1" w:styleId="CharChar">
    <w:name w:val="Char Char"/>
    <w:basedOn w:val="DefaultParagraphFont"/>
    <w:rsid w:val="008E26B4"/>
    <w:rPr>
      <w:rFonts w:ascii="Tahoma" w:hAnsi="Tahoma" w:cs="Tahoma"/>
      <w:spacing w:val="10"/>
      <w:sz w:val="16"/>
      <w:szCs w:val="16"/>
    </w:rPr>
  </w:style>
  <w:style w:type="paragraph" w:styleId="Quote">
    <w:name w:val="Quote"/>
    <w:basedOn w:val="Normal"/>
    <w:next w:val="Normal"/>
    <w:link w:val="QuoteChar"/>
    <w:qFormat/>
    <w:rsid w:val="008E26B4"/>
    <w:pPr>
      <w:spacing w:line="360" w:lineRule="auto"/>
      <w:ind w:left="340" w:right="340"/>
      <w:jc w:val="both"/>
    </w:pPr>
    <w:rPr>
      <w:rFonts w:ascii="Garamond" w:eastAsia="Times New Roman" w:hAnsi="Garamond" w:cs="Times New Roman"/>
      <w:iCs/>
      <w:color w:val="000000"/>
      <w:spacing w:val="10"/>
      <w:szCs w:val="26"/>
      <w:lang w:eastAsia="en-GB"/>
    </w:rPr>
  </w:style>
  <w:style w:type="character" w:customStyle="1" w:styleId="QuoteChar">
    <w:name w:val="Quote Char"/>
    <w:basedOn w:val="DefaultParagraphFont"/>
    <w:link w:val="Quote"/>
    <w:rsid w:val="008E26B4"/>
    <w:rPr>
      <w:rFonts w:ascii="Garamond" w:eastAsia="Times New Roman" w:hAnsi="Garamond" w:cs="Times New Roman"/>
      <w:iCs/>
      <w:color w:val="000000"/>
      <w:spacing w:val="10"/>
      <w:szCs w:val="26"/>
      <w:lang w:eastAsia="en-GB"/>
    </w:rPr>
  </w:style>
  <w:style w:type="paragraph" w:customStyle="1" w:styleId="Tablefigureheading">
    <w:name w:val="Table/figure heading"/>
    <w:basedOn w:val="Normal"/>
    <w:next w:val="Normal"/>
    <w:qFormat/>
    <w:rsid w:val="008E26B4"/>
    <w:pPr>
      <w:spacing w:before="480" w:after="240" w:line="360" w:lineRule="auto"/>
      <w:jc w:val="both"/>
    </w:pPr>
    <w:rPr>
      <w:rFonts w:ascii="Times New Roman" w:eastAsia="SimSun" w:hAnsi="Times New Roman" w:cs="Times New Roman"/>
      <w:b/>
      <w:spacing w:val="10"/>
      <w:sz w:val="24"/>
      <w:szCs w:val="24"/>
      <w:lang w:eastAsia="zh-CN"/>
    </w:rPr>
  </w:style>
  <w:style w:type="paragraph" w:styleId="TableofFigures">
    <w:name w:val="table of figures"/>
    <w:basedOn w:val="Normal"/>
    <w:next w:val="Normal"/>
    <w:uiPriority w:val="99"/>
    <w:rsid w:val="008E26B4"/>
    <w:pPr>
      <w:spacing w:line="360" w:lineRule="auto"/>
      <w:jc w:val="both"/>
    </w:pPr>
    <w:rPr>
      <w:rFonts w:ascii="Garamond" w:eastAsia="Times New Roman" w:hAnsi="Garamond" w:cs="Times New Roman"/>
      <w:spacing w:val="10"/>
      <w:sz w:val="24"/>
      <w:szCs w:val="26"/>
      <w:lang w:eastAsia="en-GB"/>
    </w:rPr>
  </w:style>
  <w:style w:type="character" w:customStyle="1" w:styleId="CharChar4">
    <w:name w:val="Char Char4"/>
    <w:basedOn w:val="DefaultParagraphFont"/>
    <w:rsid w:val="008E26B4"/>
    <w:rPr>
      <w:rFonts w:ascii="Garamond" w:hAnsi="Garamond"/>
      <w:spacing w:val="10"/>
      <w:sz w:val="24"/>
      <w:szCs w:val="26"/>
    </w:rPr>
  </w:style>
  <w:style w:type="paragraph" w:customStyle="1" w:styleId="Firstparagraph">
    <w:name w:val="First paragraph"/>
    <w:basedOn w:val="Normal"/>
    <w:next w:val="Normal"/>
    <w:uiPriority w:val="99"/>
    <w:rsid w:val="008E26B4"/>
    <w:pPr>
      <w:spacing w:line="312" w:lineRule="auto"/>
      <w:jc w:val="both"/>
    </w:pPr>
    <w:rPr>
      <w:rFonts w:ascii="cmr10" w:eastAsia="Times New Roman" w:hAnsi="cmr10" w:cs="Times New Roman"/>
      <w:spacing w:val="10"/>
      <w:sz w:val="21"/>
      <w:szCs w:val="24"/>
    </w:rPr>
  </w:style>
  <w:style w:type="table" w:styleId="TableGrid">
    <w:name w:val="Table Grid"/>
    <w:basedOn w:val="TableNormal"/>
    <w:uiPriority w:val="99"/>
    <w:rsid w:val="008E26B4"/>
    <w:rPr>
      <w:rFonts w:ascii="cmr10" w:eastAsia="Times New Roman" w:hAnsi="cmr10"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E26B4"/>
    <w:rPr>
      <w:color w:val="808080"/>
    </w:rPr>
  </w:style>
  <w:style w:type="character" w:styleId="FollowedHyperlink">
    <w:name w:val="FollowedHyperlink"/>
    <w:basedOn w:val="DefaultParagraphFont"/>
    <w:uiPriority w:val="99"/>
    <w:unhideWhenUsed/>
    <w:rsid w:val="008E26B4"/>
    <w:rPr>
      <w:color w:val="800080"/>
      <w:u w:val="single"/>
    </w:rPr>
  </w:style>
  <w:style w:type="paragraph" w:customStyle="1" w:styleId="xl130">
    <w:name w:val="xl130"/>
    <w:basedOn w:val="Normal"/>
    <w:rsid w:val="008E26B4"/>
    <w:pPr>
      <w:spacing w:before="100" w:beforeAutospacing="1" w:after="100" w:afterAutospacing="1"/>
      <w:textAlignment w:val="center"/>
    </w:pPr>
    <w:rPr>
      <w:rFonts w:ascii="Calibri" w:eastAsia="Times New Roman" w:hAnsi="Calibri" w:cs="Calibri"/>
      <w:b/>
      <w:bCs/>
      <w:spacing w:val="10"/>
      <w:sz w:val="12"/>
      <w:szCs w:val="12"/>
      <w:lang w:eastAsia="en-GB"/>
    </w:rPr>
  </w:style>
  <w:style w:type="paragraph" w:customStyle="1" w:styleId="xl131">
    <w:name w:val="xl131"/>
    <w:basedOn w:val="Normal"/>
    <w:rsid w:val="008E26B4"/>
    <w:pP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32">
    <w:name w:val="xl132"/>
    <w:basedOn w:val="Normal"/>
    <w:rsid w:val="008E26B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3">
    <w:name w:val="xl133"/>
    <w:basedOn w:val="Normal"/>
    <w:rsid w:val="008E26B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4">
    <w:name w:val="xl134"/>
    <w:basedOn w:val="Normal"/>
    <w:rsid w:val="008E26B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5">
    <w:name w:val="xl135"/>
    <w:basedOn w:val="Normal"/>
    <w:rsid w:val="008E26B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6">
    <w:name w:val="xl136"/>
    <w:basedOn w:val="Normal"/>
    <w:rsid w:val="008E26B4"/>
    <w:pP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7">
    <w:name w:val="xl137"/>
    <w:basedOn w:val="Normal"/>
    <w:rsid w:val="008E26B4"/>
    <w:pPr>
      <w:spacing w:before="100" w:beforeAutospacing="1" w:after="100" w:afterAutospacing="1"/>
      <w:jc w:val="center"/>
      <w:textAlignment w:val="center"/>
    </w:pPr>
    <w:rPr>
      <w:rFonts w:ascii="Calibri" w:eastAsia="Times New Roman" w:hAnsi="Calibri" w:cs="Calibri"/>
      <w:b/>
      <w:bCs/>
      <w:spacing w:val="10"/>
      <w:sz w:val="12"/>
      <w:szCs w:val="12"/>
      <w:lang w:eastAsia="en-GB"/>
    </w:rPr>
  </w:style>
  <w:style w:type="paragraph" w:customStyle="1" w:styleId="xl138">
    <w:name w:val="xl138"/>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9">
    <w:name w:val="xl139"/>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0">
    <w:name w:val="xl140"/>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1">
    <w:name w:val="xl141"/>
    <w:basedOn w:val="Normal"/>
    <w:rsid w:val="008E26B4"/>
    <w:pPr>
      <w:pBdr>
        <w:lef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2">
    <w:name w:val="xl142"/>
    <w:basedOn w:val="Normal"/>
    <w:rsid w:val="008E26B4"/>
    <w:pPr>
      <w:pBdr>
        <w:bottom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3">
    <w:name w:val="xl143"/>
    <w:basedOn w:val="Normal"/>
    <w:rsid w:val="008E26B4"/>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4">
    <w:name w:val="xl144"/>
    <w:basedOn w:val="Normal"/>
    <w:rsid w:val="008E26B4"/>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5">
    <w:name w:val="xl145"/>
    <w:basedOn w:val="Normal"/>
    <w:rsid w:val="008E26B4"/>
    <w:pPr>
      <w:pBdr>
        <w:top w:val="single" w:sz="4" w:space="0" w:color="auto"/>
        <w:left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6">
    <w:name w:val="xl146"/>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7">
    <w:name w:val="xl147"/>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8">
    <w:name w:val="xl148"/>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9">
    <w:name w:val="xl149"/>
    <w:basedOn w:val="Normal"/>
    <w:rsid w:val="008E26B4"/>
    <w:pPr>
      <w:pBdr>
        <w:top w:val="single" w:sz="4" w:space="0" w:color="auto"/>
        <w:left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0">
    <w:name w:val="xl150"/>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1">
    <w:name w:val="xl151"/>
    <w:basedOn w:val="Normal"/>
    <w:rsid w:val="008E26B4"/>
    <w:pPr>
      <w:pBdr>
        <w:top w:val="single"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52">
    <w:name w:val="xl152"/>
    <w:basedOn w:val="Normal"/>
    <w:rsid w:val="008E26B4"/>
    <w:pPr>
      <w:pBdr>
        <w:top w:val="single" w:sz="4" w:space="0" w:color="auto"/>
        <w:left w:val="dashed" w:sz="4" w:space="0" w:color="auto"/>
        <w:bottom w:val="dashed"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3">
    <w:name w:val="xl153"/>
    <w:basedOn w:val="Normal"/>
    <w:rsid w:val="008E26B4"/>
    <w:pPr>
      <w:pBdr>
        <w:top w:val="single"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4">
    <w:name w:val="xl154"/>
    <w:basedOn w:val="Normal"/>
    <w:rsid w:val="008E26B4"/>
    <w:pPr>
      <w:pBdr>
        <w:top w:val="single" w:sz="4" w:space="0" w:color="auto"/>
        <w:left w:val="dashed" w:sz="4" w:space="0" w:color="auto"/>
        <w:bottom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5">
    <w:name w:val="xl155"/>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56">
    <w:name w:val="xl156"/>
    <w:basedOn w:val="Normal"/>
    <w:rsid w:val="008E26B4"/>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7">
    <w:name w:val="xl157"/>
    <w:basedOn w:val="Normal"/>
    <w:rsid w:val="008E26B4"/>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8">
    <w:name w:val="xl158"/>
    <w:basedOn w:val="Normal"/>
    <w:rsid w:val="008E26B4"/>
    <w:pPr>
      <w:pBdr>
        <w:top w:val="dashed" w:sz="4" w:space="0" w:color="auto"/>
        <w:left w:val="dashed" w:sz="4" w:space="0" w:color="auto"/>
        <w:bottom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9">
    <w:name w:val="xl159"/>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0">
    <w:name w:val="xl160"/>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1">
    <w:name w:val="xl161"/>
    <w:basedOn w:val="Normal"/>
    <w:rsid w:val="008E26B4"/>
    <w:pPr>
      <w:pBdr>
        <w:top w:val="dashed" w:sz="4" w:space="0" w:color="auto"/>
        <w:left w:val="dashed" w:sz="4" w:space="0" w:color="auto"/>
        <w:bottom w:val="dashed" w:sz="4" w:space="0" w:color="auto"/>
        <w:right w:val="dashed"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2">
    <w:name w:val="xl162"/>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3">
    <w:name w:val="xl163"/>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4">
    <w:name w:val="xl164"/>
    <w:basedOn w:val="Normal"/>
    <w:rsid w:val="008E26B4"/>
    <w:pPr>
      <w:pBdr>
        <w:top w:val="dashed" w:sz="4" w:space="0" w:color="auto"/>
        <w:left w:val="single" w:sz="4" w:space="0" w:color="auto"/>
        <w:bottom w:val="single"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5">
    <w:name w:val="xl165"/>
    <w:basedOn w:val="Normal"/>
    <w:rsid w:val="008E26B4"/>
    <w:pPr>
      <w:pBdr>
        <w:top w:val="dashed" w:sz="4" w:space="0" w:color="auto"/>
        <w:left w:val="dashed" w:sz="4" w:space="0" w:color="auto"/>
        <w:bottom w:val="single"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6">
    <w:name w:val="xl166"/>
    <w:basedOn w:val="Normal"/>
    <w:rsid w:val="008E26B4"/>
    <w:pPr>
      <w:pBdr>
        <w:top w:val="dashed" w:sz="4"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7">
    <w:name w:val="xl167"/>
    <w:basedOn w:val="Normal"/>
    <w:rsid w:val="008E26B4"/>
    <w:pPr>
      <w:pBdr>
        <w:top w:val="dashed" w:sz="4" w:space="0" w:color="auto"/>
        <w:left w:val="dashed"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8">
    <w:name w:val="xl168"/>
    <w:basedOn w:val="Normal"/>
    <w:rsid w:val="008E26B4"/>
    <w:pPr>
      <w:pBdr>
        <w:top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9">
    <w:name w:val="xl169"/>
    <w:basedOn w:val="Normal"/>
    <w:rsid w:val="008E26B4"/>
    <w:pPr>
      <w:pBdr>
        <w:top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70">
    <w:name w:val="xl170"/>
    <w:basedOn w:val="Normal"/>
    <w:rsid w:val="008E26B4"/>
    <w:pPr>
      <w:pBdr>
        <w:left w:val="single" w:sz="4" w:space="0" w:color="auto"/>
        <w:bottom w:val="single"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71">
    <w:name w:val="xl171"/>
    <w:basedOn w:val="Normal"/>
    <w:rsid w:val="008E26B4"/>
    <w:pPr>
      <w:pBdr>
        <w:left w:val="dashed" w:sz="4" w:space="0" w:color="auto"/>
        <w:bottom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2">
    <w:name w:val="xl172"/>
    <w:basedOn w:val="Normal"/>
    <w:rsid w:val="008E26B4"/>
    <w:pPr>
      <w:pBdr>
        <w:left w:val="dashed"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3">
    <w:name w:val="xl173"/>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4">
    <w:name w:val="xl174"/>
    <w:basedOn w:val="Normal"/>
    <w:rsid w:val="008E26B4"/>
    <w:pPr>
      <w:pBdr>
        <w:top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5">
    <w:name w:val="xl175"/>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6">
    <w:name w:val="xl176"/>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7">
    <w:name w:val="xl177"/>
    <w:basedOn w:val="Normal"/>
    <w:rsid w:val="008E26B4"/>
    <w:pPr>
      <w:pBdr>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8">
    <w:name w:val="xl178"/>
    <w:basedOn w:val="Normal"/>
    <w:rsid w:val="008E26B4"/>
    <w:pPr>
      <w:pBdr>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9">
    <w:name w:val="xl179"/>
    <w:basedOn w:val="Normal"/>
    <w:rsid w:val="008E26B4"/>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0">
    <w:name w:val="xl180"/>
    <w:basedOn w:val="Normal"/>
    <w:rsid w:val="008E26B4"/>
    <w:pPr>
      <w:pBdr>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1">
    <w:name w:val="xl181"/>
    <w:basedOn w:val="Normal"/>
    <w:rsid w:val="008E26B4"/>
    <w:pP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2">
    <w:name w:val="xl182"/>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3">
    <w:name w:val="xl183"/>
    <w:basedOn w:val="Normal"/>
    <w:rsid w:val="008E26B4"/>
    <w:pPr>
      <w:pBdr>
        <w:top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4">
    <w:name w:val="xl184"/>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5">
    <w:name w:val="xl185"/>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6">
    <w:name w:val="xl186"/>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7">
    <w:name w:val="xl187"/>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8">
    <w:name w:val="xl188"/>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9">
    <w:name w:val="xl189"/>
    <w:basedOn w:val="Normal"/>
    <w:rsid w:val="008E26B4"/>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90">
    <w:name w:val="xl190"/>
    <w:basedOn w:val="Normal"/>
    <w:rsid w:val="008E26B4"/>
    <w:pPr>
      <w:pBdr>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styleId="NormalWeb">
    <w:name w:val="Normal (Web)"/>
    <w:basedOn w:val="Normal"/>
    <w:uiPriority w:val="99"/>
    <w:unhideWhenUsed/>
    <w:rsid w:val="008E26B4"/>
    <w:pPr>
      <w:spacing w:before="100" w:beforeAutospacing="1" w:after="100" w:afterAutospacing="1"/>
    </w:pPr>
    <w:rPr>
      <w:rFonts w:ascii="Times New Roman" w:eastAsia="Times New Roman" w:hAnsi="Times New Roman" w:cs="Times New Roman"/>
      <w:spacing w:val="10"/>
      <w:sz w:val="24"/>
      <w:szCs w:val="24"/>
      <w:lang w:eastAsia="en-GB"/>
    </w:rPr>
  </w:style>
  <w:style w:type="character" w:styleId="CommentReference">
    <w:name w:val="annotation reference"/>
    <w:basedOn w:val="DefaultParagraphFont"/>
    <w:uiPriority w:val="99"/>
    <w:semiHidden/>
    <w:unhideWhenUsed/>
    <w:rsid w:val="008E26B4"/>
    <w:rPr>
      <w:sz w:val="16"/>
      <w:szCs w:val="16"/>
    </w:rPr>
  </w:style>
  <w:style w:type="paragraph" w:styleId="CommentText">
    <w:name w:val="annotation text"/>
    <w:basedOn w:val="Normal"/>
    <w:link w:val="CommentTextChar"/>
    <w:uiPriority w:val="99"/>
    <w:semiHidden/>
    <w:unhideWhenUsed/>
    <w:rsid w:val="008E26B4"/>
    <w:rPr>
      <w:rFonts w:ascii="Garamond" w:hAnsi="Garamond"/>
      <w:spacing w:val="10"/>
      <w:sz w:val="20"/>
      <w:szCs w:val="20"/>
    </w:rPr>
  </w:style>
  <w:style w:type="character" w:customStyle="1" w:styleId="CommentTextChar">
    <w:name w:val="Comment Text Char"/>
    <w:basedOn w:val="DefaultParagraphFont"/>
    <w:link w:val="CommentText"/>
    <w:uiPriority w:val="99"/>
    <w:semiHidden/>
    <w:rsid w:val="008E26B4"/>
    <w:rPr>
      <w:rFonts w:ascii="Garamond" w:hAnsi="Garamond"/>
      <w:spacing w:val="10"/>
      <w:sz w:val="20"/>
      <w:szCs w:val="20"/>
    </w:rPr>
  </w:style>
  <w:style w:type="paragraph" w:styleId="CommentSubject">
    <w:name w:val="annotation subject"/>
    <w:basedOn w:val="CommentText"/>
    <w:next w:val="CommentText"/>
    <w:link w:val="CommentSubjectChar"/>
    <w:uiPriority w:val="99"/>
    <w:semiHidden/>
    <w:unhideWhenUsed/>
    <w:rsid w:val="008E26B4"/>
    <w:rPr>
      <w:b/>
      <w:bCs/>
    </w:rPr>
  </w:style>
  <w:style w:type="character" w:customStyle="1" w:styleId="CommentSubjectChar">
    <w:name w:val="Comment Subject Char"/>
    <w:basedOn w:val="CommentTextChar"/>
    <w:link w:val="CommentSubject"/>
    <w:uiPriority w:val="99"/>
    <w:semiHidden/>
    <w:rsid w:val="008E26B4"/>
    <w:rPr>
      <w:rFonts w:ascii="Garamond" w:hAnsi="Garamond"/>
      <w:b/>
      <w:b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79"/>
  </w:style>
  <w:style w:type="paragraph" w:styleId="Heading1">
    <w:name w:val="heading 1"/>
    <w:basedOn w:val="Normal"/>
    <w:next w:val="Normal"/>
    <w:link w:val="Heading1Char"/>
    <w:autoRedefine/>
    <w:uiPriority w:val="99"/>
    <w:qFormat/>
    <w:rsid w:val="00C247FC"/>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9"/>
    <w:unhideWhenUsed/>
    <w:qFormat/>
    <w:rsid w:val="00C247FC"/>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A26849"/>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8E26B4"/>
    <w:pPr>
      <w:keepNext/>
      <w:keepLines/>
      <w:spacing w:before="200"/>
      <w:outlineLvl w:val="3"/>
    </w:pPr>
    <w:rPr>
      <w:rFonts w:asciiTheme="majorHAnsi" w:eastAsiaTheme="majorEastAsia" w:hAnsiTheme="majorHAnsi" w:cstheme="majorBidi"/>
      <w:b/>
      <w:bCs/>
      <w:i/>
      <w:iCs/>
      <w:color w:val="4F81BD" w:themeColor="accent1"/>
      <w:spacing w:val="10"/>
    </w:rPr>
  </w:style>
  <w:style w:type="paragraph" w:styleId="Heading5">
    <w:name w:val="heading 5"/>
    <w:basedOn w:val="Normal"/>
    <w:next w:val="Normal"/>
    <w:link w:val="Heading5Char"/>
    <w:unhideWhenUsed/>
    <w:qFormat/>
    <w:rsid w:val="008E26B4"/>
    <w:pPr>
      <w:keepNext/>
      <w:keepLines/>
      <w:spacing w:before="200"/>
      <w:outlineLvl w:val="4"/>
    </w:pPr>
    <w:rPr>
      <w:rFonts w:asciiTheme="majorHAnsi" w:eastAsiaTheme="majorEastAsia" w:hAnsiTheme="majorHAnsi" w:cstheme="majorBidi"/>
      <w:color w:val="243F60" w:themeColor="accent1" w:themeShade="7F"/>
      <w:spacing w:val="10"/>
    </w:rPr>
  </w:style>
  <w:style w:type="paragraph" w:styleId="Heading6">
    <w:name w:val="heading 6"/>
    <w:basedOn w:val="Normal"/>
    <w:next w:val="Normal"/>
    <w:link w:val="Heading6Char"/>
    <w:qFormat/>
    <w:rsid w:val="008E26B4"/>
    <w:pPr>
      <w:tabs>
        <w:tab w:val="num" w:pos="1152"/>
      </w:tabs>
      <w:spacing w:before="240" w:after="60" w:line="360" w:lineRule="auto"/>
      <w:ind w:left="1152" w:hanging="1152"/>
      <w:jc w:val="both"/>
      <w:outlineLvl w:val="5"/>
    </w:pPr>
    <w:rPr>
      <w:rFonts w:ascii="Times New Roman" w:eastAsia="Times New Roman" w:hAnsi="Times New Roman" w:cs="Times New Roman"/>
      <w:b/>
      <w:bCs/>
      <w:spacing w:val="10"/>
      <w:lang w:eastAsia="en-GB"/>
    </w:rPr>
  </w:style>
  <w:style w:type="paragraph" w:styleId="Heading7">
    <w:name w:val="heading 7"/>
    <w:basedOn w:val="Normal"/>
    <w:next w:val="Normal"/>
    <w:link w:val="Heading7Char"/>
    <w:qFormat/>
    <w:rsid w:val="008E26B4"/>
    <w:pPr>
      <w:tabs>
        <w:tab w:val="num" w:pos="1296"/>
      </w:tabs>
      <w:spacing w:before="240" w:after="60" w:line="360" w:lineRule="auto"/>
      <w:ind w:left="1296" w:hanging="1296"/>
      <w:jc w:val="both"/>
      <w:outlineLvl w:val="6"/>
    </w:pPr>
    <w:rPr>
      <w:rFonts w:ascii="Times New Roman" w:eastAsia="Times New Roman" w:hAnsi="Times New Roman" w:cs="Times New Roman"/>
      <w:spacing w:val="10"/>
      <w:sz w:val="24"/>
      <w:szCs w:val="24"/>
      <w:lang w:eastAsia="en-GB"/>
    </w:rPr>
  </w:style>
  <w:style w:type="paragraph" w:styleId="Heading8">
    <w:name w:val="heading 8"/>
    <w:basedOn w:val="Normal"/>
    <w:next w:val="Normal"/>
    <w:link w:val="Heading8Char"/>
    <w:qFormat/>
    <w:rsid w:val="008E26B4"/>
    <w:pPr>
      <w:tabs>
        <w:tab w:val="num" w:pos="1440"/>
      </w:tabs>
      <w:spacing w:before="240" w:after="60" w:line="360" w:lineRule="auto"/>
      <w:ind w:left="1440" w:hanging="1440"/>
      <w:jc w:val="both"/>
      <w:outlineLvl w:val="7"/>
    </w:pPr>
    <w:rPr>
      <w:rFonts w:ascii="Times New Roman" w:eastAsia="Times New Roman" w:hAnsi="Times New Roman" w:cs="Times New Roman"/>
      <w:i/>
      <w:iCs/>
      <w:spacing w:val="10"/>
      <w:sz w:val="24"/>
      <w:szCs w:val="24"/>
      <w:lang w:eastAsia="en-GB"/>
    </w:rPr>
  </w:style>
  <w:style w:type="paragraph" w:styleId="Heading9">
    <w:name w:val="heading 9"/>
    <w:basedOn w:val="Normal"/>
    <w:next w:val="Normal"/>
    <w:link w:val="Heading9Char"/>
    <w:qFormat/>
    <w:rsid w:val="008E26B4"/>
    <w:pPr>
      <w:tabs>
        <w:tab w:val="num" w:pos="1584"/>
      </w:tabs>
      <w:spacing w:before="240" w:after="60" w:line="360" w:lineRule="auto"/>
      <w:ind w:left="1584" w:hanging="1584"/>
      <w:jc w:val="both"/>
      <w:outlineLvl w:val="8"/>
    </w:pPr>
    <w:rPr>
      <w:rFonts w:ascii="Arial" w:eastAsia="Times New Roman" w:hAnsi="Arial" w:cs="Arial"/>
      <w:spacing w:val="1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nhideWhenUsed/>
    <w:qFormat/>
    <w:rsid w:val="0021722E"/>
    <w:pPr>
      <w:spacing w:after="200"/>
      <w:ind w:left="-284"/>
    </w:pPr>
    <w:rPr>
      <w:b/>
      <w:bCs/>
      <w:sz w:val="18"/>
      <w:szCs w:val="18"/>
    </w:rPr>
  </w:style>
  <w:style w:type="character" w:customStyle="1" w:styleId="Heading1Char">
    <w:name w:val="Heading 1 Char"/>
    <w:basedOn w:val="DefaultParagraphFont"/>
    <w:link w:val="Heading1"/>
    <w:uiPriority w:val="99"/>
    <w:rsid w:val="00C247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C247FC"/>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4F15CB"/>
    <w:rPr>
      <w:color w:val="0000FF" w:themeColor="hyperlink"/>
      <w:u w:val="single"/>
    </w:rPr>
  </w:style>
  <w:style w:type="character" w:customStyle="1" w:styleId="Heading3Char">
    <w:name w:val="Heading 3 Char"/>
    <w:basedOn w:val="DefaultParagraphFont"/>
    <w:link w:val="Heading3"/>
    <w:uiPriority w:val="99"/>
    <w:rsid w:val="00A26849"/>
    <w:rPr>
      <w:rFonts w:asciiTheme="majorHAnsi" w:eastAsiaTheme="majorEastAsia" w:hAnsiTheme="majorHAnsi" w:cstheme="majorBidi"/>
      <w:b/>
      <w:bCs/>
    </w:rPr>
  </w:style>
  <w:style w:type="character" w:customStyle="1" w:styleId="Heading4Char">
    <w:name w:val="Heading 4 Char"/>
    <w:basedOn w:val="DefaultParagraphFont"/>
    <w:link w:val="Heading4"/>
    <w:rsid w:val="008E26B4"/>
    <w:rPr>
      <w:rFonts w:asciiTheme="majorHAnsi" w:eastAsiaTheme="majorEastAsia" w:hAnsiTheme="majorHAnsi" w:cstheme="majorBidi"/>
      <w:b/>
      <w:bCs/>
      <w:i/>
      <w:iCs/>
      <w:color w:val="4F81BD" w:themeColor="accent1"/>
      <w:spacing w:val="10"/>
    </w:rPr>
  </w:style>
  <w:style w:type="character" w:customStyle="1" w:styleId="Heading5Char">
    <w:name w:val="Heading 5 Char"/>
    <w:basedOn w:val="DefaultParagraphFont"/>
    <w:link w:val="Heading5"/>
    <w:rsid w:val="008E26B4"/>
    <w:rPr>
      <w:rFonts w:asciiTheme="majorHAnsi" w:eastAsiaTheme="majorEastAsia" w:hAnsiTheme="majorHAnsi" w:cstheme="majorBidi"/>
      <w:color w:val="243F60" w:themeColor="accent1" w:themeShade="7F"/>
      <w:spacing w:val="10"/>
    </w:rPr>
  </w:style>
  <w:style w:type="character" w:customStyle="1" w:styleId="Heading6Char">
    <w:name w:val="Heading 6 Char"/>
    <w:basedOn w:val="DefaultParagraphFont"/>
    <w:link w:val="Heading6"/>
    <w:rsid w:val="008E26B4"/>
    <w:rPr>
      <w:rFonts w:ascii="Times New Roman" w:eastAsia="Times New Roman" w:hAnsi="Times New Roman" w:cs="Times New Roman"/>
      <w:b/>
      <w:bCs/>
      <w:spacing w:val="10"/>
      <w:lang w:eastAsia="en-GB"/>
    </w:rPr>
  </w:style>
  <w:style w:type="character" w:customStyle="1" w:styleId="Heading7Char">
    <w:name w:val="Heading 7 Char"/>
    <w:basedOn w:val="DefaultParagraphFont"/>
    <w:link w:val="Heading7"/>
    <w:rsid w:val="008E26B4"/>
    <w:rPr>
      <w:rFonts w:ascii="Times New Roman" w:eastAsia="Times New Roman" w:hAnsi="Times New Roman" w:cs="Times New Roman"/>
      <w:spacing w:val="10"/>
      <w:sz w:val="24"/>
      <w:szCs w:val="24"/>
      <w:lang w:eastAsia="en-GB"/>
    </w:rPr>
  </w:style>
  <w:style w:type="character" w:customStyle="1" w:styleId="Heading8Char">
    <w:name w:val="Heading 8 Char"/>
    <w:basedOn w:val="DefaultParagraphFont"/>
    <w:link w:val="Heading8"/>
    <w:rsid w:val="008E26B4"/>
    <w:rPr>
      <w:rFonts w:ascii="Times New Roman" w:eastAsia="Times New Roman" w:hAnsi="Times New Roman" w:cs="Times New Roman"/>
      <w:i/>
      <w:iCs/>
      <w:spacing w:val="10"/>
      <w:sz w:val="24"/>
      <w:szCs w:val="24"/>
      <w:lang w:eastAsia="en-GB"/>
    </w:rPr>
  </w:style>
  <w:style w:type="character" w:customStyle="1" w:styleId="Heading9Char">
    <w:name w:val="Heading 9 Char"/>
    <w:basedOn w:val="DefaultParagraphFont"/>
    <w:link w:val="Heading9"/>
    <w:rsid w:val="008E26B4"/>
    <w:rPr>
      <w:rFonts w:ascii="Arial" w:eastAsia="Times New Roman" w:hAnsi="Arial" w:cs="Arial"/>
      <w:spacing w:val="10"/>
      <w:lang w:eastAsia="en-GB"/>
    </w:rPr>
  </w:style>
  <w:style w:type="paragraph" w:styleId="Subtitle">
    <w:name w:val="Subtitle"/>
    <w:basedOn w:val="Normal"/>
    <w:next w:val="Normal"/>
    <w:link w:val="SubtitleChar"/>
    <w:uiPriority w:val="11"/>
    <w:qFormat/>
    <w:rsid w:val="008E26B4"/>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E26B4"/>
    <w:rPr>
      <w:rFonts w:asciiTheme="majorHAnsi" w:eastAsiaTheme="majorEastAsia" w:hAnsiTheme="majorHAnsi" w:cstheme="majorBidi"/>
      <w:i/>
      <w:iCs/>
      <w:spacing w:val="15"/>
      <w:sz w:val="24"/>
      <w:szCs w:val="24"/>
    </w:rPr>
  </w:style>
  <w:style w:type="numbering" w:customStyle="1" w:styleId="Headings">
    <w:name w:val="Headings"/>
    <w:uiPriority w:val="99"/>
    <w:rsid w:val="008E26B4"/>
    <w:pPr>
      <w:numPr>
        <w:numId w:val="1"/>
      </w:numPr>
    </w:pPr>
  </w:style>
  <w:style w:type="paragraph" w:styleId="FootnoteText">
    <w:name w:val="footnote text"/>
    <w:basedOn w:val="Normal"/>
    <w:link w:val="FootnoteTextChar"/>
    <w:uiPriority w:val="99"/>
    <w:semiHidden/>
    <w:rsid w:val="008E26B4"/>
    <w:pPr>
      <w:jc w:val="both"/>
    </w:pPr>
    <w:rPr>
      <w:rFonts w:ascii="Garamond" w:eastAsia="Times New Roman" w:hAnsi="Garamond" w:cs="Times New Roman"/>
      <w:spacing w:val="10"/>
      <w:sz w:val="18"/>
      <w:szCs w:val="20"/>
      <w:lang w:eastAsia="en-GB"/>
    </w:rPr>
  </w:style>
  <w:style w:type="character" w:customStyle="1" w:styleId="FootnoteTextChar">
    <w:name w:val="Footnote Text Char"/>
    <w:basedOn w:val="DefaultParagraphFont"/>
    <w:link w:val="FootnoteText"/>
    <w:uiPriority w:val="99"/>
    <w:semiHidden/>
    <w:rsid w:val="008E26B4"/>
    <w:rPr>
      <w:rFonts w:ascii="Garamond" w:eastAsia="Times New Roman" w:hAnsi="Garamond" w:cs="Times New Roman"/>
      <w:spacing w:val="10"/>
      <w:sz w:val="18"/>
      <w:szCs w:val="20"/>
      <w:lang w:eastAsia="en-GB"/>
    </w:rPr>
  </w:style>
  <w:style w:type="character" w:styleId="FootnoteReference">
    <w:name w:val="footnote reference"/>
    <w:basedOn w:val="DefaultParagraphFont"/>
    <w:uiPriority w:val="99"/>
    <w:semiHidden/>
    <w:rsid w:val="008E26B4"/>
    <w:rPr>
      <w:vertAlign w:val="superscript"/>
    </w:rPr>
  </w:style>
  <w:style w:type="paragraph" w:styleId="BalloonText">
    <w:name w:val="Balloon Text"/>
    <w:basedOn w:val="Normal"/>
    <w:link w:val="BalloonTextChar"/>
    <w:uiPriority w:val="99"/>
    <w:unhideWhenUsed/>
    <w:rsid w:val="008E26B4"/>
    <w:rPr>
      <w:rFonts w:ascii="Tahoma" w:hAnsi="Tahoma" w:cs="Tahoma"/>
      <w:spacing w:val="10"/>
      <w:sz w:val="16"/>
      <w:szCs w:val="16"/>
    </w:rPr>
  </w:style>
  <w:style w:type="character" w:customStyle="1" w:styleId="BalloonTextChar">
    <w:name w:val="Balloon Text Char"/>
    <w:basedOn w:val="DefaultParagraphFont"/>
    <w:link w:val="BalloonText"/>
    <w:uiPriority w:val="99"/>
    <w:rsid w:val="008E26B4"/>
    <w:rPr>
      <w:rFonts w:ascii="Tahoma" w:hAnsi="Tahoma" w:cs="Tahoma"/>
      <w:spacing w:val="10"/>
      <w:sz w:val="16"/>
      <w:szCs w:val="16"/>
    </w:rPr>
  </w:style>
  <w:style w:type="paragraph" w:styleId="Footer">
    <w:name w:val="footer"/>
    <w:basedOn w:val="Normal"/>
    <w:link w:val="FooterChar"/>
    <w:uiPriority w:val="99"/>
    <w:rsid w:val="008E26B4"/>
    <w:pPr>
      <w:tabs>
        <w:tab w:val="center" w:pos="4320"/>
        <w:tab w:val="right" w:pos="8640"/>
      </w:tabs>
      <w:spacing w:line="360" w:lineRule="auto"/>
      <w:jc w:val="both"/>
    </w:pPr>
    <w:rPr>
      <w:rFonts w:ascii="Garamond" w:eastAsia="Times New Roman" w:hAnsi="Garamond" w:cs="Times New Roman"/>
      <w:spacing w:val="10"/>
      <w:sz w:val="24"/>
      <w:szCs w:val="26"/>
      <w:lang w:eastAsia="en-GB"/>
    </w:rPr>
  </w:style>
  <w:style w:type="character" w:customStyle="1" w:styleId="FooterChar">
    <w:name w:val="Footer Char"/>
    <w:basedOn w:val="DefaultParagraphFont"/>
    <w:link w:val="Footer"/>
    <w:uiPriority w:val="99"/>
    <w:rsid w:val="008E26B4"/>
    <w:rPr>
      <w:rFonts w:ascii="Garamond" w:eastAsia="Times New Roman" w:hAnsi="Garamond" w:cs="Times New Roman"/>
      <w:spacing w:val="10"/>
      <w:sz w:val="24"/>
      <w:szCs w:val="26"/>
      <w:lang w:eastAsia="en-GB"/>
    </w:rPr>
  </w:style>
  <w:style w:type="character" w:styleId="PageNumber">
    <w:name w:val="page number"/>
    <w:basedOn w:val="DefaultParagraphFont"/>
    <w:uiPriority w:val="99"/>
    <w:rsid w:val="008E26B4"/>
  </w:style>
  <w:style w:type="paragraph" w:styleId="TOC1">
    <w:name w:val="toc 1"/>
    <w:basedOn w:val="Normal"/>
    <w:next w:val="Normal"/>
    <w:autoRedefine/>
    <w:uiPriority w:val="39"/>
    <w:rsid w:val="008E26B4"/>
    <w:pPr>
      <w:tabs>
        <w:tab w:val="left" w:pos="480"/>
        <w:tab w:val="left" w:pos="960"/>
        <w:tab w:val="right" w:leader="dot" w:pos="7913"/>
      </w:tabs>
      <w:spacing w:before="120" w:after="120" w:line="360" w:lineRule="auto"/>
    </w:pPr>
    <w:rPr>
      <w:rFonts w:ascii="Times New Roman" w:eastAsia="Times New Roman" w:hAnsi="Times New Roman" w:cs="Times New Roman"/>
      <w:b/>
      <w:bCs/>
      <w:caps/>
      <w:spacing w:val="10"/>
      <w:sz w:val="20"/>
      <w:szCs w:val="24"/>
      <w:lang w:eastAsia="en-GB"/>
    </w:rPr>
  </w:style>
  <w:style w:type="paragraph" w:styleId="TOC2">
    <w:name w:val="toc 2"/>
    <w:basedOn w:val="Normal"/>
    <w:next w:val="Normal"/>
    <w:autoRedefine/>
    <w:uiPriority w:val="39"/>
    <w:rsid w:val="008E26B4"/>
    <w:pPr>
      <w:tabs>
        <w:tab w:val="left" w:pos="960"/>
        <w:tab w:val="right" w:leader="dot" w:pos="7913"/>
      </w:tabs>
      <w:spacing w:line="312" w:lineRule="auto"/>
      <w:ind w:left="238"/>
      <w:jc w:val="both"/>
    </w:pPr>
    <w:rPr>
      <w:rFonts w:ascii="Times New Roman" w:eastAsia="Times New Roman" w:hAnsi="Times New Roman" w:cs="Times New Roman"/>
      <w:smallCaps/>
      <w:spacing w:val="10"/>
      <w:sz w:val="20"/>
      <w:szCs w:val="24"/>
      <w:lang w:eastAsia="en-GB"/>
    </w:rPr>
  </w:style>
  <w:style w:type="paragraph" w:styleId="TOC3">
    <w:name w:val="toc 3"/>
    <w:basedOn w:val="Normal"/>
    <w:next w:val="Normal"/>
    <w:autoRedefine/>
    <w:uiPriority w:val="39"/>
    <w:rsid w:val="008E26B4"/>
    <w:pPr>
      <w:spacing w:line="360" w:lineRule="auto"/>
      <w:ind w:left="480"/>
      <w:jc w:val="both"/>
    </w:pPr>
    <w:rPr>
      <w:rFonts w:ascii="Times New Roman" w:eastAsia="Times New Roman" w:hAnsi="Times New Roman" w:cs="Times New Roman"/>
      <w:i/>
      <w:iCs/>
      <w:spacing w:val="10"/>
      <w:sz w:val="20"/>
      <w:szCs w:val="24"/>
      <w:lang w:eastAsia="en-GB"/>
    </w:rPr>
  </w:style>
  <w:style w:type="paragraph" w:styleId="TOC4">
    <w:name w:val="toc 4"/>
    <w:basedOn w:val="Normal"/>
    <w:next w:val="Normal"/>
    <w:autoRedefine/>
    <w:uiPriority w:val="39"/>
    <w:rsid w:val="008E26B4"/>
    <w:pPr>
      <w:spacing w:line="360" w:lineRule="auto"/>
      <w:ind w:left="720"/>
      <w:jc w:val="both"/>
    </w:pPr>
    <w:rPr>
      <w:rFonts w:ascii="Times New Roman" w:eastAsia="Times New Roman" w:hAnsi="Times New Roman" w:cs="Times New Roman"/>
      <w:spacing w:val="10"/>
      <w:sz w:val="18"/>
      <w:szCs w:val="21"/>
      <w:lang w:eastAsia="en-GB"/>
    </w:rPr>
  </w:style>
  <w:style w:type="paragraph" w:styleId="TOC5">
    <w:name w:val="toc 5"/>
    <w:basedOn w:val="Normal"/>
    <w:next w:val="Normal"/>
    <w:autoRedefine/>
    <w:uiPriority w:val="39"/>
    <w:rsid w:val="008E26B4"/>
    <w:pPr>
      <w:spacing w:line="360" w:lineRule="auto"/>
      <w:ind w:left="960"/>
      <w:jc w:val="both"/>
    </w:pPr>
    <w:rPr>
      <w:rFonts w:ascii="Times New Roman" w:eastAsia="Times New Roman" w:hAnsi="Times New Roman" w:cs="Times New Roman"/>
      <w:spacing w:val="10"/>
      <w:sz w:val="18"/>
      <w:szCs w:val="21"/>
      <w:lang w:eastAsia="en-GB"/>
    </w:rPr>
  </w:style>
  <w:style w:type="paragraph" w:styleId="TOC6">
    <w:name w:val="toc 6"/>
    <w:basedOn w:val="Normal"/>
    <w:next w:val="Normal"/>
    <w:autoRedefine/>
    <w:uiPriority w:val="39"/>
    <w:rsid w:val="008E26B4"/>
    <w:pPr>
      <w:spacing w:line="360" w:lineRule="auto"/>
      <w:ind w:left="1200"/>
      <w:jc w:val="both"/>
    </w:pPr>
    <w:rPr>
      <w:rFonts w:ascii="Times New Roman" w:eastAsia="Times New Roman" w:hAnsi="Times New Roman" w:cs="Times New Roman"/>
      <w:spacing w:val="10"/>
      <w:sz w:val="18"/>
      <w:szCs w:val="21"/>
      <w:lang w:eastAsia="en-GB"/>
    </w:rPr>
  </w:style>
  <w:style w:type="paragraph" w:styleId="TOC7">
    <w:name w:val="toc 7"/>
    <w:basedOn w:val="Normal"/>
    <w:next w:val="Normal"/>
    <w:autoRedefine/>
    <w:uiPriority w:val="39"/>
    <w:rsid w:val="008E26B4"/>
    <w:pPr>
      <w:spacing w:line="360" w:lineRule="auto"/>
      <w:ind w:left="1440"/>
      <w:jc w:val="both"/>
    </w:pPr>
    <w:rPr>
      <w:rFonts w:ascii="Times New Roman" w:eastAsia="Times New Roman" w:hAnsi="Times New Roman" w:cs="Times New Roman"/>
      <w:spacing w:val="10"/>
      <w:sz w:val="18"/>
      <w:szCs w:val="21"/>
      <w:lang w:eastAsia="en-GB"/>
    </w:rPr>
  </w:style>
  <w:style w:type="paragraph" w:styleId="TOC8">
    <w:name w:val="toc 8"/>
    <w:basedOn w:val="Normal"/>
    <w:next w:val="Normal"/>
    <w:autoRedefine/>
    <w:uiPriority w:val="39"/>
    <w:rsid w:val="008E26B4"/>
    <w:pPr>
      <w:spacing w:line="360" w:lineRule="auto"/>
      <w:ind w:left="1680"/>
      <w:jc w:val="both"/>
    </w:pPr>
    <w:rPr>
      <w:rFonts w:ascii="Times New Roman" w:eastAsia="Times New Roman" w:hAnsi="Times New Roman" w:cs="Times New Roman"/>
      <w:spacing w:val="10"/>
      <w:sz w:val="18"/>
      <w:szCs w:val="21"/>
      <w:lang w:eastAsia="en-GB"/>
    </w:rPr>
  </w:style>
  <w:style w:type="paragraph" w:styleId="TOC9">
    <w:name w:val="toc 9"/>
    <w:basedOn w:val="Normal"/>
    <w:next w:val="Normal"/>
    <w:autoRedefine/>
    <w:uiPriority w:val="39"/>
    <w:rsid w:val="008E26B4"/>
    <w:pPr>
      <w:spacing w:line="360" w:lineRule="auto"/>
      <w:ind w:left="1920"/>
      <w:jc w:val="both"/>
    </w:pPr>
    <w:rPr>
      <w:rFonts w:ascii="Times New Roman" w:eastAsia="Times New Roman" w:hAnsi="Times New Roman" w:cs="Times New Roman"/>
      <w:spacing w:val="10"/>
      <w:sz w:val="18"/>
      <w:szCs w:val="21"/>
      <w:lang w:eastAsia="en-GB"/>
    </w:rPr>
  </w:style>
  <w:style w:type="paragraph" w:styleId="ListParagraph">
    <w:name w:val="List Paragraph"/>
    <w:basedOn w:val="Normal"/>
    <w:uiPriority w:val="34"/>
    <w:qFormat/>
    <w:rsid w:val="008E26B4"/>
    <w:pPr>
      <w:spacing w:line="360" w:lineRule="auto"/>
      <w:ind w:left="720"/>
      <w:jc w:val="both"/>
    </w:pPr>
    <w:rPr>
      <w:rFonts w:ascii="Garamond" w:eastAsia="Times New Roman" w:hAnsi="Garamond" w:cs="Times New Roman"/>
      <w:spacing w:val="10"/>
      <w:sz w:val="24"/>
      <w:szCs w:val="26"/>
      <w:lang w:eastAsia="en-GB"/>
    </w:rPr>
  </w:style>
  <w:style w:type="paragraph" w:styleId="Header">
    <w:name w:val="header"/>
    <w:basedOn w:val="Normal"/>
    <w:link w:val="HeaderChar"/>
    <w:uiPriority w:val="99"/>
    <w:rsid w:val="008E26B4"/>
    <w:pPr>
      <w:tabs>
        <w:tab w:val="center" w:pos="4513"/>
        <w:tab w:val="right" w:pos="9026"/>
      </w:tabs>
      <w:spacing w:line="360" w:lineRule="auto"/>
      <w:jc w:val="both"/>
    </w:pPr>
    <w:rPr>
      <w:rFonts w:ascii="Garamond" w:eastAsia="Times New Roman" w:hAnsi="Garamond" w:cs="Times New Roman"/>
      <w:spacing w:val="10"/>
      <w:sz w:val="24"/>
      <w:szCs w:val="26"/>
      <w:lang w:eastAsia="en-GB"/>
    </w:rPr>
  </w:style>
  <w:style w:type="character" w:customStyle="1" w:styleId="HeaderChar">
    <w:name w:val="Header Char"/>
    <w:basedOn w:val="DefaultParagraphFont"/>
    <w:link w:val="Header"/>
    <w:uiPriority w:val="99"/>
    <w:rsid w:val="008E26B4"/>
    <w:rPr>
      <w:rFonts w:ascii="Garamond" w:eastAsia="Times New Roman" w:hAnsi="Garamond" w:cs="Times New Roman"/>
      <w:spacing w:val="10"/>
      <w:sz w:val="24"/>
      <w:szCs w:val="26"/>
      <w:lang w:eastAsia="en-GB"/>
    </w:rPr>
  </w:style>
  <w:style w:type="character" w:customStyle="1" w:styleId="CharChar3">
    <w:name w:val="Char Char3"/>
    <w:basedOn w:val="DefaultParagraphFont"/>
    <w:rsid w:val="008E26B4"/>
    <w:rPr>
      <w:rFonts w:ascii="Garamond" w:hAnsi="Garamond"/>
      <w:spacing w:val="10"/>
      <w:sz w:val="24"/>
      <w:szCs w:val="26"/>
    </w:rPr>
  </w:style>
  <w:style w:type="paragraph" w:styleId="EndnoteText">
    <w:name w:val="endnote text"/>
    <w:basedOn w:val="Normal"/>
    <w:link w:val="EndnoteTextChar"/>
    <w:semiHidden/>
    <w:rsid w:val="008E26B4"/>
    <w:pPr>
      <w:spacing w:line="360" w:lineRule="auto"/>
      <w:jc w:val="both"/>
    </w:pPr>
    <w:rPr>
      <w:rFonts w:ascii="Garamond" w:eastAsia="Times New Roman" w:hAnsi="Garamond" w:cs="Times New Roman"/>
      <w:spacing w:val="10"/>
      <w:sz w:val="20"/>
      <w:szCs w:val="20"/>
      <w:lang w:eastAsia="en-GB"/>
    </w:rPr>
  </w:style>
  <w:style w:type="character" w:customStyle="1" w:styleId="EndnoteTextChar">
    <w:name w:val="Endnote Text Char"/>
    <w:basedOn w:val="DefaultParagraphFont"/>
    <w:link w:val="EndnoteText"/>
    <w:semiHidden/>
    <w:rsid w:val="008E26B4"/>
    <w:rPr>
      <w:rFonts w:ascii="Garamond" w:eastAsia="Times New Roman" w:hAnsi="Garamond" w:cs="Times New Roman"/>
      <w:spacing w:val="10"/>
      <w:sz w:val="20"/>
      <w:szCs w:val="20"/>
      <w:lang w:eastAsia="en-GB"/>
    </w:rPr>
  </w:style>
  <w:style w:type="character" w:customStyle="1" w:styleId="CharChar2">
    <w:name w:val="Char Char2"/>
    <w:basedOn w:val="DefaultParagraphFont"/>
    <w:rsid w:val="008E26B4"/>
    <w:rPr>
      <w:rFonts w:ascii="Garamond" w:hAnsi="Garamond"/>
      <w:spacing w:val="10"/>
    </w:rPr>
  </w:style>
  <w:style w:type="character" w:styleId="EndnoteReference">
    <w:name w:val="endnote reference"/>
    <w:basedOn w:val="DefaultParagraphFont"/>
    <w:semiHidden/>
    <w:rsid w:val="008E26B4"/>
    <w:rPr>
      <w:vertAlign w:val="superscript"/>
    </w:rPr>
  </w:style>
  <w:style w:type="paragraph" w:styleId="DocumentMap">
    <w:name w:val="Document Map"/>
    <w:basedOn w:val="Normal"/>
    <w:link w:val="DocumentMapChar"/>
    <w:uiPriority w:val="99"/>
    <w:semiHidden/>
    <w:rsid w:val="008E26B4"/>
    <w:pPr>
      <w:spacing w:line="360" w:lineRule="auto"/>
      <w:jc w:val="both"/>
    </w:pPr>
    <w:rPr>
      <w:rFonts w:ascii="Tahoma" w:eastAsia="Times New Roman" w:hAnsi="Tahoma" w:cs="Tahoma"/>
      <w:spacing w:val="10"/>
      <w:sz w:val="16"/>
      <w:szCs w:val="16"/>
      <w:lang w:eastAsia="en-GB"/>
    </w:rPr>
  </w:style>
  <w:style w:type="character" w:customStyle="1" w:styleId="DocumentMapChar">
    <w:name w:val="Document Map Char"/>
    <w:basedOn w:val="DefaultParagraphFont"/>
    <w:link w:val="DocumentMap"/>
    <w:uiPriority w:val="99"/>
    <w:semiHidden/>
    <w:rsid w:val="008E26B4"/>
    <w:rPr>
      <w:rFonts w:ascii="Tahoma" w:eastAsia="Times New Roman" w:hAnsi="Tahoma" w:cs="Tahoma"/>
      <w:spacing w:val="10"/>
      <w:sz w:val="16"/>
      <w:szCs w:val="16"/>
      <w:lang w:eastAsia="en-GB"/>
    </w:rPr>
  </w:style>
  <w:style w:type="character" w:customStyle="1" w:styleId="CharChar1">
    <w:name w:val="Char Char1"/>
    <w:basedOn w:val="DefaultParagraphFont"/>
    <w:rsid w:val="008E26B4"/>
    <w:rPr>
      <w:rFonts w:ascii="Tahoma" w:hAnsi="Tahoma" w:cs="Tahoma"/>
      <w:spacing w:val="10"/>
      <w:sz w:val="16"/>
      <w:szCs w:val="16"/>
    </w:rPr>
  </w:style>
  <w:style w:type="character" w:customStyle="1" w:styleId="CharChar">
    <w:name w:val="Char Char"/>
    <w:basedOn w:val="DefaultParagraphFont"/>
    <w:rsid w:val="008E26B4"/>
    <w:rPr>
      <w:rFonts w:ascii="Tahoma" w:hAnsi="Tahoma" w:cs="Tahoma"/>
      <w:spacing w:val="10"/>
      <w:sz w:val="16"/>
      <w:szCs w:val="16"/>
    </w:rPr>
  </w:style>
  <w:style w:type="paragraph" w:styleId="Quote">
    <w:name w:val="Quote"/>
    <w:basedOn w:val="Normal"/>
    <w:next w:val="Normal"/>
    <w:link w:val="QuoteChar"/>
    <w:qFormat/>
    <w:rsid w:val="008E26B4"/>
    <w:pPr>
      <w:spacing w:line="360" w:lineRule="auto"/>
      <w:ind w:left="340" w:right="340"/>
      <w:jc w:val="both"/>
    </w:pPr>
    <w:rPr>
      <w:rFonts w:ascii="Garamond" w:eastAsia="Times New Roman" w:hAnsi="Garamond" w:cs="Times New Roman"/>
      <w:iCs/>
      <w:color w:val="000000"/>
      <w:spacing w:val="10"/>
      <w:szCs w:val="26"/>
      <w:lang w:eastAsia="en-GB"/>
    </w:rPr>
  </w:style>
  <w:style w:type="character" w:customStyle="1" w:styleId="QuoteChar">
    <w:name w:val="Quote Char"/>
    <w:basedOn w:val="DefaultParagraphFont"/>
    <w:link w:val="Quote"/>
    <w:rsid w:val="008E26B4"/>
    <w:rPr>
      <w:rFonts w:ascii="Garamond" w:eastAsia="Times New Roman" w:hAnsi="Garamond" w:cs="Times New Roman"/>
      <w:iCs/>
      <w:color w:val="000000"/>
      <w:spacing w:val="10"/>
      <w:szCs w:val="26"/>
      <w:lang w:eastAsia="en-GB"/>
    </w:rPr>
  </w:style>
  <w:style w:type="paragraph" w:customStyle="1" w:styleId="Tablefigureheading">
    <w:name w:val="Table/figure heading"/>
    <w:basedOn w:val="Normal"/>
    <w:next w:val="Normal"/>
    <w:qFormat/>
    <w:rsid w:val="008E26B4"/>
    <w:pPr>
      <w:spacing w:before="480" w:after="240" w:line="360" w:lineRule="auto"/>
      <w:jc w:val="both"/>
    </w:pPr>
    <w:rPr>
      <w:rFonts w:ascii="Times New Roman" w:eastAsia="SimSun" w:hAnsi="Times New Roman" w:cs="Times New Roman"/>
      <w:b/>
      <w:spacing w:val="10"/>
      <w:sz w:val="24"/>
      <w:szCs w:val="24"/>
      <w:lang w:eastAsia="zh-CN"/>
    </w:rPr>
  </w:style>
  <w:style w:type="paragraph" w:styleId="TableofFigures">
    <w:name w:val="table of figures"/>
    <w:basedOn w:val="Normal"/>
    <w:next w:val="Normal"/>
    <w:uiPriority w:val="99"/>
    <w:rsid w:val="008E26B4"/>
    <w:pPr>
      <w:spacing w:line="360" w:lineRule="auto"/>
      <w:jc w:val="both"/>
    </w:pPr>
    <w:rPr>
      <w:rFonts w:ascii="Garamond" w:eastAsia="Times New Roman" w:hAnsi="Garamond" w:cs="Times New Roman"/>
      <w:spacing w:val="10"/>
      <w:sz w:val="24"/>
      <w:szCs w:val="26"/>
      <w:lang w:eastAsia="en-GB"/>
    </w:rPr>
  </w:style>
  <w:style w:type="character" w:customStyle="1" w:styleId="CharChar4">
    <w:name w:val="Char Char4"/>
    <w:basedOn w:val="DefaultParagraphFont"/>
    <w:rsid w:val="008E26B4"/>
    <w:rPr>
      <w:rFonts w:ascii="Garamond" w:hAnsi="Garamond"/>
      <w:spacing w:val="10"/>
      <w:sz w:val="24"/>
      <w:szCs w:val="26"/>
    </w:rPr>
  </w:style>
  <w:style w:type="paragraph" w:customStyle="1" w:styleId="Firstparagraph">
    <w:name w:val="First paragraph"/>
    <w:basedOn w:val="Normal"/>
    <w:next w:val="Normal"/>
    <w:uiPriority w:val="99"/>
    <w:rsid w:val="008E26B4"/>
    <w:pPr>
      <w:spacing w:line="312" w:lineRule="auto"/>
      <w:jc w:val="both"/>
    </w:pPr>
    <w:rPr>
      <w:rFonts w:ascii="cmr10" w:eastAsia="Times New Roman" w:hAnsi="cmr10" w:cs="Times New Roman"/>
      <w:spacing w:val="10"/>
      <w:sz w:val="21"/>
      <w:szCs w:val="24"/>
    </w:rPr>
  </w:style>
  <w:style w:type="table" w:styleId="TableGrid">
    <w:name w:val="Table Grid"/>
    <w:basedOn w:val="TableNormal"/>
    <w:uiPriority w:val="99"/>
    <w:rsid w:val="008E26B4"/>
    <w:rPr>
      <w:rFonts w:ascii="cmr10" w:eastAsia="Times New Roman" w:hAnsi="cmr10"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E26B4"/>
    <w:rPr>
      <w:color w:val="808080"/>
    </w:rPr>
  </w:style>
  <w:style w:type="character" w:styleId="FollowedHyperlink">
    <w:name w:val="FollowedHyperlink"/>
    <w:basedOn w:val="DefaultParagraphFont"/>
    <w:uiPriority w:val="99"/>
    <w:unhideWhenUsed/>
    <w:rsid w:val="008E26B4"/>
    <w:rPr>
      <w:color w:val="800080"/>
      <w:u w:val="single"/>
    </w:rPr>
  </w:style>
  <w:style w:type="paragraph" w:customStyle="1" w:styleId="xl130">
    <w:name w:val="xl130"/>
    <w:basedOn w:val="Normal"/>
    <w:rsid w:val="008E26B4"/>
    <w:pPr>
      <w:spacing w:before="100" w:beforeAutospacing="1" w:after="100" w:afterAutospacing="1"/>
      <w:textAlignment w:val="center"/>
    </w:pPr>
    <w:rPr>
      <w:rFonts w:ascii="Calibri" w:eastAsia="Times New Roman" w:hAnsi="Calibri" w:cs="Calibri"/>
      <w:b/>
      <w:bCs/>
      <w:spacing w:val="10"/>
      <w:sz w:val="12"/>
      <w:szCs w:val="12"/>
      <w:lang w:eastAsia="en-GB"/>
    </w:rPr>
  </w:style>
  <w:style w:type="paragraph" w:customStyle="1" w:styleId="xl131">
    <w:name w:val="xl131"/>
    <w:basedOn w:val="Normal"/>
    <w:rsid w:val="008E26B4"/>
    <w:pP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32">
    <w:name w:val="xl132"/>
    <w:basedOn w:val="Normal"/>
    <w:rsid w:val="008E26B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3">
    <w:name w:val="xl133"/>
    <w:basedOn w:val="Normal"/>
    <w:rsid w:val="008E26B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4">
    <w:name w:val="xl134"/>
    <w:basedOn w:val="Normal"/>
    <w:rsid w:val="008E26B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5">
    <w:name w:val="xl135"/>
    <w:basedOn w:val="Normal"/>
    <w:rsid w:val="008E26B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6">
    <w:name w:val="xl136"/>
    <w:basedOn w:val="Normal"/>
    <w:rsid w:val="008E26B4"/>
    <w:pP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7">
    <w:name w:val="xl137"/>
    <w:basedOn w:val="Normal"/>
    <w:rsid w:val="008E26B4"/>
    <w:pPr>
      <w:spacing w:before="100" w:beforeAutospacing="1" w:after="100" w:afterAutospacing="1"/>
      <w:jc w:val="center"/>
      <w:textAlignment w:val="center"/>
    </w:pPr>
    <w:rPr>
      <w:rFonts w:ascii="Calibri" w:eastAsia="Times New Roman" w:hAnsi="Calibri" w:cs="Calibri"/>
      <w:b/>
      <w:bCs/>
      <w:spacing w:val="10"/>
      <w:sz w:val="12"/>
      <w:szCs w:val="12"/>
      <w:lang w:eastAsia="en-GB"/>
    </w:rPr>
  </w:style>
  <w:style w:type="paragraph" w:customStyle="1" w:styleId="xl138">
    <w:name w:val="xl138"/>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39">
    <w:name w:val="xl139"/>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0">
    <w:name w:val="xl140"/>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1">
    <w:name w:val="xl141"/>
    <w:basedOn w:val="Normal"/>
    <w:rsid w:val="008E26B4"/>
    <w:pPr>
      <w:pBdr>
        <w:lef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2">
    <w:name w:val="xl142"/>
    <w:basedOn w:val="Normal"/>
    <w:rsid w:val="008E26B4"/>
    <w:pPr>
      <w:pBdr>
        <w:bottom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3">
    <w:name w:val="xl143"/>
    <w:basedOn w:val="Normal"/>
    <w:rsid w:val="008E26B4"/>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4">
    <w:name w:val="xl144"/>
    <w:basedOn w:val="Normal"/>
    <w:rsid w:val="008E26B4"/>
    <w:pPr>
      <w:pBdr>
        <w:bottom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45">
    <w:name w:val="xl145"/>
    <w:basedOn w:val="Normal"/>
    <w:rsid w:val="008E26B4"/>
    <w:pPr>
      <w:pBdr>
        <w:top w:val="single" w:sz="4" w:space="0" w:color="auto"/>
        <w:left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6">
    <w:name w:val="xl146"/>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7">
    <w:name w:val="xl147"/>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8">
    <w:name w:val="xl148"/>
    <w:basedOn w:val="Normal"/>
    <w:rsid w:val="008E26B4"/>
    <w:pPr>
      <w:pBdr>
        <w:top w:val="single" w:sz="4" w:space="0" w:color="auto"/>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49">
    <w:name w:val="xl149"/>
    <w:basedOn w:val="Normal"/>
    <w:rsid w:val="008E26B4"/>
    <w:pPr>
      <w:pBdr>
        <w:top w:val="single" w:sz="4" w:space="0" w:color="auto"/>
        <w:left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0">
    <w:name w:val="xl150"/>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1">
    <w:name w:val="xl151"/>
    <w:basedOn w:val="Normal"/>
    <w:rsid w:val="008E26B4"/>
    <w:pPr>
      <w:pBdr>
        <w:top w:val="single"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52">
    <w:name w:val="xl152"/>
    <w:basedOn w:val="Normal"/>
    <w:rsid w:val="008E26B4"/>
    <w:pPr>
      <w:pBdr>
        <w:top w:val="single" w:sz="4" w:space="0" w:color="auto"/>
        <w:left w:val="dashed" w:sz="4" w:space="0" w:color="auto"/>
        <w:bottom w:val="dashed"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3">
    <w:name w:val="xl153"/>
    <w:basedOn w:val="Normal"/>
    <w:rsid w:val="008E26B4"/>
    <w:pPr>
      <w:pBdr>
        <w:top w:val="single"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4">
    <w:name w:val="xl154"/>
    <w:basedOn w:val="Normal"/>
    <w:rsid w:val="008E26B4"/>
    <w:pPr>
      <w:pBdr>
        <w:top w:val="single" w:sz="4" w:space="0" w:color="auto"/>
        <w:left w:val="dashed" w:sz="4" w:space="0" w:color="auto"/>
        <w:bottom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5">
    <w:name w:val="xl155"/>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56">
    <w:name w:val="xl156"/>
    <w:basedOn w:val="Normal"/>
    <w:rsid w:val="008E26B4"/>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7">
    <w:name w:val="xl157"/>
    <w:basedOn w:val="Normal"/>
    <w:rsid w:val="008E26B4"/>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8">
    <w:name w:val="xl158"/>
    <w:basedOn w:val="Normal"/>
    <w:rsid w:val="008E26B4"/>
    <w:pPr>
      <w:pBdr>
        <w:top w:val="dashed" w:sz="4" w:space="0" w:color="auto"/>
        <w:left w:val="dashed" w:sz="4" w:space="0" w:color="auto"/>
        <w:bottom w:val="dashed"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59">
    <w:name w:val="xl159"/>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0">
    <w:name w:val="xl160"/>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1">
    <w:name w:val="xl161"/>
    <w:basedOn w:val="Normal"/>
    <w:rsid w:val="008E26B4"/>
    <w:pPr>
      <w:pBdr>
        <w:top w:val="dashed" w:sz="4" w:space="0" w:color="auto"/>
        <w:left w:val="dashed" w:sz="4" w:space="0" w:color="auto"/>
        <w:bottom w:val="dashed" w:sz="4" w:space="0" w:color="auto"/>
        <w:right w:val="dashed" w:sz="4" w:space="0" w:color="auto"/>
      </w:pBdr>
      <w:shd w:val="clear" w:color="000000" w:fill="FFFF9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2">
    <w:name w:val="xl162"/>
    <w:basedOn w:val="Normal"/>
    <w:rsid w:val="008E26B4"/>
    <w:pPr>
      <w:pBdr>
        <w:top w:val="dashed" w:sz="4" w:space="0" w:color="auto"/>
        <w:left w:val="single" w:sz="4" w:space="0" w:color="auto"/>
        <w:bottom w:val="dashed"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3">
    <w:name w:val="xl163"/>
    <w:basedOn w:val="Normal"/>
    <w:rsid w:val="008E26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4">
    <w:name w:val="xl164"/>
    <w:basedOn w:val="Normal"/>
    <w:rsid w:val="008E26B4"/>
    <w:pPr>
      <w:pBdr>
        <w:top w:val="dashed" w:sz="4" w:space="0" w:color="auto"/>
        <w:left w:val="single" w:sz="4" w:space="0" w:color="auto"/>
        <w:bottom w:val="single"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5">
    <w:name w:val="xl165"/>
    <w:basedOn w:val="Normal"/>
    <w:rsid w:val="008E26B4"/>
    <w:pPr>
      <w:pBdr>
        <w:top w:val="dashed" w:sz="4" w:space="0" w:color="auto"/>
        <w:left w:val="dashed" w:sz="4" w:space="0" w:color="auto"/>
        <w:bottom w:val="single" w:sz="4" w:space="0" w:color="auto"/>
        <w:right w:val="dashed" w:sz="4" w:space="0" w:color="auto"/>
      </w:pBdr>
      <w:shd w:val="clear" w:color="000000" w:fill="D9D9D9"/>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6">
    <w:name w:val="xl166"/>
    <w:basedOn w:val="Normal"/>
    <w:rsid w:val="008E26B4"/>
    <w:pPr>
      <w:pBdr>
        <w:top w:val="dashed" w:sz="4"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7">
    <w:name w:val="xl167"/>
    <w:basedOn w:val="Normal"/>
    <w:rsid w:val="008E26B4"/>
    <w:pPr>
      <w:pBdr>
        <w:top w:val="dashed" w:sz="4" w:space="0" w:color="auto"/>
        <w:left w:val="dashed"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68">
    <w:name w:val="xl168"/>
    <w:basedOn w:val="Normal"/>
    <w:rsid w:val="008E26B4"/>
    <w:pPr>
      <w:pBdr>
        <w:top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69">
    <w:name w:val="xl169"/>
    <w:basedOn w:val="Normal"/>
    <w:rsid w:val="008E26B4"/>
    <w:pPr>
      <w:pBdr>
        <w:top w:val="single" w:sz="4" w:space="0" w:color="auto"/>
        <w:right w:val="single"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70">
    <w:name w:val="xl170"/>
    <w:basedOn w:val="Normal"/>
    <w:rsid w:val="008E26B4"/>
    <w:pPr>
      <w:pBdr>
        <w:left w:val="single" w:sz="4" w:space="0" w:color="auto"/>
        <w:bottom w:val="single" w:sz="4" w:space="0" w:color="auto"/>
        <w:right w:val="dashed" w:sz="4" w:space="0" w:color="auto"/>
      </w:pBdr>
      <w:spacing w:before="100" w:beforeAutospacing="1" w:after="100" w:afterAutospacing="1"/>
      <w:textAlignment w:val="center"/>
    </w:pPr>
    <w:rPr>
      <w:rFonts w:ascii="Calibri" w:eastAsia="Times New Roman" w:hAnsi="Calibri" w:cs="Calibri"/>
      <w:spacing w:val="10"/>
      <w:sz w:val="12"/>
      <w:szCs w:val="12"/>
      <w:lang w:eastAsia="en-GB"/>
    </w:rPr>
  </w:style>
  <w:style w:type="paragraph" w:customStyle="1" w:styleId="xl171">
    <w:name w:val="xl171"/>
    <w:basedOn w:val="Normal"/>
    <w:rsid w:val="008E26B4"/>
    <w:pPr>
      <w:pBdr>
        <w:left w:val="dashed" w:sz="4" w:space="0" w:color="auto"/>
        <w:bottom w:val="single"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2">
    <w:name w:val="xl172"/>
    <w:basedOn w:val="Normal"/>
    <w:rsid w:val="008E26B4"/>
    <w:pPr>
      <w:pBdr>
        <w:left w:val="dashed"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3">
    <w:name w:val="xl173"/>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4">
    <w:name w:val="xl174"/>
    <w:basedOn w:val="Normal"/>
    <w:rsid w:val="008E26B4"/>
    <w:pPr>
      <w:pBdr>
        <w:top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5">
    <w:name w:val="xl175"/>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6">
    <w:name w:val="xl176"/>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7">
    <w:name w:val="xl177"/>
    <w:basedOn w:val="Normal"/>
    <w:rsid w:val="008E26B4"/>
    <w:pPr>
      <w:pBdr>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8">
    <w:name w:val="xl178"/>
    <w:basedOn w:val="Normal"/>
    <w:rsid w:val="008E26B4"/>
    <w:pPr>
      <w:pBdr>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79">
    <w:name w:val="xl179"/>
    <w:basedOn w:val="Normal"/>
    <w:rsid w:val="008E26B4"/>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0">
    <w:name w:val="xl180"/>
    <w:basedOn w:val="Normal"/>
    <w:rsid w:val="008E26B4"/>
    <w:pPr>
      <w:pBdr>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1">
    <w:name w:val="xl181"/>
    <w:basedOn w:val="Normal"/>
    <w:rsid w:val="008E26B4"/>
    <w:pP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2">
    <w:name w:val="xl182"/>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3">
    <w:name w:val="xl183"/>
    <w:basedOn w:val="Normal"/>
    <w:rsid w:val="008E26B4"/>
    <w:pPr>
      <w:pBdr>
        <w:top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4">
    <w:name w:val="xl184"/>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5">
    <w:name w:val="xl185"/>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6">
    <w:name w:val="xl186"/>
    <w:basedOn w:val="Normal"/>
    <w:rsid w:val="008E26B4"/>
    <w:pPr>
      <w:pBdr>
        <w:top w:val="single" w:sz="4" w:space="0" w:color="auto"/>
        <w:lef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7">
    <w:name w:val="xl187"/>
    <w:basedOn w:val="Normal"/>
    <w:rsid w:val="008E26B4"/>
    <w:pPr>
      <w:pBdr>
        <w:top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8">
    <w:name w:val="xl188"/>
    <w:basedOn w:val="Normal"/>
    <w:rsid w:val="008E26B4"/>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89">
    <w:name w:val="xl189"/>
    <w:basedOn w:val="Normal"/>
    <w:rsid w:val="008E26B4"/>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customStyle="1" w:styleId="xl190">
    <w:name w:val="xl190"/>
    <w:basedOn w:val="Normal"/>
    <w:rsid w:val="008E26B4"/>
    <w:pPr>
      <w:pBdr>
        <w:left w:val="dashed" w:sz="4" w:space="0" w:color="auto"/>
        <w:right w:val="dashed" w:sz="4" w:space="0" w:color="auto"/>
      </w:pBdr>
      <w:spacing w:before="100" w:beforeAutospacing="1" w:after="100" w:afterAutospacing="1"/>
      <w:jc w:val="center"/>
      <w:textAlignment w:val="center"/>
    </w:pPr>
    <w:rPr>
      <w:rFonts w:ascii="Calibri" w:eastAsia="Times New Roman" w:hAnsi="Calibri" w:cs="Calibri"/>
      <w:spacing w:val="10"/>
      <w:sz w:val="12"/>
      <w:szCs w:val="12"/>
      <w:lang w:eastAsia="en-GB"/>
    </w:rPr>
  </w:style>
  <w:style w:type="paragraph" w:styleId="NormalWeb">
    <w:name w:val="Normal (Web)"/>
    <w:basedOn w:val="Normal"/>
    <w:uiPriority w:val="99"/>
    <w:unhideWhenUsed/>
    <w:rsid w:val="008E26B4"/>
    <w:pPr>
      <w:spacing w:before="100" w:beforeAutospacing="1" w:after="100" w:afterAutospacing="1"/>
    </w:pPr>
    <w:rPr>
      <w:rFonts w:ascii="Times New Roman" w:eastAsia="Times New Roman" w:hAnsi="Times New Roman" w:cs="Times New Roman"/>
      <w:spacing w:val="10"/>
      <w:sz w:val="24"/>
      <w:szCs w:val="24"/>
      <w:lang w:eastAsia="en-GB"/>
    </w:rPr>
  </w:style>
  <w:style w:type="character" w:styleId="CommentReference">
    <w:name w:val="annotation reference"/>
    <w:basedOn w:val="DefaultParagraphFont"/>
    <w:uiPriority w:val="99"/>
    <w:semiHidden/>
    <w:unhideWhenUsed/>
    <w:rsid w:val="008E26B4"/>
    <w:rPr>
      <w:sz w:val="16"/>
      <w:szCs w:val="16"/>
    </w:rPr>
  </w:style>
  <w:style w:type="paragraph" w:styleId="CommentText">
    <w:name w:val="annotation text"/>
    <w:basedOn w:val="Normal"/>
    <w:link w:val="CommentTextChar"/>
    <w:uiPriority w:val="99"/>
    <w:semiHidden/>
    <w:unhideWhenUsed/>
    <w:rsid w:val="008E26B4"/>
    <w:rPr>
      <w:rFonts w:ascii="Garamond" w:hAnsi="Garamond"/>
      <w:spacing w:val="10"/>
      <w:sz w:val="20"/>
      <w:szCs w:val="20"/>
    </w:rPr>
  </w:style>
  <w:style w:type="character" w:customStyle="1" w:styleId="CommentTextChar">
    <w:name w:val="Comment Text Char"/>
    <w:basedOn w:val="DefaultParagraphFont"/>
    <w:link w:val="CommentText"/>
    <w:uiPriority w:val="99"/>
    <w:semiHidden/>
    <w:rsid w:val="008E26B4"/>
    <w:rPr>
      <w:rFonts w:ascii="Garamond" w:hAnsi="Garamond"/>
      <w:spacing w:val="10"/>
      <w:sz w:val="20"/>
      <w:szCs w:val="20"/>
    </w:rPr>
  </w:style>
  <w:style w:type="paragraph" w:styleId="CommentSubject">
    <w:name w:val="annotation subject"/>
    <w:basedOn w:val="CommentText"/>
    <w:next w:val="CommentText"/>
    <w:link w:val="CommentSubjectChar"/>
    <w:uiPriority w:val="99"/>
    <w:semiHidden/>
    <w:unhideWhenUsed/>
    <w:rsid w:val="008E26B4"/>
    <w:rPr>
      <w:b/>
      <w:bCs/>
    </w:rPr>
  </w:style>
  <w:style w:type="character" w:customStyle="1" w:styleId="CommentSubjectChar">
    <w:name w:val="Comment Subject Char"/>
    <w:basedOn w:val="CommentTextChar"/>
    <w:link w:val="CommentSubject"/>
    <w:uiPriority w:val="99"/>
    <w:semiHidden/>
    <w:rsid w:val="008E26B4"/>
    <w:rPr>
      <w:rFonts w:ascii="Garamond" w:hAnsi="Garamond"/>
      <w:b/>
      <w:bCs/>
      <w:spacing w:val="10"/>
      <w:sz w:val="20"/>
      <w:szCs w:val="20"/>
    </w:rPr>
  </w:style>
</w:styles>
</file>

<file path=word/webSettings.xml><?xml version="1.0" encoding="utf-8"?>
<w:webSettings xmlns:r="http://schemas.openxmlformats.org/officeDocument/2006/relationships" xmlns:w="http://schemas.openxmlformats.org/wordprocessingml/2006/main">
  <w:divs>
    <w:div w:id="404110624">
      <w:bodyDiv w:val="1"/>
      <w:marLeft w:val="0"/>
      <w:marRight w:val="0"/>
      <w:marTop w:val="0"/>
      <w:marBottom w:val="0"/>
      <w:divBdr>
        <w:top w:val="none" w:sz="0" w:space="0" w:color="auto"/>
        <w:left w:val="none" w:sz="0" w:space="0" w:color="auto"/>
        <w:bottom w:val="none" w:sz="0" w:space="0" w:color="auto"/>
        <w:right w:val="none" w:sz="0" w:space="0" w:color="auto"/>
      </w:divBdr>
    </w:div>
    <w:div w:id="435059272">
      <w:bodyDiv w:val="1"/>
      <w:marLeft w:val="0"/>
      <w:marRight w:val="0"/>
      <w:marTop w:val="0"/>
      <w:marBottom w:val="0"/>
      <w:divBdr>
        <w:top w:val="none" w:sz="0" w:space="0" w:color="auto"/>
        <w:left w:val="none" w:sz="0" w:space="0" w:color="auto"/>
        <w:bottom w:val="none" w:sz="0" w:space="0" w:color="auto"/>
        <w:right w:val="none" w:sz="0" w:space="0" w:color="auto"/>
      </w:divBdr>
    </w:div>
    <w:div w:id="437994863">
      <w:bodyDiv w:val="1"/>
      <w:marLeft w:val="0"/>
      <w:marRight w:val="0"/>
      <w:marTop w:val="0"/>
      <w:marBottom w:val="0"/>
      <w:divBdr>
        <w:top w:val="none" w:sz="0" w:space="0" w:color="auto"/>
        <w:left w:val="none" w:sz="0" w:space="0" w:color="auto"/>
        <w:bottom w:val="none" w:sz="0" w:space="0" w:color="auto"/>
        <w:right w:val="none" w:sz="0" w:space="0" w:color="auto"/>
      </w:divBdr>
    </w:div>
    <w:div w:id="535124621">
      <w:bodyDiv w:val="1"/>
      <w:marLeft w:val="0"/>
      <w:marRight w:val="0"/>
      <w:marTop w:val="0"/>
      <w:marBottom w:val="0"/>
      <w:divBdr>
        <w:top w:val="none" w:sz="0" w:space="0" w:color="auto"/>
        <w:left w:val="none" w:sz="0" w:space="0" w:color="auto"/>
        <w:bottom w:val="none" w:sz="0" w:space="0" w:color="auto"/>
        <w:right w:val="none" w:sz="0" w:space="0" w:color="auto"/>
      </w:divBdr>
    </w:div>
    <w:div w:id="702364810">
      <w:bodyDiv w:val="1"/>
      <w:marLeft w:val="0"/>
      <w:marRight w:val="0"/>
      <w:marTop w:val="0"/>
      <w:marBottom w:val="0"/>
      <w:divBdr>
        <w:top w:val="none" w:sz="0" w:space="0" w:color="auto"/>
        <w:left w:val="none" w:sz="0" w:space="0" w:color="auto"/>
        <w:bottom w:val="none" w:sz="0" w:space="0" w:color="auto"/>
        <w:right w:val="none" w:sz="0" w:space="0" w:color="auto"/>
      </w:divBdr>
    </w:div>
    <w:div w:id="729765557">
      <w:bodyDiv w:val="1"/>
      <w:marLeft w:val="0"/>
      <w:marRight w:val="0"/>
      <w:marTop w:val="0"/>
      <w:marBottom w:val="0"/>
      <w:divBdr>
        <w:top w:val="none" w:sz="0" w:space="0" w:color="auto"/>
        <w:left w:val="none" w:sz="0" w:space="0" w:color="auto"/>
        <w:bottom w:val="none" w:sz="0" w:space="0" w:color="auto"/>
        <w:right w:val="none" w:sz="0" w:space="0" w:color="auto"/>
      </w:divBdr>
    </w:div>
    <w:div w:id="1417049653">
      <w:bodyDiv w:val="1"/>
      <w:marLeft w:val="0"/>
      <w:marRight w:val="0"/>
      <w:marTop w:val="0"/>
      <w:marBottom w:val="0"/>
      <w:divBdr>
        <w:top w:val="none" w:sz="0" w:space="0" w:color="auto"/>
        <w:left w:val="none" w:sz="0" w:space="0" w:color="auto"/>
        <w:bottom w:val="none" w:sz="0" w:space="0" w:color="auto"/>
        <w:right w:val="none" w:sz="0" w:space="0" w:color="auto"/>
      </w:divBdr>
    </w:div>
    <w:div w:id="14449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n.hermannsson@glasgow.ac.u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istics.gov.uk/statbase/Product.asp?vlnk=9580&amp;Mor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trath.ac.uk/media/departments/economics/researchdiscussionpapers/15-04.pdf" TargetMode="Externa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FFE9-5DEC-4117-B66F-72E18446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9150</Words>
  <Characters>52156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Kristinn-31072013</dc:creator>
  <cp:lastModifiedBy>Kristinn Hermannsson</cp:lastModifiedBy>
  <cp:revision>2</cp:revision>
  <cp:lastPrinted>2015-09-22T13:53:00Z</cp:lastPrinted>
  <dcterms:created xsi:type="dcterms:W3CDTF">2015-12-18T16:46:00Z</dcterms:created>
  <dcterms:modified xsi:type="dcterms:W3CDTF">2015-12-18T16:46:00Z</dcterms:modified>
</cp:coreProperties>
</file>