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A12" w:rsidRPr="007051D2" w:rsidRDefault="007051D2" w:rsidP="007051D2">
      <w:pPr>
        <w:jc w:val="right"/>
        <w:rPr>
          <w:rFonts w:ascii="Times New Roman" w:hAnsi="Times New Roman" w:cs="Times New Roman"/>
          <w:sz w:val="32"/>
          <w:szCs w:val="32"/>
          <w:lang w:val="en-US"/>
        </w:rPr>
      </w:pPr>
      <w:r w:rsidRPr="007051D2">
        <w:rPr>
          <w:rFonts w:ascii="Times New Roman" w:hAnsi="Times New Roman" w:cs="Times New Roman"/>
          <w:sz w:val="32"/>
          <w:szCs w:val="32"/>
          <w:lang w:val="en-US"/>
        </w:rPr>
        <w:t>Preliminary draft</w:t>
      </w:r>
    </w:p>
    <w:p w:rsidR="007051D2" w:rsidRDefault="007051D2" w:rsidP="0029480B">
      <w:pPr>
        <w:jc w:val="center"/>
        <w:rPr>
          <w:rFonts w:ascii="Times New Roman" w:hAnsi="Times New Roman" w:cs="Times New Roman"/>
          <w:b/>
          <w:sz w:val="32"/>
          <w:szCs w:val="32"/>
          <w:lang w:val="en-US"/>
        </w:rPr>
      </w:pPr>
    </w:p>
    <w:p w:rsidR="0029480B" w:rsidRPr="00145A91" w:rsidRDefault="0029480B" w:rsidP="0029480B">
      <w:pPr>
        <w:jc w:val="center"/>
        <w:rPr>
          <w:rFonts w:ascii="Times New Roman" w:hAnsi="Times New Roman" w:cs="Times New Roman"/>
          <w:b/>
          <w:sz w:val="32"/>
          <w:szCs w:val="32"/>
          <w:lang w:val="en-US"/>
        </w:rPr>
      </w:pPr>
      <w:r w:rsidRPr="00145A91">
        <w:rPr>
          <w:rFonts w:ascii="Times New Roman" w:hAnsi="Times New Roman" w:cs="Times New Roman"/>
          <w:b/>
          <w:sz w:val="32"/>
          <w:szCs w:val="32"/>
          <w:lang w:val="en-US"/>
        </w:rPr>
        <w:t>On the determinants of firms’ financial surpluses</w:t>
      </w:r>
      <w:r w:rsidR="00ED1F43">
        <w:rPr>
          <w:rFonts w:ascii="Times New Roman" w:hAnsi="Times New Roman" w:cs="Times New Roman"/>
          <w:b/>
          <w:sz w:val="32"/>
          <w:szCs w:val="32"/>
          <w:lang w:val="en-US"/>
        </w:rPr>
        <w:t xml:space="preserve"> </w:t>
      </w:r>
      <w:r w:rsidRPr="00145A91">
        <w:rPr>
          <w:rFonts w:ascii="Times New Roman" w:hAnsi="Times New Roman" w:cs="Times New Roman"/>
          <w:b/>
          <w:sz w:val="32"/>
          <w:szCs w:val="32"/>
          <w:lang w:val="en-US"/>
        </w:rPr>
        <w:t xml:space="preserve">and deficits </w:t>
      </w:r>
    </w:p>
    <w:p w:rsidR="00D65C35" w:rsidRPr="003F2D80" w:rsidRDefault="00D65C35" w:rsidP="0029480B">
      <w:pPr>
        <w:jc w:val="center"/>
        <w:rPr>
          <w:rFonts w:ascii="Times New Roman" w:hAnsi="Times New Roman" w:cs="Times New Roman"/>
          <w:sz w:val="28"/>
          <w:szCs w:val="28"/>
          <w:lang w:val="en-US"/>
        </w:rPr>
      </w:pPr>
    </w:p>
    <w:p w:rsidR="00866E74" w:rsidRPr="0029480B" w:rsidRDefault="0029480B" w:rsidP="0029480B">
      <w:pPr>
        <w:jc w:val="center"/>
        <w:rPr>
          <w:rFonts w:ascii="Times New Roman" w:hAnsi="Times New Roman" w:cs="Times New Roman"/>
          <w:sz w:val="28"/>
          <w:szCs w:val="28"/>
        </w:rPr>
      </w:pPr>
      <w:r w:rsidRPr="00DB1907">
        <w:rPr>
          <w:rFonts w:ascii="Times New Roman" w:hAnsi="Times New Roman" w:cs="Times New Roman"/>
          <w:sz w:val="28"/>
          <w:szCs w:val="28"/>
        </w:rPr>
        <w:t>Tatiana Cesaroni</w:t>
      </w:r>
      <w:r w:rsidR="00A422C1">
        <w:rPr>
          <w:rFonts w:ascii="Times New Roman" w:hAnsi="Times New Roman" w:cs="Times New Roman"/>
          <w:sz w:val="28"/>
          <w:szCs w:val="28"/>
        </w:rPr>
        <w:t>*</w:t>
      </w:r>
      <w:r w:rsidRPr="00DB1907">
        <w:rPr>
          <w:rFonts w:ascii="Times New Roman" w:hAnsi="Times New Roman" w:cs="Times New Roman"/>
          <w:sz w:val="28"/>
          <w:szCs w:val="28"/>
        </w:rPr>
        <w:t>, Riccardo De Bonis</w:t>
      </w:r>
      <w:r w:rsidR="00A422C1">
        <w:rPr>
          <w:rFonts w:ascii="Times New Roman" w:hAnsi="Times New Roman" w:cs="Times New Roman"/>
          <w:sz w:val="28"/>
          <w:szCs w:val="28"/>
        </w:rPr>
        <w:t>*</w:t>
      </w:r>
      <w:r w:rsidRPr="00DB1907">
        <w:rPr>
          <w:rFonts w:ascii="Times New Roman" w:hAnsi="Times New Roman" w:cs="Times New Roman"/>
          <w:sz w:val="28"/>
          <w:szCs w:val="28"/>
        </w:rPr>
        <w:t xml:space="preserve"> and Luigi Infante</w:t>
      </w:r>
      <w:r w:rsidR="00A422C1">
        <w:rPr>
          <w:rFonts w:ascii="Times New Roman" w:hAnsi="Times New Roman" w:cs="Times New Roman"/>
          <w:sz w:val="28"/>
          <w:szCs w:val="28"/>
        </w:rPr>
        <w:t>*</w:t>
      </w:r>
      <w:r w:rsidRPr="00DB1907">
        <w:rPr>
          <w:rFonts w:ascii="Times New Roman" w:hAnsi="Times New Roman" w:cs="Times New Roman"/>
          <w:sz w:val="28"/>
          <w:szCs w:val="28"/>
        </w:rPr>
        <w:t xml:space="preserve"> </w:t>
      </w:r>
    </w:p>
    <w:p w:rsidR="004C57D7" w:rsidRPr="0029480B" w:rsidRDefault="004C57D7" w:rsidP="00C41F66">
      <w:pPr>
        <w:jc w:val="center"/>
        <w:rPr>
          <w:rFonts w:ascii="Times New Roman" w:hAnsi="Times New Roman" w:cs="Times New Roman"/>
          <w:b/>
        </w:rPr>
      </w:pPr>
    </w:p>
    <w:p w:rsidR="00C6796D" w:rsidRPr="00E44E36" w:rsidRDefault="00511E20" w:rsidP="00C41F66">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20 </w:t>
      </w:r>
      <w:r w:rsidR="00693258" w:rsidRPr="001B0578">
        <w:rPr>
          <w:rFonts w:ascii="Times New Roman" w:hAnsi="Times New Roman" w:cs="Times New Roman"/>
          <w:b/>
          <w:sz w:val="28"/>
          <w:szCs w:val="28"/>
          <w:lang w:val="en-US"/>
        </w:rPr>
        <w:t xml:space="preserve">May </w:t>
      </w:r>
      <w:r w:rsidR="00B96E53" w:rsidRPr="00E44E36">
        <w:rPr>
          <w:rFonts w:ascii="Times New Roman" w:hAnsi="Times New Roman" w:cs="Times New Roman"/>
          <w:b/>
          <w:sz w:val="28"/>
          <w:szCs w:val="28"/>
          <w:lang w:val="en-US"/>
        </w:rPr>
        <w:t>2016</w:t>
      </w:r>
    </w:p>
    <w:p w:rsidR="0079154C" w:rsidRDefault="0079154C" w:rsidP="00C41F66">
      <w:pPr>
        <w:jc w:val="center"/>
        <w:rPr>
          <w:rFonts w:ascii="Times New Roman" w:hAnsi="Times New Roman" w:cs="Times New Roman"/>
          <w:b/>
          <w:lang w:val="en-US"/>
        </w:rPr>
      </w:pPr>
    </w:p>
    <w:p w:rsidR="00866E74" w:rsidRPr="006E05FC" w:rsidRDefault="00866E74" w:rsidP="00C41F66">
      <w:pPr>
        <w:jc w:val="center"/>
        <w:rPr>
          <w:rFonts w:ascii="Times New Roman" w:hAnsi="Times New Roman" w:cs="Times New Roman"/>
          <w:b/>
          <w:sz w:val="28"/>
          <w:szCs w:val="28"/>
          <w:lang w:val="en-US"/>
        </w:rPr>
      </w:pPr>
      <w:r w:rsidRPr="006E05FC">
        <w:rPr>
          <w:rFonts w:ascii="Times New Roman" w:hAnsi="Times New Roman" w:cs="Times New Roman"/>
          <w:b/>
          <w:sz w:val="28"/>
          <w:szCs w:val="28"/>
          <w:lang w:val="en-US"/>
        </w:rPr>
        <w:t>Abstract</w:t>
      </w:r>
    </w:p>
    <w:p w:rsidR="006E05FC" w:rsidRPr="006E05FC" w:rsidRDefault="006E05FC" w:rsidP="00C41F66">
      <w:pPr>
        <w:jc w:val="center"/>
        <w:rPr>
          <w:rFonts w:ascii="Times New Roman" w:hAnsi="Times New Roman" w:cs="Times New Roman"/>
          <w:b/>
          <w:sz w:val="24"/>
          <w:szCs w:val="24"/>
          <w:lang w:val="en-US"/>
        </w:rPr>
      </w:pPr>
    </w:p>
    <w:p w:rsidR="00A564B7" w:rsidRPr="006E05FC" w:rsidRDefault="00A564B7" w:rsidP="00A564B7">
      <w:pPr>
        <w:spacing w:after="0" w:line="240" w:lineRule="auto"/>
        <w:jc w:val="both"/>
        <w:rPr>
          <w:rFonts w:ascii="Times New Roman" w:hAnsi="Times New Roman" w:cs="Times New Roman"/>
          <w:sz w:val="24"/>
          <w:szCs w:val="24"/>
          <w:lang w:val="en-US"/>
        </w:rPr>
      </w:pPr>
      <w:r w:rsidRPr="006E05FC">
        <w:rPr>
          <w:rFonts w:ascii="Times New Roman" w:hAnsi="Times New Roman" w:cs="Times New Roman"/>
          <w:sz w:val="24"/>
          <w:szCs w:val="24"/>
          <w:lang w:val="en-US"/>
        </w:rPr>
        <w:t>According t</w:t>
      </w:r>
      <w:r w:rsidR="004B4145">
        <w:rPr>
          <w:rFonts w:ascii="Times New Roman" w:hAnsi="Times New Roman" w:cs="Times New Roman"/>
          <w:sz w:val="24"/>
          <w:szCs w:val="24"/>
          <w:lang w:val="en-US"/>
        </w:rPr>
        <w:t xml:space="preserve">o macroeconomic </w:t>
      </w:r>
      <w:r w:rsidR="004D5001">
        <w:rPr>
          <w:rFonts w:ascii="Times New Roman" w:hAnsi="Times New Roman" w:cs="Times New Roman"/>
          <w:sz w:val="24"/>
          <w:szCs w:val="24"/>
          <w:lang w:val="en-US"/>
        </w:rPr>
        <w:t>manuals</w:t>
      </w:r>
      <w:r w:rsidRPr="006E05FC">
        <w:rPr>
          <w:rFonts w:ascii="Times New Roman" w:hAnsi="Times New Roman" w:cs="Times New Roman"/>
          <w:sz w:val="24"/>
          <w:szCs w:val="24"/>
          <w:lang w:val="en-US"/>
        </w:rPr>
        <w:t xml:space="preserve"> </w:t>
      </w:r>
      <w:r w:rsidR="002801F6">
        <w:rPr>
          <w:rFonts w:ascii="Times New Roman" w:hAnsi="Times New Roman" w:cs="Times New Roman"/>
          <w:sz w:val="24"/>
          <w:szCs w:val="24"/>
          <w:lang w:val="en-US"/>
        </w:rPr>
        <w:t>firms a</w:t>
      </w:r>
      <w:r w:rsidRPr="006E05FC">
        <w:rPr>
          <w:rFonts w:ascii="Times New Roman" w:hAnsi="Times New Roman" w:cs="Times New Roman"/>
          <w:sz w:val="24"/>
          <w:szCs w:val="24"/>
          <w:lang w:val="en-US"/>
        </w:rPr>
        <w:t>re expected to be net borrowers</w:t>
      </w:r>
      <w:r w:rsidR="00FC13F7">
        <w:rPr>
          <w:rFonts w:ascii="Times New Roman" w:hAnsi="Times New Roman" w:cs="Times New Roman"/>
          <w:sz w:val="24"/>
          <w:szCs w:val="24"/>
          <w:lang w:val="en-US"/>
        </w:rPr>
        <w:t xml:space="preserve">: </w:t>
      </w:r>
      <w:r w:rsidR="002801F6">
        <w:rPr>
          <w:rFonts w:ascii="Times New Roman" w:hAnsi="Times New Roman" w:cs="Times New Roman"/>
          <w:sz w:val="24"/>
          <w:szCs w:val="24"/>
          <w:lang w:val="en-US"/>
        </w:rPr>
        <w:t xml:space="preserve">the net change of their financial assets should be smaller than the net change of their financial liabilities. </w:t>
      </w:r>
      <w:r w:rsidRPr="006E05FC">
        <w:rPr>
          <w:rFonts w:ascii="Times New Roman" w:hAnsi="Times New Roman" w:cs="Times New Roman"/>
          <w:sz w:val="24"/>
          <w:szCs w:val="24"/>
          <w:lang w:val="en-US"/>
        </w:rPr>
        <w:t>However in last years</w:t>
      </w:r>
      <w:r w:rsidR="004D5001">
        <w:rPr>
          <w:rFonts w:ascii="Times New Roman" w:hAnsi="Times New Roman" w:cs="Times New Roman"/>
          <w:sz w:val="24"/>
          <w:szCs w:val="24"/>
          <w:lang w:val="en-US"/>
        </w:rPr>
        <w:t>,</w:t>
      </w:r>
      <w:r w:rsidRPr="006E05FC">
        <w:rPr>
          <w:rFonts w:ascii="Times New Roman" w:hAnsi="Times New Roman" w:cs="Times New Roman"/>
          <w:sz w:val="24"/>
          <w:szCs w:val="24"/>
          <w:lang w:val="en-US"/>
        </w:rPr>
        <w:t xml:space="preserve"> firms </w:t>
      </w:r>
      <w:r w:rsidR="002801F6">
        <w:rPr>
          <w:rFonts w:ascii="Times New Roman" w:hAnsi="Times New Roman" w:cs="Times New Roman"/>
          <w:sz w:val="24"/>
          <w:szCs w:val="24"/>
          <w:lang w:val="en-US"/>
        </w:rPr>
        <w:t xml:space="preserve">were </w:t>
      </w:r>
      <w:r w:rsidRPr="006E05FC">
        <w:rPr>
          <w:rFonts w:ascii="Times New Roman" w:hAnsi="Times New Roman" w:cs="Times New Roman"/>
          <w:sz w:val="24"/>
          <w:szCs w:val="24"/>
          <w:lang w:val="en-US"/>
        </w:rPr>
        <w:t xml:space="preserve">often </w:t>
      </w:r>
      <w:r w:rsidR="002801F6">
        <w:rPr>
          <w:rFonts w:ascii="Times New Roman" w:hAnsi="Times New Roman" w:cs="Times New Roman"/>
          <w:sz w:val="24"/>
          <w:szCs w:val="24"/>
          <w:lang w:val="en-US"/>
        </w:rPr>
        <w:t xml:space="preserve">net lenders. </w:t>
      </w:r>
      <w:r w:rsidRPr="006E05FC">
        <w:rPr>
          <w:rFonts w:ascii="Times New Roman" w:hAnsi="Times New Roman" w:cs="Times New Roman"/>
          <w:sz w:val="24"/>
          <w:szCs w:val="24"/>
          <w:lang w:val="en-US"/>
        </w:rPr>
        <w:t xml:space="preserve">For instance </w:t>
      </w:r>
      <w:r w:rsidR="002801F6">
        <w:rPr>
          <w:rFonts w:ascii="Times New Roman" w:hAnsi="Times New Roman" w:cs="Times New Roman"/>
          <w:sz w:val="24"/>
          <w:szCs w:val="24"/>
          <w:lang w:val="en-US"/>
        </w:rPr>
        <w:t xml:space="preserve">since the first 2000s </w:t>
      </w:r>
      <w:r w:rsidRPr="006E05FC">
        <w:rPr>
          <w:rFonts w:ascii="Times New Roman" w:hAnsi="Times New Roman" w:cs="Times New Roman"/>
          <w:sz w:val="24"/>
          <w:szCs w:val="24"/>
          <w:lang w:val="en-US"/>
        </w:rPr>
        <w:t xml:space="preserve">in the </w:t>
      </w:r>
      <w:r w:rsidR="004D5001">
        <w:rPr>
          <w:rFonts w:ascii="Times New Roman" w:hAnsi="Times New Roman" w:cs="Times New Roman"/>
          <w:sz w:val="24"/>
          <w:szCs w:val="24"/>
          <w:lang w:val="en-US"/>
        </w:rPr>
        <w:t xml:space="preserve">UK, Germany and the Netherlands </w:t>
      </w:r>
      <w:r w:rsidRPr="006E05FC">
        <w:rPr>
          <w:rFonts w:ascii="Times New Roman" w:hAnsi="Times New Roman" w:cs="Times New Roman"/>
          <w:sz w:val="24"/>
          <w:szCs w:val="24"/>
          <w:lang w:val="en-US"/>
        </w:rPr>
        <w:t>firms have been experimenting persistent surpluses</w:t>
      </w:r>
      <w:r w:rsidR="002801F6">
        <w:rPr>
          <w:rFonts w:ascii="Times New Roman" w:hAnsi="Times New Roman" w:cs="Times New Roman"/>
          <w:sz w:val="24"/>
          <w:szCs w:val="24"/>
          <w:lang w:val="en-US"/>
        </w:rPr>
        <w:t>.</w:t>
      </w:r>
      <w:r w:rsidRPr="006E05FC">
        <w:rPr>
          <w:rFonts w:ascii="Times New Roman" w:hAnsi="Times New Roman" w:cs="Times New Roman"/>
          <w:sz w:val="24"/>
          <w:szCs w:val="24"/>
          <w:lang w:val="en-US"/>
        </w:rPr>
        <w:t xml:space="preserve"> </w:t>
      </w:r>
      <w:r w:rsidR="002C0CD1">
        <w:rPr>
          <w:rFonts w:ascii="Times New Roman" w:hAnsi="Times New Roman" w:cs="Times New Roman"/>
          <w:sz w:val="24"/>
          <w:szCs w:val="24"/>
          <w:lang w:val="en-US"/>
        </w:rPr>
        <w:t>On the contrary f</w:t>
      </w:r>
      <w:r w:rsidR="004D5001">
        <w:rPr>
          <w:rFonts w:ascii="Times New Roman" w:hAnsi="Times New Roman" w:cs="Times New Roman"/>
          <w:sz w:val="24"/>
          <w:szCs w:val="24"/>
          <w:lang w:val="en-US"/>
        </w:rPr>
        <w:t xml:space="preserve">irms </w:t>
      </w:r>
      <w:r w:rsidR="002C0CD1">
        <w:rPr>
          <w:rFonts w:ascii="Times New Roman" w:hAnsi="Times New Roman" w:cs="Times New Roman"/>
          <w:sz w:val="24"/>
          <w:szCs w:val="24"/>
          <w:lang w:val="en-US"/>
        </w:rPr>
        <w:t xml:space="preserve">remained </w:t>
      </w:r>
      <w:r w:rsidR="004D5001">
        <w:rPr>
          <w:rFonts w:ascii="Times New Roman" w:hAnsi="Times New Roman" w:cs="Times New Roman"/>
          <w:sz w:val="24"/>
          <w:szCs w:val="24"/>
          <w:lang w:val="en-US"/>
        </w:rPr>
        <w:t xml:space="preserve">net borrowers in countries such as France and Italy. </w:t>
      </w:r>
      <w:r w:rsidRPr="006E05FC">
        <w:rPr>
          <w:rFonts w:ascii="Times New Roman" w:hAnsi="Times New Roman" w:cs="Times New Roman"/>
          <w:sz w:val="24"/>
          <w:szCs w:val="24"/>
          <w:lang w:val="en-US"/>
        </w:rPr>
        <w:t>In this paper we investigat</w:t>
      </w:r>
      <w:r w:rsidR="004D5001">
        <w:rPr>
          <w:rFonts w:ascii="Times New Roman" w:hAnsi="Times New Roman" w:cs="Times New Roman"/>
          <w:sz w:val="24"/>
          <w:szCs w:val="24"/>
          <w:lang w:val="en-US"/>
        </w:rPr>
        <w:t>e</w:t>
      </w:r>
      <w:r w:rsidRPr="006E05FC">
        <w:rPr>
          <w:rFonts w:ascii="Times New Roman" w:hAnsi="Times New Roman" w:cs="Times New Roman"/>
          <w:sz w:val="24"/>
          <w:szCs w:val="24"/>
          <w:lang w:val="en-US"/>
        </w:rPr>
        <w:t xml:space="preserve"> the sources of corporate sector surpluses and deficits using panel data techniques. Our data set includes </w:t>
      </w:r>
      <w:r w:rsidR="007051D2">
        <w:rPr>
          <w:rFonts w:ascii="Times New Roman" w:hAnsi="Times New Roman" w:cs="Times New Roman"/>
          <w:sz w:val="24"/>
          <w:szCs w:val="24"/>
          <w:lang w:val="en-US"/>
        </w:rPr>
        <w:t xml:space="preserve">17 </w:t>
      </w:r>
      <w:r w:rsidRPr="006E05FC">
        <w:rPr>
          <w:rFonts w:ascii="Times New Roman" w:hAnsi="Times New Roman" w:cs="Times New Roman"/>
          <w:sz w:val="24"/>
          <w:szCs w:val="24"/>
          <w:lang w:val="en-US"/>
        </w:rPr>
        <w:t xml:space="preserve">industrial countries over the period 1995-2014. </w:t>
      </w:r>
      <w:r w:rsidR="007051D2">
        <w:rPr>
          <w:rFonts w:ascii="Times New Roman" w:hAnsi="Times New Roman" w:cs="Times New Roman"/>
          <w:sz w:val="24"/>
          <w:szCs w:val="24"/>
          <w:lang w:val="en-US"/>
        </w:rPr>
        <w:t xml:space="preserve">Our main results are that </w:t>
      </w:r>
      <w:r w:rsidR="00E95575">
        <w:rPr>
          <w:rFonts w:ascii="Times New Roman" w:hAnsi="Times New Roman" w:cs="Times New Roman"/>
          <w:sz w:val="24"/>
          <w:szCs w:val="24"/>
          <w:lang w:val="en-US"/>
        </w:rPr>
        <w:t xml:space="preserve">firms’ </w:t>
      </w:r>
      <w:r w:rsidR="004A4BC2">
        <w:rPr>
          <w:rFonts w:ascii="Times New Roman" w:hAnsi="Times New Roman" w:cs="Times New Roman"/>
          <w:sz w:val="24"/>
          <w:szCs w:val="24"/>
          <w:lang w:val="en-US"/>
        </w:rPr>
        <w:t>surpluses</w:t>
      </w:r>
      <w:r w:rsidR="00E95575">
        <w:rPr>
          <w:rFonts w:ascii="Times New Roman" w:hAnsi="Times New Roman" w:cs="Times New Roman"/>
          <w:sz w:val="24"/>
          <w:szCs w:val="24"/>
          <w:lang w:val="en-US"/>
        </w:rPr>
        <w:t xml:space="preserve"> and deficits</w:t>
      </w:r>
      <w:r w:rsidR="004A4BC2">
        <w:rPr>
          <w:rFonts w:ascii="Times New Roman" w:hAnsi="Times New Roman" w:cs="Times New Roman"/>
          <w:sz w:val="24"/>
          <w:szCs w:val="24"/>
          <w:lang w:val="en-US"/>
        </w:rPr>
        <w:t xml:space="preserve"> </w:t>
      </w:r>
      <w:r w:rsidR="002801F6">
        <w:rPr>
          <w:rFonts w:ascii="Times New Roman" w:hAnsi="Times New Roman" w:cs="Times New Roman"/>
          <w:sz w:val="24"/>
          <w:szCs w:val="24"/>
          <w:lang w:val="en-US"/>
        </w:rPr>
        <w:t xml:space="preserve">are linked to </w:t>
      </w:r>
      <w:r w:rsidR="00E95575">
        <w:rPr>
          <w:rFonts w:ascii="Times New Roman" w:hAnsi="Times New Roman" w:cs="Times New Roman"/>
          <w:sz w:val="24"/>
          <w:szCs w:val="24"/>
          <w:lang w:val="en-US"/>
        </w:rPr>
        <w:t xml:space="preserve">national </w:t>
      </w:r>
      <w:r w:rsidR="002801F6">
        <w:rPr>
          <w:rFonts w:ascii="Times New Roman" w:hAnsi="Times New Roman" w:cs="Times New Roman"/>
          <w:sz w:val="24"/>
          <w:szCs w:val="24"/>
          <w:lang w:val="en-US"/>
        </w:rPr>
        <w:t>output gaps, the ratio</w:t>
      </w:r>
      <w:r w:rsidR="00E95575">
        <w:rPr>
          <w:rFonts w:ascii="Times New Roman" w:hAnsi="Times New Roman" w:cs="Times New Roman"/>
          <w:sz w:val="24"/>
          <w:szCs w:val="24"/>
          <w:lang w:val="en-US"/>
        </w:rPr>
        <w:t>s</w:t>
      </w:r>
      <w:r w:rsidR="002801F6">
        <w:rPr>
          <w:rFonts w:ascii="Times New Roman" w:hAnsi="Times New Roman" w:cs="Times New Roman"/>
          <w:sz w:val="24"/>
          <w:szCs w:val="24"/>
          <w:lang w:val="en-US"/>
        </w:rPr>
        <w:t xml:space="preserve"> of investment to GDP and net foreign direct investments.</w:t>
      </w:r>
      <w:r w:rsidR="00956273">
        <w:rPr>
          <w:rFonts w:ascii="Times New Roman" w:hAnsi="Times New Roman" w:cs="Times New Roman"/>
          <w:sz w:val="24"/>
          <w:szCs w:val="24"/>
          <w:lang w:val="en-US"/>
        </w:rPr>
        <w:t xml:space="preserve"> This econometric evidence is robust to the inclusion in the regressions of variables such as </w:t>
      </w:r>
      <w:r w:rsidR="0088191A">
        <w:rPr>
          <w:rFonts w:ascii="Times New Roman" w:hAnsi="Times New Roman" w:cs="Times New Roman"/>
          <w:sz w:val="24"/>
          <w:szCs w:val="24"/>
          <w:lang w:val="en-US"/>
        </w:rPr>
        <w:t xml:space="preserve">oil price, </w:t>
      </w:r>
      <w:r w:rsidR="00956273">
        <w:rPr>
          <w:rFonts w:ascii="Times New Roman" w:hAnsi="Times New Roman" w:cs="Times New Roman"/>
          <w:sz w:val="24"/>
          <w:szCs w:val="24"/>
          <w:lang w:val="en-US"/>
        </w:rPr>
        <w:t>firms’ leverage</w:t>
      </w:r>
      <w:r w:rsidR="0088191A">
        <w:rPr>
          <w:rFonts w:ascii="Times New Roman" w:hAnsi="Times New Roman" w:cs="Times New Roman"/>
          <w:sz w:val="24"/>
          <w:szCs w:val="24"/>
          <w:lang w:val="en-US"/>
        </w:rPr>
        <w:t>, c</w:t>
      </w:r>
      <w:r w:rsidR="00956273">
        <w:rPr>
          <w:rFonts w:ascii="Times New Roman" w:hAnsi="Times New Roman" w:cs="Times New Roman"/>
          <w:sz w:val="24"/>
          <w:szCs w:val="24"/>
          <w:lang w:val="en-US"/>
        </w:rPr>
        <w:t>ountries’ financial and commercial openness.</w:t>
      </w:r>
    </w:p>
    <w:p w:rsidR="00866E74" w:rsidRPr="00650E3E" w:rsidRDefault="00866E74" w:rsidP="00C41F66">
      <w:pPr>
        <w:jc w:val="center"/>
        <w:rPr>
          <w:rFonts w:ascii="Times New Roman" w:hAnsi="Times New Roman" w:cs="Times New Roman"/>
          <w:b/>
          <w:lang w:val="en-US"/>
        </w:rPr>
      </w:pPr>
    </w:p>
    <w:p w:rsidR="00F14886" w:rsidRPr="00BE43E3" w:rsidRDefault="00A83AEB" w:rsidP="003F3D68">
      <w:pPr>
        <w:jc w:val="both"/>
        <w:rPr>
          <w:rFonts w:ascii="Times New Roman" w:hAnsi="Times New Roman" w:cs="Times New Roman"/>
          <w:sz w:val="24"/>
          <w:szCs w:val="24"/>
          <w:lang w:val="en-US"/>
        </w:rPr>
      </w:pPr>
      <w:r w:rsidRPr="00BE43E3">
        <w:rPr>
          <w:rFonts w:ascii="Times New Roman" w:hAnsi="Times New Roman" w:cs="Times New Roman"/>
          <w:b/>
          <w:sz w:val="24"/>
          <w:szCs w:val="24"/>
          <w:lang w:val="en-US"/>
        </w:rPr>
        <w:t xml:space="preserve">Keywords: </w:t>
      </w:r>
      <w:r w:rsidR="00511E20" w:rsidRPr="00511E20">
        <w:rPr>
          <w:rFonts w:ascii="Times New Roman" w:hAnsi="Times New Roman" w:cs="Times New Roman"/>
          <w:sz w:val="24"/>
          <w:szCs w:val="24"/>
          <w:lang w:val="en-US"/>
        </w:rPr>
        <w:t>n</w:t>
      </w:r>
      <w:r w:rsidR="000A6705" w:rsidRPr="00BE43E3">
        <w:rPr>
          <w:rFonts w:ascii="Times New Roman" w:hAnsi="Times New Roman" w:cs="Times New Roman"/>
          <w:sz w:val="24"/>
          <w:szCs w:val="24"/>
          <w:lang w:val="en-US"/>
        </w:rPr>
        <w:t xml:space="preserve">et </w:t>
      </w:r>
      <w:r w:rsidR="00FC13F7">
        <w:rPr>
          <w:rFonts w:ascii="Times New Roman" w:hAnsi="Times New Roman" w:cs="Times New Roman"/>
          <w:sz w:val="24"/>
          <w:szCs w:val="24"/>
          <w:lang w:val="en-US"/>
        </w:rPr>
        <w:t xml:space="preserve">lending/borrowing, </w:t>
      </w:r>
      <w:r w:rsidR="00511E20">
        <w:rPr>
          <w:rFonts w:ascii="Times New Roman" w:hAnsi="Times New Roman" w:cs="Times New Roman"/>
          <w:sz w:val="24"/>
          <w:szCs w:val="24"/>
          <w:lang w:val="en-US"/>
        </w:rPr>
        <w:t>c</w:t>
      </w:r>
      <w:r w:rsidR="001F5796" w:rsidRPr="00BE43E3">
        <w:rPr>
          <w:rFonts w:ascii="Times New Roman" w:hAnsi="Times New Roman" w:cs="Times New Roman"/>
          <w:sz w:val="24"/>
          <w:szCs w:val="24"/>
          <w:lang w:val="en-US"/>
        </w:rPr>
        <w:t>orporate sector</w:t>
      </w:r>
      <w:r w:rsidR="00692E5A" w:rsidRPr="00BE43E3">
        <w:rPr>
          <w:rFonts w:ascii="Times New Roman" w:hAnsi="Times New Roman" w:cs="Times New Roman"/>
          <w:sz w:val="24"/>
          <w:szCs w:val="24"/>
          <w:lang w:val="en-US"/>
        </w:rPr>
        <w:t xml:space="preserve">, </w:t>
      </w:r>
      <w:r w:rsidR="00511E20">
        <w:rPr>
          <w:rFonts w:ascii="Times New Roman" w:hAnsi="Times New Roman" w:cs="Times New Roman"/>
          <w:sz w:val="24"/>
          <w:szCs w:val="24"/>
          <w:lang w:val="en-US"/>
        </w:rPr>
        <w:t>g</w:t>
      </w:r>
      <w:r w:rsidR="00692E5A" w:rsidRPr="00BE43E3">
        <w:rPr>
          <w:rFonts w:ascii="Times New Roman" w:hAnsi="Times New Roman" w:cs="Times New Roman"/>
          <w:sz w:val="24"/>
          <w:szCs w:val="24"/>
          <w:lang w:val="en-US"/>
        </w:rPr>
        <w:t>lobal saving glut, European U</w:t>
      </w:r>
      <w:r w:rsidR="001F5796" w:rsidRPr="00BE43E3">
        <w:rPr>
          <w:rFonts w:ascii="Times New Roman" w:hAnsi="Times New Roman" w:cs="Times New Roman"/>
          <w:sz w:val="24"/>
          <w:szCs w:val="24"/>
          <w:lang w:val="en-US"/>
        </w:rPr>
        <w:t xml:space="preserve">nion, </w:t>
      </w:r>
      <w:r w:rsidR="00511E20">
        <w:rPr>
          <w:rFonts w:ascii="Times New Roman" w:hAnsi="Times New Roman" w:cs="Times New Roman"/>
          <w:sz w:val="24"/>
          <w:szCs w:val="24"/>
          <w:lang w:val="en-US"/>
        </w:rPr>
        <w:t>p</w:t>
      </w:r>
      <w:r w:rsidR="001F5796" w:rsidRPr="00BE43E3">
        <w:rPr>
          <w:rFonts w:ascii="Times New Roman" w:hAnsi="Times New Roman" w:cs="Times New Roman"/>
          <w:sz w:val="24"/>
          <w:szCs w:val="24"/>
          <w:lang w:val="en-US"/>
        </w:rPr>
        <w:t>anel data</w:t>
      </w:r>
      <w:r w:rsidR="00DB5B8F" w:rsidRPr="00BE43E3">
        <w:rPr>
          <w:rFonts w:ascii="Times New Roman" w:hAnsi="Times New Roman" w:cs="Times New Roman"/>
          <w:sz w:val="24"/>
          <w:szCs w:val="24"/>
          <w:lang w:val="en-US"/>
        </w:rPr>
        <w:t>.</w:t>
      </w:r>
    </w:p>
    <w:p w:rsidR="00F14886" w:rsidRDefault="00D42D35" w:rsidP="00D42D35">
      <w:pPr>
        <w:rPr>
          <w:rFonts w:ascii="Times New Roman" w:hAnsi="Times New Roman" w:cs="Times New Roman"/>
          <w:b/>
          <w:lang w:val="en-US"/>
        </w:rPr>
      </w:pPr>
      <w:r w:rsidRPr="00BE43E3">
        <w:rPr>
          <w:rFonts w:ascii="Times New Roman" w:hAnsi="Times New Roman" w:cs="Times New Roman"/>
          <w:b/>
          <w:sz w:val="24"/>
          <w:szCs w:val="24"/>
          <w:lang w:val="en-US"/>
        </w:rPr>
        <w:t>JEL classification:</w:t>
      </w:r>
      <w:r>
        <w:rPr>
          <w:rFonts w:ascii="Times New Roman" w:hAnsi="Times New Roman" w:cs="Times New Roman"/>
          <w:b/>
          <w:lang w:val="en-US"/>
        </w:rPr>
        <w:t xml:space="preserve"> </w:t>
      </w:r>
      <w:r w:rsidR="000E1B62">
        <w:rPr>
          <w:rFonts w:ascii="Times New Roman" w:hAnsi="Times New Roman" w:cs="Times New Roman"/>
          <w:b/>
          <w:lang w:val="en-US"/>
        </w:rPr>
        <w:t xml:space="preserve"> </w:t>
      </w:r>
    </w:p>
    <w:p w:rsidR="00A422C1" w:rsidRPr="00A422C1" w:rsidRDefault="00A422C1" w:rsidP="00D42D35">
      <w:pPr>
        <w:rPr>
          <w:rFonts w:ascii="Times New Roman" w:hAnsi="Times New Roman" w:cs="Times New Roman"/>
          <w:b/>
          <w:sz w:val="24"/>
          <w:szCs w:val="24"/>
          <w:lang w:val="en-US"/>
        </w:rPr>
      </w:pPr>
    </w:p>
    <w:p w:rsidR="00A422C1" w:rsidRPr="00A422C1" w:rsidRDefault="00A422C1" w:rsidP="00A422C1">
      <w:pPr>
        <w:jc w:val="both"/>
        <w:rPr>
          <w:rFonts w:ascii="Times New Roman" w:hAnsi="Times New Roman" w:cs="Times New Roman"/>
          <w:sz w:val="24"/>
          <w:szCs w:val="24"/>
          <w:lang w:val="en-US"/>
        </w:rPr>
      </w:pPr>
      <w:r w:rsidRPr="00A422C1">
        <w:rPr>
          <w:rFonts w:ascii="Times New Roman" w:hAnsi="Times New Roman" w:cs="Times New Roman"/>
          <w:sz w:val="24"/>
          <w:szCs w:val="24"/>
          <w:lang w:val="en-US"/>
        </w:rPr>
        <w:t xml:space="preserve">* Bank of Italy, Economics, Statistics and Research. The views expressed in this paper do not necessarily represent those of the Bank of Italy. </w:t>
      </w:r>
    </w:p>
    <w:p w:rsidR="00A422C1" w:rsidRDefault="00A422C1" w:rsidP="00D42D35">
      <w:pPr>
        <w:rPr>
          <w:rFonts w:ascii="Times New Roman" w:hAnsi="Times New Roman" w:cs="Times New Roman"/>
          <w:b/>
          <w:sz w:val="24"/>
          <w:szCs w:val="24"/>
          <w:lang w:val="en-US"/>
        </w:rPr>
      </w:pPr>
    </w:p>
    <w:p w:rsidR="00A422C1" w:rsidRPr="00A422C1" w:rsidRDefault="00A422C1" w:rsidP="00D42D35">
      <w:pPr>
        <w:rPr>
          <w:rFonts w:ascii="Times New Roman" w:hAnsi="Times New Roman" w:cs="Times New Roman"/>
          <w:b/>
          <w:sz w:val="24"/>
          <w:szCs w:val="24"/>
          <w:lang w:val="en-US"/>
        </w:rPr>
      </w:pPr>
    </w:p>
    <w:p w:rsidR="00F14886" w:rsidRDefault="00F14886" w:rsidP="00C41F66">
      <w:pPr>
        <w:jc w:val="center"/>
        <w:rPr>
          <w:lang w:val="en-US"/>
        </w:rPr>
      </w:pPr>
      <w:r>
        <w:rPr>
          <w:lang w:val="en-US"/>
        </w:rPr>
        <w:br w:type="page"/>
      </w:r>
    </w:p>
    <w:p w:rsidR="00CB5D6D" w:rsidRDefault="00CB5D6D" w:rsidP="00F14886">
      <w:pPr>
        <w:rPr>
          <w:rFonts w:ascii="Times New Roman" w:hAnsi="Times New Roman" w:cs="Times New Roman"/>
          <w:b/>
          <w:sz w:val="24"/>
          <w:szCs w:val="24"/>
          <w:lang w:val="en-US"/>
        </w:rPr>
      </w:pPr>
    </w:p>
    <w:p w:rsidR="004E1A4E" w:rsidRPr="00B537BE" w:rsidRDefault="00F14886" w:rsidP="00B537BE">
      <w:pPr>
        <w:pStyle w:val="Paragrafoelenco"/>
        <w:numPr>
          <w:ilvl w:val="0"/>
          <w:numId w:val="3"/>
        </w:numPr>
        <w:rPr>
          <w:rFonts w:ascii="Times New Roman" w:hAnsi="Times New Roman" w:cs="Times New Roman"/>
          <w:b/>
          <w:sz w:val="24"/>
          <w:szCs w:val="24"/>
          <w:lang w:val="en-US"/>
        </w:rPr>
      </w:pPr>
      <w:r w:rsidRPr="00B537BE">
        <w:rPr>
          <w:rFonts w:ascii="Times New Roman" w:hAnsi="Times New Roman" w:cs="Times New Roman"/>
          <w:b/>
          <w:sz w:val="24"/>
          <w:szCs w:val="24"/>
          <w:lang w:val="en-US"/>
        </w:rPr>
        <w:t>Introduction</w:t>
      </w:r>
      <w:r w:rsidR="00231FD7" w:rsidRPr="00B537BE">
        <w:rPr>
          <w:rFonts w:ascii="Times New Roman" w:hAnsi="Times New Roman" w:cs="Times New Roman"/>
          <w:b/>
          <w:sz w:val="24"/>
          <w:szCs w:val="24"/>
          <w:lang w:val="en-US"/>
        </w:rPr>
        <w:t xml:space="preserve"> and motivatio</w:t>
      </w:r>
      <w:r w:rsidR="00E960C8" w:rsidRPr="00B537BE">
        <w:rPr>
          <w:rFonts w:ascii="Times New Roman" w:hAnsi="Times New Roman" w:cs="Times New Roman"/>
          <w:b/>
          <w:sz w:val="24"/>
          <w:szCs w:val="24"/>
          <w:lang w:val="en-US"/>
        </w:rPr>
        <w:t>n</w:t>
      </w:r>
    </w:p>
    <w:p w:rsidR="004B4145" w:rsidRDefault="004B4145" w:rsidP="00447EE2">
      <w:pPr>
        <w:spacing w:after="0" w:line="360" w:lineRule="auto"/>
        <w:ind w:firstLine="708"/>
        <w:jc w:val="both"/>
        <w:rPr>
          <w:rFonts w:ascii="Times New Roman" w:hAnsi="Times New Roman" w:cs="Times New Roman"/>
          <w:sz w:val="24"/>
          <w:szCs w:val="24"/>
          <w:lang w:val="en-US"/>
        </w:rPr>
      </w:pPr>
    </w:p>
    <w:p w:rsidR="00563A12" w:rsidRDefault="004B4145" w:rsidP="00447EE2">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w:t>
      </w:r>
      <w:r w:rsidR="000E1B62">
        <w:rPr>
          <w:rFonts w:ascii="Times New Roman" w:hAnsi="Times New Roman" w:cs="Times New Roman"/>
          <w:sz w:val="24"/>
          <w:szCs w:val="24"/>
          <w:lang w:val="en-US"/>
        </w:rPr>
        <w:t xml:space="preserve">macroeconomic </w:t>
      </w:r>
      <w:r w:rsidR="00476C94">
        <w:rPr>
          <w:rFonts w:ascii="Times New Roman" w:hAnsi="Times New Roman" w:cs="Times New Roman"/>
          <w:sz w:val="24"/>
          <w:szCs w:val="24"/>
          <w:lang w:val="en-US"/>
        </w:rPr>
        <w:t xml:space="preserve">manuals </w:t>
      </w:r>
      <w:r w:rsidR="00366F8F">
        <w:rPr>
          <w:rFonts w:ascii="Times New Roman" w:hAnsi="Times New Roman" w:cs="Times New Roman"/>
          <w:sz w:val="24"/>
          <w:szCs w:val="24"/>
          <w:lang w:val="en-US"/>
        </w:rPr>
        <w:t xml:space="preserve">households should have a positive net </w:t>
      </w:r>
      <w:r w:rsidR="00563A12">
        <w:rPr>
          <w:rFonts w:ascii="Times New Roman" w:hAnsi="Times New Roman" w:cs="Times New Roman"/>
          <w:sz w:val="24"/>
          <w:szCs w:val="24"/>
          <w:lang w:val="en-US"/>
        </w:rPr>
        <w:t xml:space="preserve">lending </w:t>
      </w:r>
      <w:r w:rsidR="00366F8F">
        <w:rPr>
          <w:rFonts w:ascii="Times New Roman" w:hAnsi="Times New Roman" w:cs="Times New Roman"/>
          <w:sz w:val="24"/>
          <w:szCs w:val="24"/>
          <w:lang w:val="en-US"/>
        </w:rPr>
        <w:t>with the rest</w:t>
      </w:r>
      <w:r w:rsidR="001C737F">
        <w:rPr>
          <w:rFonts w:ascii="Times New Roman" w:hAnsi="Times New Roman" w:cs="Times New Roman"/>
          <w:sz w:val="24"/>
          <w:szCs w:val="24"/>
          <w:lang w:val="en-US"/>
        </w:rPr>
        <w:t xml:space="preserve"> of the economy, </w:t>
      </w:r>
      <w:r w:rsidR="00563A12">
        <w:rPr>
          <w:rFonts w:ascii="Times New Roman" w:hAnsi="Times New Roman" w:cs="Times New Roman"/>
          <w:sz w:val="24"/>
          <w:szCs w:val="24"/>
          <w:lang w:val="en-US"/>
        </w:rPr>
        <w:t xml:space="preserve">while </w:t>
      </w:r>
      <w:r w:rsidR="001C737F">
        <w:rPr>
          <w:rFonts w:ascii="Times New Roman" w:hAnsi="Times New Roman" w:cs="Times New Roman"/>
          <w:sz w:val="24"/>
          <w:szCs w:val="24"/>
          <w:lang w:val="en-US"/>
        </w:rPr>
        <w:t>firms should act as</w:t>
      </w:r>
      <w:r w:rsidR="00366F8F">
        <w:rPr>
          <w:rFonts w:ascii="Times New Roman" w:hAnsi="Times New Roman" w:cs="Times New Roman"/>
          <w:sz w:val="24"/>
          <w:szCs w:val="24"/>
          <w:lang w:val="en-US"/>
        </w:rPr>
        <w:t xml:space="preserve"> net borrowers</w:t>
      </w:r>
      <w:r w:rsidR="00E73E82">
        <w:rPr>
          <w:rFonts w:ascii="Times New Roman" w:hAnsi="Times New Roman" w:cs="Times New Roman"/>
          <w:sz w:val="24"/>
          <w:szCs w:val="24"/>
          <w:lang w:val="en-US"/>
        </w:rPr>
        <w:t>.</w:t>
      </w:r>
      <w:r w:rsidR="00447EE2">
        <w:rPr>
          <w:rFonts w:ascii="Times New Roman" w:hAnsi="Times New Roman" w:cs="Times New Roman"/>
          <w:sz w:val="24"/>
          <w:szCs w:val="24"/>
          <w:lang w:val="en-US"/>
        </w:rPr>
        <w:t xml:space="preserve"> </w:t>
      </w:r>
      <w:r w:rsidR="00FC13F7">
        <w:rPr>
          <w:rFonts w:ascii="Times New Roman" w:hAnsi="Times New Roman" w:cs="Times New Roman"/>
          <w:sz w:val="24"/>
          <w:szCs w:val="24"/>
          <w:lang w:val="en-US"/>
        </w:rPr>
        <w:t>F</w:t>
      </w:r>
      <w:r w:rsidR="00563A12">
        <w:rPr>
          <w:rFonts w:ascii="Times New Roman" w:hAnsi="Times New Roman" w:cs="Times New Roman"/>
          <w:sz w:val="24"/>
          <w:szCs w:val="24"/>
          <w:lang w:val="en-US"/>
        </w:rPr>
        <w:t xml:space="preserve">or </w:t>
      </w:r>
      <w:r w:rsidR="004D5001">
        <w:rPr>
          <w:rFonts w:ascii="Times New Roman" w:hAnsi="Times New Roman" w:cs="Times New Roman"/>
          <w:sz w:val="24"/>
          <w:szCs w:val="24"/>
          <w:lang w:val="en-US"/>
        </w:rPr>
        <w:t xml:space="preserve">firms </w:t>
      </w:r>
      <w:r w:rsidR="00563A12">
        <w:rPr>
          <w:rFonts w:ascii="Times New Roman" w:hAnsi="Times New Roman" w:cs="Times New Roman"/>
          <w:sz w:val="24"/>
          <w:szCs w:val="24"/>
          <w:lang w:val="en-US"/>
        </w:rPr>
        <w:t xml:space="preserve">the net acquisition of financial assets should be </w:t>
      </w:r>
      <w:r w:rsidR="00FC13F7">
        <w:rPr>
          <w:rFonts w:ascii="Times New Roman" w:hAnsi="Times New Roman" w:cs="Times New Roman"/>
          <w:sz w:val="24"/>
          <w:szCs w:val="24"/>
          <w:lang w:val="en-US"/>
        </w:rPr>
        <w:t xml:space="preserve">usually </w:t>
      </w:r>
      <w:r w:rsidR="004D5001">
        <w:rPr>
          <w:rFonts w:ascii="Times New Roman" w:hAnsi="Times New Roman" w:cs="Times New Roman"/>
          <w:sz w:val="24"/>
          <w:szCs w:val="24"/>
          <w:lang w:val="en-US"/>
        </w:rPr>
        <w:t xml:space="preserve">smaller </w:t>
      </w:r>
      <w:r w:rsidR="00563A12">
        <w:rPr>
          <w:rFonts w:ascii="Times New Roman" w:hAnsi="Times New Roman" w:cs="Times New Roman"/>
          <w:sz w:val="24"/>
          <w:szCs w:val="24"/>
          <w:lang w:val="en-US"/>
        </w:rPr>
        <w:t>than the net acquisition of financial liabilities</w:t>
      </w:r>
      <w:r w:rsidR="00FC13F7">
        <w:rPr>
          <w:rFonts w:ascii="Times New Roman" w:hAnsi="Times New Roman" w:cs="Times New Roman"/>
          <w:sz w:val="24"/>
          <w:szCs w:val="24"/>
          <w:lang w:val="en-US"/>
        </w:rPr>
        <w:t>.</w:t>
      </w:r>
    </w:p>
    <w:p w:rsidR="007538EF" w:rsidRDefault="00563A12" w:rsidP="00447EE2">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the contrary </w:t>
      </w:r>
      <w:r w:rsidR="0043187E">
        <w:rPr>
          <w:rFonts w:ascii="Times New Roman" w:hAnsi="Times New Roman" w:cs="Times New Roman"/>
          <w:sz w:val="24"/>
          <w:szCs w:val="24"/>
          <w:lang w:val="en-US"/>
        </w:rPr>
        <w:t>i</w:t>
      </w:r>
      <w:r>
        <w:rPr>
          <w:rFonts w:ascii="Times New Roman" w:hAnsi="Times New Roman" w:cs="Times New Roman"/>
          <w:sz w:val="24"/>
          <w:szCs w:val="24"/>
          <w:lang w:val="en-US"/>
        </w:rPr>
        <w:t xml:space="preserve">n last </w:t>
      </w:r>
      <w:proofErr w:type="spellStart"/>
      <w:r>
        <w:rPr>
          <w:rFonts w:ascii="Times New Roman" w:hAnsi="Times New Roman" w:cs="Times New Roman"/>
          <w:sz w:val="24"/>
          <w:szCs w:val="24"/>
          <w:lang w:val="en-US"/>
        </w:rPr>
        <w:t>years</w:t>
      </w:r>
      <w:proofErr w:type="spellEnd"/>
      <w:r>
        <w:rPr>
          <w:rFonts w:ascii="Times New Roman" w:hAnsi="Times New Roman" w:cs="Times New Roman"/>
          <w:sz w:val="24"/>
          <w:szCs w:val="24"/>
          <w:lang w:val="en-US"/>
        </w:rPr>
        <w:t xml:space="preserve"> there has been a trend of net lending </w:t>
      </w:r>
      <w:r w:rsidR="00EC73D5">
        <w:rPr>
          <w:rFonts w:ascii="Times New Roman" w:hAnsi="Times New Roman" w:cs="Times New Roman"/>
          <w:sz w:val="24"/>
          <w:szCs w:val="24"/>
          <w:lang w:val="en-US"/>
        </w:rPr>
        <w:t>by</w:t>
      </w:r>
      <w:r>
        <w:rPr>
          <w:rFonts w:ascii="Times New Roman" w:hAnsi="Times New Roman" w:cs="Times New Roman"/>
          <w:sz w:val="24"/>
          <w:szCs w:val="24"/>
          <w:lang w:val="en-US"/>
        </w:rPr>
        <w:t xml:space="preserve"> </w:t>
      </w:r>
      <w:r w:rsidR="00EC73D5">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corporate sector in several </w:t>
      </w:r>
      <w:r w:rsidR="00F05314">
        <w:rPr>
          <w:rFonts w:ascii="Times New Roman" w:hAnsi="Times New Roman" w:cs="Times New Roman"/>
          <w:sz w:val="24"/>
          <w:szCs w:val="24"/>
          <w:lang w:val="en-US"/>
        </w:rPr>
        <w:t>countries.</w:t>
      </w:r>
      <w:r w:rsidR="00E864A7">
        <w:rPr>
          <w:rFonts w:ascii="Times New Roman" w:hAnsi="Times New Roman" w:cs="Times New Roman"/>
          <w:sz w:val="24"/>
          <w:szCs w:val="24"/>
          <w:lang w:val="en-US"/>
        </w:rPr>
        <w:t xml:space="preserve"> In 2014 UK firms reported </w:t>
      </w:r>
      <w:r w:rsidR="001330BC">
        <w:rPr>
          <w:rFonts w:ascii="Times New Roman" w:hAnsi="Times New Roman" w:cs="Times New Roman"/>
          <w:sz w:val="24"/>
          <w:szCs w:val="24"/>
          <w:lang w:val="en-US"/>
        </w:rPr>
        <w:t xml:space="preserve">a </w:t>
      </w:r>
      <w:r w:rsidR="00E864A7">
        <w:rPr>
          <w:rFonts w:ascii="Times New Roman" w:hAnsi="Times New Roman" w:cs="Times New Roman"/>
          <w:sz w:val="24"/>
          <w:szCs w:val="24"/>
          <w:lang w:val="en-US"/>
        </w:rPr>
        <w:t xml:space="preserve">financial surplus </w:t>
      </w:r>
      <w:r w:rsidR="00EC73D5">
        <w:rPr>
          <w:rFonts w:ascii="Times New Roman" w:hAnsi="Times New Roman" w:cs="Times New Roman"/>
          <w:sz w:val="24"/>
          <w:szCs w:val="24"/>
          <w:lang w:val="en-US"/>
        </w:rPr>
        <w:t xml:space="preserve">of </w:t>
      </w:r>
      <w:r w:rsidR="00E864A7">
        <w:rPr>
          <w:rFonts w:ascii="Times New Roman" w:hAnsi="Times New Roman" w:cs="Times New Roman"/>
          <w:sz w:val="24"/>
          <w:szCs w:val="24"/>
          <w:lang w:val="en-US"/>
        </w:rPr>
        <w:t>0.8 percent of GDP</w:t>
      </w:r>
      <w:r w:rsidR="00E960C8">
        <w:rPr>
          <w:rFonts w:ascii="Times New Roman" w:hAnsi="Times New Roman" w:cs="Times New Roman"/>
          <w:sz w:val="24"/>
          <w:szCs w:val="24"/>
          <w:lang w:val="en-US"/>
        </w:rPr>
        <w:t>.</w:t>
      </w:r>
      <w:r w:rsidR="00E864A7">
        <w:rPr>
          <w:rFonts w:ascii="Times New Roman" w:hAnsi="Times New Roman" w:cs="Times New Roman"/>
          <w:sz w:val="24"/>
          <w:szCs w:val="24"/>
          <w:lang w:val="en-US"/>
        </w:rPr>
        <w:t xml:space="preserve"> </w:t>
      </w:r>
      <w:r w:rsidR="004D5001">
        <w:rPr>
          <w:rFonts w:ascii="Times New Roman" w:hAnsi="Times New Roman" w:cs="Times New Roman"/>
          <w:sz w:val="24"/>
          <w:szCs w:val="24"/>
          <w:lang w:val="en-US"/>
        </w:rPr>
        <w:t>In 2013 t</w:t>
      </w:r>
      <w:r w:rsidR="00122079">
        <w:rPr>
          <w:rFonts w:ascii="Times New Roman" w:hAnsi="Times New Roman" w:cs="Times New Roman"/>
          <w:sz w:val="24"/>
          <w:szCs w:val="24"/>
          <w:lang w:val="en-US"/>
        </w:rPr>
        <w:t xml:space="preserve">he surplus was 2.8 per cent for Irish </w:t>
      </w:r>
      <w:r w:rsidR="0005044D">
        <w:rPr>
          <w:rFonts w:ascii="Times New Roman" w:hAnsi="Times New Roman" w:cs="Times New Roman"/>
          <w:sz w:val="24"/>
          <w:szCs w:val="24"/>
          <w:lang w:val="en-US"/>
        </w:rPr>
        <w:t>firms</w:t>
      </w:r>
      <w:r w:rsidR="00122079">
        <w:rPr>
          <w:rFonts w:ascii="Times New Roman" w:hAnsi="Times New Roman" w:cs="Times New Roman"/>
          <w:sz w:val="24"/>
          <w:szCs w:val="24"/>
          <w:lang w:val="en-US"/>
        </w:rPr>
        <w:t xml:space="preserve">, 6.9 per cent of GDP for the Dutch </w:t>
      </w:r>
      <w:r w:rsidR="00193894">
        <w:rPr>
          <w:rFonts w:ascii="Times New Roman" w:hAnsi="Times New Roman" w:cs="Times New Roman"/>
          <w:sz w:val="24"/>
          <w:szCs w:val="24"/>
          <w:lang w:val="en-US"/>
        </w:rPr>
        <w:t>corporate sector</w:t>
      </w:r>
      <w:r w:rsidR="0005044D">
        <w:rPr>
          <w:rFonts w:ascii="Times New Roman" w:hAnsi="Times New Roman" w:cs="Times New Roman"/>
          <w:sz w:val="24"/>
          <w:szCs w:val="24"/>
          <w:lang w:val="en-US"/>
        </w:rPr>
        <w:t xml:space="preserve"> </w:t>
      </w:r>
      <w:r w:rsidR="001330BC">
        <w:rPr>
          <w:rFonts w:ascii="Times New Roman" w:hAnsi="Times New Roman" w:cs="Times New Roman"/>
          <w:sz w:val="24"/>
          <w:szCs w:val="24"/>
          <w:lang w:val="en-US"/>
        </w:rPr>
        <w:t xml:space="preserve">and </w:t>
      </w:r>
      <w:r w:rsidR="00193894">
        <w:rPr>
          <w:rFonts w:ascii="Times New Roman" w:hAnsi="Times New Roman" w:cs="Times New Roman"/>
          <w:sz w:val="24"/>
          <w:szCs w:val="24"/>
          <w:lang w:val="en-US"/>
        </w:rPr>
        <w:t xml:space="preserve">achieved </w:t>
      </w:r>
      <w:r w:rsidR="00122079">
        <w:rPr>
          <w:rFonts w:ascii="Times New Roman" w:hAnsi="Times New Roman" w:cs="Times New Roman"/>
          <w:sz w:val="24"/>
          <w:szCs w:val="24"/>
          <w:lang w:val="en-US"/>
        </w:rPr>
        <w:t xml:space="preserve">4 per cent of GDP for </w:t>
      </w:r>
      <w:r w:rsidR="00845E3E">
        <w:rPr>
          <w:rFonts w:ascii="Times New Roman" w:hAnsi="Times New Roman" w:cs="Times New Roman"/>
          <w:sz w:val="24"/>
          <w:szCs w:val="24"/>
          <w:lang w:val="en-US"/>
        </w:rPr>
        <w:t>German firms</w:t>
      </w:r>
      <w:r w:rsidR="00122079">
        <w:rPr>
          <w:rFonts w:ascii="Times New Roman" w:hAnsi="Times New Roman" w:cs="Times New Roman"/>
          <w:sz w:val="24"/>
          <w:szCs w:val="24"/>
          <w:lang w:val="en-US"/>
        </w:rPr>
        <w:t xml:space="preserve">. </w:t>
      </w:r>
      <w:r w:rsidR="002C0CD1" w:rsidRPr="002C0CD1">
        <w:rPr>
          <w:rFonts w:ascii="Times New Roman" w:hAnsi="Times New Roman" w:cs="Times New Roman"/>
          <w:i/>
          <w:sz w:val="24"/>
          <w:szCs w:val="24"/>
          <w:lang w:val="en-US"/>
        </w:rPr>
        <w:t>The Economist</w:t>
      </w:r>
      <w:r w:rsidR="002C0CD1">
        <w:rPr>
          <w:rFonts w:ascii="Times New Roman" w:hAnsi="Times New Roman" w:cs="Times New Roman"/>
          <w:i/>
          <w:sz w:val="24"/>
          <w:szCs w:val="24"/>
          <w:lang w:val="en-US"/>
        </w:rPr>
        <w:t xml:space="preserve"> </w:t>
      </w:r>
      <w:r w:rsidR="002C0CD1">
        <w:rPr>
          <w:rFonts w:ascii="Times New Roman" w:hAnsi="Times New Roman" w:cs="Times New Roman"/>
          <w:sz w:val="24"/>
          <w:szCs w:val="24"/>
          <w:lang w:val="en-US"/>
        </w:rPr>
        <w:t>wrote a note on “The Corporate Saving Glut”</w:t>
      </w:r>
      <w:r w:rsidR="00F93C37">
        <w:rPr>
          <w:rFonts w:ascii="Times New Roman" w:hAnsi="Times New Roman" w:cs="Times New Roman"/>
          <w:sz w:val="24"/>
          <w:szCs w:val="24"/>
          <w:lang w:val="en-US"/>
        </w:rPr>
        <w:t xml:space="preserve"> in 2005</w:t>
      </w:r>
      <w:r w:rsidR="002C0CD1">
        <w:rPr>
          <w:rFonts w:ascii="Times New Roman" w:hAnsi="Times New Roman" w:cs="Times New Roman"/>
          <w:sz w:val="24"/>
          <w:szCs w:val="24"/>
          <w:lang w:val="en-US"/>
        </w:rPr>
        <w:t xml:space="preserve">. </w:t>
      </w:r>
      <w:r w:rsidRPr="00DC4085">
        <w:rPr>
          <w:rFonts w:ascii="Times New Roman" w:hAnsi="Times New Roman" w:cs="Times New Roman"/>
          <w:sz w:val="24"/>
          <w:szCs w:val="24"/>
          <w:lang w:val="en-US"/>
        </w:rPr>
        <w:t>This evid</w:t>
      </w:r>
      <w:r>
        <w:rPr>
          <w:rFonts w:ascii="Times New Roman" w:hAnsi="Times New Roman" w:cs="Times New Roman"/>
          <w:sz w:val="24"/>
          <w:szCs w:val="24"/>
          <w:lang w:val="en-US"/>
        </w:rPr>
        <w:t>ence is tricky to interpret</w:t>
      </w:r>
      <w:r w:rsidR="00122079">
        <w:rPr>
          <w:rFonts w:ascii="Times New Roman" w:hAnsi="Times New Roman" w:cs="Times New Roman"/>
          <w:sz w:val="24"/>
          <w:szCs w:val="24"/>
          <w:lang w:val="en-US"/>
        </w:rPr>
        <w:t xml:space="preserve"> and there are </w:t>
      </w:r>
      <w:r w:rsidR="00FC13F7">
        <w:rPr>
          <w:rFonts w:ascii="Times New Roman" w:hAnsi="Times New Roman" w:cs="Times New Roman"/>
          <w:sz w:val="24"/>
          <w:szCs w:val="24"/>
          <w:lang w:val="en-US"/>
        </w:rPr>
        <w:t xml:space="preserve">still </w:t>
      </w:r>
      <w:r w:rsidR="004918DF">
        <w:rPr>
          <w:rFonts w:ascii="Times New Roman" w:hAnsi="Times New Roman" w:cs="Times New Roman"/>
          <w:sz w:val="24"/>
          <w:szCs w:val="24"/>
          <w:lang w:val="en-US"/>
        </w:rPr>
        <w:t>few contributions on the subject.</w:t>
      </w:r>
    </w:p>
    <w:p w:rsidR="0017404F" w:rsidRDefault="0024760E" w:rsidP="00986D35">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w:t>
      </w:r>
      <w:r w:rsidR="004918DF">
        <w:rPr>
          <w:rFonts w:ascii="Times New Roman" w:hAnsi="Times New Roman" w:cs="Times New Roman"/>
          <w:sz w:val="24"/>
          <w:szCs w:val="24"/>
          <w:lang w:val="en-US"/>
        </w:rPr>
        <w:t xml:space="preserve">e goal of this paper </w:t>
      </w:r>
      <w:r>
        <w:rPr>
          <w:rFonts w:ascii="Times New Roman" w:hAnsi="Times New Roman" w:cs="Times New Roman"/>
          <w:sz w:val="24"/>
          <w:szCs w:val="24"/>
          <w:lang w:val="en-US"/>
        </w:rPr>
        <w:t xml:space="preserve">is to shed light on </w:t>
      </w:r>
      <w:r w:rsidR="00C97821">
        <w:rPr>
          <w:rFonts w:ascii="Times New Roman" w:hAnsi="Times New Roman" w:cs="Times New Roman"/>
          <w:sz w:val="24"/>
          <w:szCs w:val="24"/>
          <w:lang w:val="en-US"/>
        </w:rPr>
        <w:t xml:space="preserve">determinants of corporate </w:t>
      </w:r>
      <w:r w:rsidR="001330BC">
        <w:rPr>
          <w:rFonts w:ascii="Times New Roman" w:hAnsi="Times New Roman" w:cs="Times New Roman"/>
          <w:sz w:val="24"/>
          <w:szCs w:val="24"/>
          <w:lang w:val="en-US"/>
        </w:rPr>
        <w:t xml:space="preserve">surpluses and deficits </w:t>
      </w:r>
      <w:r w:rsidR="00C97821">
        <w:rPr>
          <w:rFonts w:ascii="Times New Roman" w:hAnsi="Times New Roman" w:cs="Times New Roman"/>
          <w:sz w:val="24"/>
          <w:szCs w:val="24"/>
          <w:lang w:val="en-US"/>
        </w:rPr>
        <w:t>in the main industrial economies</w:t>
      </w:r>
      <w:r w:rsidR="00231FD7">
        <w:rPr>
          <w:rFonts w:ascii="Times New Roman" w:hAnsi="Times New Roman" w:cs="Times New Roman"/>
          <w:sz w:val="24"/>
          <w:szCs w:val="24"/>
          <w:lang w:val="en-US"/>
        </w:rPr>
        <w:t>.</w:t>
      </w:r>
      <w:r w:rsidR="0055365B">
        <w:rPr>
          <w:rFonts w:ascii="Times New Roman" w:hAnsi="Times New Roman" w:cs="Times New Roman"/>
          <w:sz w:val="24"/>
          <w:szCs w:val="24"/>
          <w:lang w:val="en-US"/>
        </w:rPr>
        <w:t xml:space="preserve"> </w:t>
      </w:r>
      <w:r w:rsidR="002C0CD1">
        <w:rPr>
          <w:rFonts w:ascii="Times New Roman" w:hAnsi="Times New Roman" w:cs="Times New Roman"/>
          <w:sz w:val="24"/>
          <w:szCs w:val="24"/>
          <w:lang w:val="en-US"/>
        </w:rPr>
        <w:t>In the literature d</w:t>
      </w:r>
      <w:r w:rsidR="004918DF" w:rsidRPr="006B42FF">
        <w:rPr>
          <w:rFonts w:ascii="Times New Roman" w:hAnsi="Times New Roman" w:cs="Times New Roman"/>
          <w:sz w:val="24"/>
          <w:szCs w:val="24"/>
          <w:lang w:val="en-US"/>
        </w:rPr>
        <w:t xml:space="preserve">ifferent explanations have been proposed </w:t>
      </w:r>
      <w:r w:rsidR="004918DF">
        <w:rPr>
          <w:rFonts w:ascii="Times New Roman" w:hAnsi="Times New Roman" w:cs="Times New Roman"/>
          <w:sz w:val="24"/>
          <w:szCs w:val="24"/>
          <w:lang w:val="en-US"/>
        </w:rPr>
        <w:t>t</w:t>
      </w:r>
      <w:r w:rsidR="00D933D2" w:rsidRPr="006B42FF">
        <w:rPr>
          <w:rFonts w:ascii="Times New Roman" w:hAnsi="Times New Roman" w:cs="Times New Roman"/>
          <w:sz w:val="24"/>
          <w:szCs w:val="24"/>
          <w:lang w:val="en-US"/>
        </w:rPr>
        <w:t xml:space="preserve">o </w:t>
      </w:r>
      <w:r w:rsidR="00231FD7">
        <w:rPr>
          <w:rFonts w:ascii="Times New Roman" w:hAnsi="Times New Roman" w:cs="Times New Roman"/>
          <w:sz w:val="24"/>
          <w:szCs w:val="24"/>
          <w:lang w:val="en-US"/>
        </w:rPr>
        <w:t xml:space="preserve">analyze </w:t>
      </w:r>
      <w:r w:rsidR="00D933D2" w:rsidRPr="006B42FF">
        <w:rPr>
          <w:rFonts w:ascii="Times New Roman" w:hAnsi="Times New Roman" w:cs="Times New Roman"/>
          <w:sz w:val="24"/>
          <w:szCs w:val="24"/>
          <w:lang w:val="en-US"/>
        </w:rPr>
        <w:t>th</w:t>
      </w:r>
      <w:r w:rsidR="004918DF">
        <w:rPr>
          <w:rFonts w:ascii="Times New Roman" w:hAnsi="Times New Roman" w:cs="Times New Roman"/>
          <w:sz w:val="24"/>
          <w:szCs w:val="24"/>
          <w:lang w:val="en-US"/>
        </w:rPr>
        <w:t>e</w:t>
      </w:r>
      <w:r w:rsidR="002E44EF" w:rsidRPr="006B42FF">
        <w:rPr>
          <w:rFonts w:ascii="Times New Roman" w:hAnsi="Times New Roman" w:cs="Times New Roman"/>
          <w:sz w:val="24"/>
          <w:szCs w:val="24"/>
          <w:lang w:val="en-US"/>
        </w:rPr>
        <w:t xml:space="preserve"> </w:t>
      </w:r>
      <w:r w:rsidR="00D933D2" w:rsidRPr="006B42FF">
        <w:rPr>
          <w:rFonts w:ascii="Times New Roman" w:hAnsi="Times New Roman" w:cs="Times New Roman"/>
          <w:sz w:val="24"/>
          <w:szCs w:val="24"/>
          <w:lang w:val="en-US"/>
        </w:rPr>
        <w:t>puzzle</w:t>
      </w:r>
      <w:r w:rsidR="002E44EF" w:rsidRPr="006B42FF">
        <w:rPr>
          <w:rFonts w:ascii="Times New Roman" w:hAnsi="Times New Roman" w:cs="Times New Roman"/>
          <w:sz w:val="24"/>
          <w:szCs w:val="24"/>
          <w:lang w:val="en-US"/>
        </w:rPr>
        <w:t xml:space="preserve"> </w:t>
      </w:r>
      <w:r w:rsidR="004918DF">
        <w:rPr>
          <w:rFonts w:ascii="Times New Roman" w:hAnsi="Times New Roman" w:cs="Times New Roman"/>
          <w:sz w:val="24"/>
          <w:szCs w:val="24"/>
          <w:lang w:val="en-US"/>
        </w:rPr>
        <w:t>of firms with persistent surplus</w:t>
      </w:r>
      <w:r w:rsidR="00231FD7">
        <w:rPr>
          <w:rFonts w:ascii="Times New Roman" w:hAnsi="Times New Roman" w:cs="Times New Roman"/>
          <w:sz w:val="24"/>
          <w:szCs w:val="24"/>
          <w:lang w:val="en-US"/>
        </w:rPr>
        <w:t>es</w:t>
      </w:r>
      <w:r w:rsidR="00143157">
        <w:rPr>
          <w:rFonts w:ascii="Times New Roman" w:hAnsi="Times New Roman" w:cs="Times New Roman"/>
          <w:sz w:val="24"/>
          <w:szCs w:val="24"/>
          <w:lang w:val="en-US"/>
        </w:rPr>
        <w:t>.</w:t>
      </w:r>
    </w:p>
    <w:p w:rsidR="00FC13F7" w:rsidRDefault="008C6D48" w:rsidP="00986D35">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André et al (2007) studied corporate net lending in the period 2001-2005 in the main OECD countries and found </w:t>
      </w:r>
      <w:r w:rsidR="002C0CD1">
        <w:rPr>
          <w:rFonts w:ascii="Times New Roman" w:hAnsi="Times New Roman" w:cs="Times New Roman"/>
          <w:sz w:val="24"/>
          <w:szCs w:val="24"/>
          <w:lang w:val="en-US"/>
        </w:rPr>
        <w:t xml:space="preserve">among the </w:t>
      </w:r>
      <w:r>
        <w:rPr>
          <w:rFonts w:ascii="Times New Roman" w:hAnsi="Times New Roman" w:cs="Times New Roman"/>
          <w:sz w:val="24"/>
          <w:szCs w:val="24"/>
          <w:lang w:val="en-US"/>
        </w:rPr>
        <w:t xml:space="preserve">explanatory factors the fall of corporate investment, the </w:t>
      </w:r>
      <w:r w:rsidR="004D2EC7">
        <w:rPr>
          <w:rFonts w:ascii="Times New Roman" w:hAnsi="Times New Roman" w:cs="Times New Roman"/>
          <w:sz w:val="24"/>
          <w:szCs w:val="24"/>
          <w:lang w:val="en-US"/>
        </w:rPr>
        <w:t xml:space="preserve">growth of </w:t>
      </w:r>
      <w:r>
        <w:rPr>
          <w:rFonts w:ascii="Times New Roman" w:hAnsi="Times New Roman" w:cs="Times New Roman"/>
          <w:sz w:val="24"/>
          <w:szCs w:val="24"/>
          <w:lang w:val="en-US"/>
        </w:rPr>
        <w:t xml:space="preserve">net foreign investment abroad, and increasing profit shares, possibly related to wage moderation and low interest rates. More recently </w:t>
      </w:r>
      <w:r w:rsidR="00C14E41" w:rsidRPr="00C14E41">
        <w:rPr>
          <w:rFonts w:ascii="Times New Roman" w:hAnsi="Times New Roman" w:cs="Times New Roman"/>
          <w:sz w:val="24"/>
          <w:szCs w:val="24"/>
          <w:lang w:val="en-US"/>
        </w:rPr>
        <w:t xml:space="preserve">Gruber and </w:t>
      </w:r>
      <w:proofErr w:type="spellStart"/>
      <w:r w:rsidR="00C14E41" w:rsidRPr="00C14E41">
        <w:rPr>
          <w:rFonts w:ascii="Times New Roman" w:hAnsi="Times New Roman" w:cs="Times New Roman"/>
          <w:sz w:val="24"/>
          <w:szCs w:val="24"/>
          <w:lang w:val="en-US"/>
        </w:rPr>
        <w:t>Kamin</w:t>
      </w:r>
      <w:proofErr w:type="spellEnd"/>
      <w:r w:rsidR="00C14E41" w:rsidRPr="00C14E41">
        <w:rPr>
          <w:rFonts w:ascii="Times New Roman" w:hAnsi="Times New Roman" w:cs="Times New Roman"/>
          <w:sz w:val="24"/>
          <w:szCs w:val="24"/>
          <w:lang w:val="en-US"/>
        </w:rPr>
        <w:t xml:space="preserve"> (2015) analyze</w:t>
      </w:r>
      <w:r w:rsidR="004D2EC7">
        <w:rPr>
          <w:rFonts w:ascii="Times New Roman" w:hAnsi="Times New Roman" w:cs="Times New Roman"/>
          <w:sz w:val="24"/>
          <w:szCs w:val="24"/>
          <w:lang w:val="en-US"/>
        </w:rPr>
        <w:t>d</w:t>
      </w:r>
      <w:r w:rsidR="00C14E41" w:rsidRPr="00C14E41">
        <w:rPr>
          <w:rFonts w:ascii="Times New Roman" w:hAnsi="Times New Roman" w:cs="Times New Roman"/>
          <w:sz w:val="24"/>
          <w:szCs w:val="24"/>
          <w:lang w:val="en-US"/>
        </w:rPr>
        <w:t xml:space="preserve"> the increase in net lending in G</w:t>
      </w:r>
      <w:r w:rsidR="00F93C37">
        <w:rPr>
          <w:rFonts w:ascii="Times New Roman" w:hAnsi="Times New Roman" w:cs="Times New Roman"/>
          <w:sz w:val="24"/>
          <w:szCs w:val="24"/>
          <w:lang w:val="en-US"/>
        </w:rPr>
        <w:t>6</w:t>
      </w:r>
      <w:r w:rsidR="00C14E41" w:rsidRPr="00C14E41">
        <w:rPr>
          <w:rFonts w:ascii="Times New Roman" w:hAnsi="Times New Roman" w:cs="Times New Roman"/>
          <w:sz w:val="24"/>
          <w:szCs w:val="24"/>
          <w:lang w:val="en-US"/>
        </w:rPr>
        <w:t xml:space="preserve"> economies conducting panel regressions over </w:t>
      </w:r>
      <w:r w:rsidR="00645EBA">
        <w:rPr>
          <w:rFonts w:ascii="Times New Roman" w:hAnsi="Times New Roman" w:cs="Times New Roman"/>
          <w:sz w:val="24"/>
          <w:szCs w:val="24"/>
          <w:lang w:val="en-US"/>
        </w:rPr>
        <w:t>long time horizons (1961-2001; 1961-2006; 1961-2013)</w:t>
      </w:r>
      <w:r w:rsidR="00C14E41" w:rsidRPr="00C14E41">
        <w:rPr>
          <w:rFonts w:ascii="Times New Roman" w:hAnsi="Times New Roman" w:cs="Times New Roman"/>
          <w:sz w:val="24"/>
          <w:szCs w:val="24"/>
          <w:lang w:val="en-US"/>
        </w:rPr>
        <w:t>. Their main result is that the increase of the corporate saving glut is related to lower investment. The weakness in investment spending was particularly strong after the global financial crisis but corporate investment was disappointing also in the years preceding the collapse of Lehman Brothers.</w:t>
      </w:r>
      <w:r w:rsidR="00645EBA">
        <w:rPr>
          <w:rFonts w:ascii="Times New Roman" w:hAnsi="Times New Roman" w:cs="Times New Roman"/>
          <w:sz w:val="24"/>
          <w:szCs w:val="24"/>
          <w:lang w:val="en-US"/>
        </w:rPr>
        <w:t xml:space="preserve"> </w:t>
      </w:r>
      <w:r w:rsidR="00FC13F7">
        <w:rPr>
          <w:rFonts w:ascii="Times New Roman" w:hAnsi="Times New Roman" w:cs="Times New Roman"/>
          <w:sz w:val="24"/>
          <w:szCs w:val="24"/>
          <w:lang w:val="en-US"/>
        </w:rPr>
        <w:t xml:space="preserve">Gruber and </w:t>
      </w:r>
      <w:proofErr w:type="spellStart"/>
      <w:r w:rsidR="00FC13F7">
        <w:rPr>
          <w:rFonts w:ascii="Times New Roman" w:hAnsi="Times New Roman" w:cs="Times New Roman"/>
          <w:sz w:val="24"/>
          <w:szCs w:val="24"/>
          <w:lang w:val="en-US"/>
        </w:rPr>
        <w:t>Kamin</w:t>
      </w:r>
      <w:proofErr w:type="spellEnd"/>
      <w:r w:rsidR="00FC13F7">
        <w:rPr>
          <w:rFonts w:ascii="Times New Roman" w:hAnsi="Times New Roman" w:cs="Times New Roman"/>
          <w:sz w:val="24"/>
          <w:szCs w:val="24"/>
          <w:lang w:val="en-US"/>
        </w:rPr>
        <w:t xml:space="preserve"> emphasize that c</w:t>
      </w:r>
      <w:r w:rsidR="00645EBA">
        <w:rPr>
          <w:rFonts w:ascii="Times New Roman" w:hAnsi="Times New Roman" w:cs="Times New Roman"/>
          <w:sz w:val="24"/>
          <w:szCs w:val="24"/>
          <w:lang w:val="en-US"/>
        </w:rPr>
        <w:t xml:space="preserve">orporate payouts to investors in the form of dividends and </w:t>
      </w:r>
      <w:r w:rsidR="00FC13F7">
        <w:rPr>
          <w:rFonts w:ascii="Times New Roman" w:hAnsi="Times New Roman" w:cs="Times New Roman"/>
          <w:sz w:val="24"/>
          <w:szCs w:val="24"/>
          <w:lang w:val="en-US"/>
        </w:rPr>
        <w:t>e</w:t>
      </w:r>
      <w:r w:rsidR="00645EBA">
        <w:rPr>
          <w:rFonts w:ascii="Times New Roman" w:hAnsi="Times New Roman" w:cs="Times New Roman"/>
          <w:sz w:val="24"/>
          <w:szCs w:val="24"/>
          <w:lang w:val="en-US"/>
        </w:rPr>
        <w:t xml:space="preserve">quity buybacks have </w:t>
      </w:r>
      <w:r w:rsidR="004D2EC7">
        <w:rPr>
          <w:rFonts w:ascii="Times New Roman" w:hAnsi="Times New Roman" w:cs="Times New Roman"/>
          <w:sz w:val="24"/>
          <w:szCs w:val="24"/>
          <w:lang w:val="en-US"/>
        </w:rPr>
        <w:t xml:space="preserve">also </w:t>
      </w:r>
      <w:r w:rsidR="00645EBA">
        <w:rPr>
          <w:rFonts w:ascii="Times New Roman" w:hAnsi="Times New Roman" w:cs="Times New Roman"/>
          <w:sz w:val="24"/>
          <w:szCs w:val="24"/>
          <w:lang w:val="en-US"/>
        </w:rPr>
        <w:t xml:space="preserve">increased in last years: this is inconsistent with the idea that prudent firms were </w:t>
      </w:r>
      <w:r w:rsidR="00FC13F7">
        <w:rPr>
          <w:rFonts w:ascii="Times New Roman" w:hAnsi="Times New Roman" w:cs="Times New Roman"/>
          <w:sz w:val="24"/>
          <w:szCs w:val="24"/>
          <w:lang w:val="en-US"/>
        </w:rPr>
        <w:t xml:space="preserve">cutting </w:t>
      </w:r>
      <w:r w:rsidR="00645EBA">
        <w:rPr>
          <w:rFonts w:ascii="Times New Roman" w:hAnsi="Times New Roman" w:cs="Times New Roman"/>
          <w:sz w:val="24"/>
          <w:szCs w:val="24"/>
          <w:lang w:val="en-US"/>
        </w:rPr>
        <w:t>investments to strengthen their balance sheets.</w:t>
      </w:r>
    </w:p>
    <w:p w:rsidR="00C14E41" w:rsidRDefault="00FC13F7" w:rsidP="00986D35">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the opinion that non-financial corporations reduce their investments because of financial </w:t>
      </w:r>
      <w:r w:rsidR="005C27BA">
        <w:rPr>
          <w:rFonts w:ascii="Times New Roman" w:hAnsi="Times New Roman" w:cs="Times New Roman"/>
          <w:sz w:val="24"/>
          <w:szCs w:val="24"/>
          <w:lang w:val="en-US"/>
        </w:rPr>
        <w:t xml:space="preserve">issues </w:t>
      </w:r>
      <w:r>
        <w:rPr>
          <w:rFonts w:ascii="Times New Roman" w:hAnsi="Times New Roman" w:cs="Times New Roman"/>
          <w:sz w:val="24"/>
          <w:szCs w:val="24"/>
          <w:lang w:val="en-US"/>
        </w:rPr>
        <w:t xml:space="preserve">is widespread in the literature. </w:t>
      </w:r>
      <w:proofErr w:type="spellStart"/>
      <w:r w:rsidR="00645EBA" w:rsidRPr="00645EBA">
        <w:rPr>
          <w:rFonts w:ascii="Times New Roman" w:hAnsi="Times New Roman" w:cs="Times New Roman"/>
          <w:sz w:val="24"/>
          <w:szCs w:val="24"/>
          <w:lang w:val="en-US"/>
        </w:rPr>
        <w:t>Armenter</w:t>
      </w:r>
      <w:proofErr w:type="spellEnd"/>
      <w:r w:rsidR="00645EBA" w:rsidRPr="00645EBA">
        <w:rPr>
          <w:rFonts w:ascii="Times New Roman" w:hAnsi="Times New Roman" w:cs="Times New Roman"/>
          <w:sz w:val="24"/>
          <w:szCs w:val="24"/>
          <w:lang w:val="en-US"/>
        </w:rPr>
        <w:t xml:space="preserve"> and </w:t>
      </w:r>
      <w:proofErr w:type="spellStart"/>
      <w:r w:rsidR="00645EBA" w:rsidRPr="00645EBA">
        <w:rPr>
          <w:rFonts w:ascii="Times New Roman" w:hAnsi="Times New Roman" w:cs="Times New Roman"/>
          <w:sz w:val="24"/>
          <w:szCs w:val="24"/>
          <w:lang w:val="en-US"/>
        </w:rPr>
        <w:t>Hnatkovska</w:t>
      </w:r>
      <w:proofErr w:type="spellEnd"/>
      <w:r w:rsidR="00645EBA" w:rsidRPr="00645EBA">
        <w:rPr>
          <w:rFonts w:ascii="Times New Roman" w:hAnsi="Times New Roman" w:cs="Times New Roman"/>
          <w:sz w:val="24"/>
          <w:szCs w:val="24"/>
          <w:lang w:val="en-US"/>
        </w:rPr>
        <w:t xml:space="preserve"> (2014) develop a </w:t>
      </w:r>
      <w:r w:rsidR="00645EBA">
        <w:rPr>
          <w:rFonts w:ascii="Times New Roman" w:hAnsi="Times New Roman" w:cs="Times New Roman"/>
          <w:sz w:val="24"/>
          <w:szCs w:val="24"/>
          <w:lang w:val="en-US"/>
        </w:rPr>
        <w:t xml:space="preserve">theoretical </w:t>
      </w:r>
      <w:r w:rsidR="00645EBA" w:rsidRPr="00645EBA">
        <w:rPr>
          <w:rFonts w:ascii="Times New Roman" w:hAnsi="Times New Roman" w:cs="Times New Roman"/>
          <w:sz w:val="24"/>
          <w:szCs w:val="24"/>
          <w:lang w:val="en-US"/>
        </w:rPr>
        <w:t>model to explain the occurrence of firms’ net lending</w:t>
      </w:r>
      <w:r w:rsidR="00645EBA">
        <w:rPr>
          <w:rFonts w:ascii="Times New Roman" w:hAnsi="Times New Roman" w:cs="Times New Roman"/>
          <w:sz w:val="24"/>
          <w:szCs w:val="24"/>
          <w:lang w:val="en-US"/>
        </w:rPr>
        <w:t xml:space="preserve"> putting </w:t>
      </w:r>
      <w:r w:rsidR="00645EBA" w:rsidRPr="00645EBA">
        <w:rPr>
          <w:rFonts w:ascii="Times New Roman" w:hAnsi="Times New Roman" w:cs="Times New Roman"/>
          <w:sz w:val="24"/>
          <w:szCs w:val="24"/>
          <w:lang w:val="en-US"/>
        </w:rPr>
        <w:t>the attention on the precautionary motive: firms accumulate financial assets in order to avoid being financially constrained in the future.</w:t>
      </w:r>
    </w:p>
    <w:p w:rsidR="00C14E41" w:rsidRDefault="00C14E41" w:rsidP="00986D35">
      <w:pPr>
        <w:spacing w:after="0" w:line="360" w:lineRule="auto"/>
        <w:ind w:firstLine="708"/>
        <w:jc w:val="both"/>
        <w:rPr>
          <w:rFonts w:ascii="Times New Roman" w:hAnsi="Times New Roman" w:cs="Times New Roman"/>
          <w:sz w:val="24"/>
          <w:szCs w:val="24"/>
          <w:lang w:val="en-US"/>
        </w:rPr>
      </w:pPr>
      <w:r w:rsidRPr="00C14E41">
        <w:rPr>
          <w:rFonts w:ascii="Times New Roman" w:hAnsi="Times New Roman" w:cs="Times New Roman"/>
          <w:sz w:val="24"/>
          <w:szCs w:val="24"/>
          <w:lang w:val="en-US"/>
        </w:rPr>
        <w:lastRenderedPageBreak/>
        <w:t>In emerging countries firm surpluses have been sometime explained by credit constraints</w:t>
      </w:r>
      <w:r>
        <w:rPr>
          <w:rStyle w:val="Rimandonotaapidipagina"/>
          <w:rFonts w:ascii="Times New Roman" w:hAnsi="Times New Roman" w:cs="Times New Roman"/>
          <w:sz w:val="24"/>
          <w:szCs w:val="24"/>
          <w:lang w:val="en-US"/>
        </w:rPr>
        <w:footnoteReference w:id="1"/>
      </w:r>
      <w:r w:rsidRPr="00C14E41">
        <w:rPr>
          <w:rFonts w:ascii="Times New Roman" w:hAnsi="Times New Roman" w:cs="Times New Roman"/>
          <w:sz w:val="24"/>
          <w:szCs w:val="24"/>
          <w:lang w:val="en-US"/>
        </w:rPr>
        <w:t xml:space="preserve">, but also in industrial economies banks could not be able to reach all the segments of firms. </w:t>
      </w:r>
      <w:proofErr w:type="spellStart"/>
      <w:r w:rsidRPr="00C14E41">
        <w:rPr>
          <w:rFonts w:ascii="Times New Roman" w:hAnsi="Times New Roman" w:cs="Times New Roman"/>
          <w:sz w:val="24"/>
          <w:szCs w:val="24"/>
          <w:lang w:val="en-US"/>
        </w:rPr>
        <w:t>Brufman</w:t>
      </w:r>
      <w:proofErr w:type="spellEnd"/>
      <w:r w:rsidRPr="00C14E41">
        <w:rPr>
          <w:rFonts w:ascii="Times New Roman" w:hAnsi="Times New Roman" w:cs="Times New Roman"/>
          <w:sz w:val="24"/>
          <w:szCs w:val="24"/>
          <w:lang w:val="en-US"/>
        </w:rPr>
        <w:t xml:space="preserve"> et al. (2013) focus on the role </w:t>
      </w:r>
      <w:r w:rsidR="0055365B">
        <w:rPr>
          <w:rFonts w:ascii="Times New Roman" w:hAnsi="Times New Roman" w:cs="Times New Roman"/>
          <w:sz w:val="24"/>
          <w:szCs w:val="24"/>
          <w:lang w:val="en-US"/>
        </w:rPr>
        <w:t xml:space="preserve">of </w:t>
      </w:r>
      <w:r w:rsidRPr="00C14E41">
        <w:rPr>
          <w:rFonts w:ascii="Times New Roman" w:hAnsi="Times New Roman" w:cs="Times New Roman"/>
          <w:sz w:val="24"/>
          <w:szCs w:val="24"/>
          <w:lang w:val="en-US"/>
        </w:rPr>
        <w:t>financial constraints to analyze the excess of savings (ES)</w:t>
      </w:r>
      <w:r w:rsidR="0055365B">
        <w:rPr>
          <w:rFonts w:ascii="Times New Roman" w:hAnsi="Times New Roman" w:cs="Times New Roman"/>
          <w:sz w:val="24"/>
          <w:szCs w:val="24"/>
          <w:lang w:val="en-US"/>
        </w:rPr>
        <w:t>,</w:t>
      </w:r>
      <w:r w:rsidRPr="00C14E41">
        <w:rPr>
          <w:rFonts w:ascii="Times New Roman" w:hAnsi="Times New Roman" w:cs="Times New Roman"/>
          <w:sz w:val="24"/>
          <w:szCs w:val="24"/>
          <w:lang w:val="en-US"/>
        </w:rPr>
        <w:t xml:space="preserve"> using micro data on firms for France, Germany, Italy, UK and Japan over the period 1997-2011. These authors show that ES is related to a decline of investments. Moreover firms reduced leverage and the share of operating assets in total assets. These trends were stronger among the more credit constrained and the less dynamic firms.</w:t>
      </w:r>
    </w:p>
    <w:p w:rsidR="00EF7512" w:rsidRDefault="007B74A1" w:rsidP="00BC1C3D">
      <w:pPr>
        <w:spacing w:after="0" w:line="360" w:lineRule="auto"/>
        <w:ind w:firstLine="708"/>
        <w:jc w:val="both"/>
        <w:rPr>
          <w:rFonts w:ascii="Times New Roman" w:hAnsi="Times New Roman" w:cs="Times New Roman"/>
          <w:sz w:val="24"/>
          <w:szCs w:val="24"/>
          <w:lang w:val="en-US"/>
        </w:rPr>
      </w:pPr>
      <w:r w:rsidRPr="007B74A1">
        <w:rPr>
          <w:rFonts w:ascii="Times New Roman" w:hAnsi="Times New Roman" w:cs="Times New Roman"/>
          <w:sz w:val="24"/>
          <w:szCs w:val="24"/>
          <w:lang w:val="en-US"/>
        </w:rPr>
        <w:t xml:space="preserve">While there is a broad consensus on the effect of investments on net lending/net borrowing, the evidence is more uncertain for consumption. A slowdown of consumption might induce firms to reduce their investments diverting resources towards the accumulation of financial assets. </w:t>
      </w:r>
      <w:r w:rsidR="004D2EC7">
        <w:rPr>
          <w:rFonts w:ascii="Times New Roman" w:hAnsi="Times New Roman" w:cs="Times New Roman"/>
          <w:sz w:val="24"/>
          <w:szCs w:val="24"/>
          <w:lang w:val="en-US"/>
        </w:rPr>
        <w:t>As already mentioned a</w:t>
      </w:r>
      <w:r w:rsidR="00685C4E" w:rsidRPr="003A4CC7">
        <w:rPr>
          <w:rFonts w:ascii="Times New Roman" w:hAnsi="Times New Roman" w:cs="Times New Roman"/>
          <w:sz w:val="24"/>
          <w:szCs w:val="24"/>
          <w:lang w:val="en-US"/>
        </w:rPr>
        <w:t xml:space="preserve">nother </w:t>
      </w:r>
      <w:r w:rsidR="00724A68">
        <w:rPr>
          <w:rFonts w:ascii="Times New Roman" w:hAnsi="Times New Roman" w:cs="Times New Roman"/>
          <w:sz w:val="24"/>
          <w:szCs w:val="24"/>
          <w:lang w:val="en-US"/>
        </w:rPr>
        <w:t xml:space="preserve">possible </w:t>
      </w:r>
      <w:r w:rsidR="00685C4E" w:rsidRPr="003A4CC7">
        <w:rPr>
          <w:rFonts w:ascii="Times New Roman" w:hAnsi="Times New Roman" w:cs="Times New Roman"/>
          <w:sz w:val="24"/>
          <w:szCs w:val="24"/>
          <w:lang w:val="en-US"/>
        </w:rPr>
        <w:t xml:space="preserve">explanation </w:t>
      </w:r>
      <w:r w:rsidR="00BA76BC">
        <w:rPr>
          <w:rFonts w:ascii="Times New Roman" w:hAnsi="Times New Roman" w:cs="Times New Roman"/>
          <w:sz w:val="24"/>
          <w:szCs w:val="24"/>
          <w:lang w:val="en-US"/>
        </w:rPr>
        <w:t>of firm</w:t>
      </w:r>
      <w:r w:rsidR="00E0523B">
        <w:rPr>
          <w:rFonts w:ascii="Times New Roman" w:hAnsi="Times New Roman" w:cs="Times New Roman"/>
          <w:sz w:val="24"/>
          <w:szCs w:val="24"/>
          <w:lang w:val="en-US"/>
        </w:rPr>
        <w:t xml:space="preserve">s’ </w:t>
      </w:r>
      <w:r w:rsidR="00521A64">
        <w:rPr>
          <w:rFonts w:ascii="Times New Roman" w:hAnsi="Times New Roman" w:cs="Times New Roman"/>
          <w:sz w:val="24"/>
          <w:szCs w:val="24"/>
          <w:lang w:val="en-US"/>
        </w:rPr>
        <w:t xml:space="preserve">net </w:t>
      </w:r>
      <w:r w:rsidR="00685C4E" w:rsidRPr="003A4CC7">
        <w:rPr>
          <w:rFonts w:ascii="Times New Roman" w:hAnsi="Times New Roman" w:cs="Times New Roman"/>
          <w:sz w:val="24"/>
          <w:szCs w:val="24"/>
          <w:lang w:val="en-US"/>
        </w:rPr>
        <w:t xml:space="preserve">saving </w:t>
      </w:r>
      <w:r w:rsidR="00BA76BC">
        <w:rPr>
          <w:rFonts w:ascii="Times New Roman" w:hAnsi="Times New Roman" w:cs="Times New Roman"/>
          <w:sz w:val="24"/>
          <w:szCs w:val="24"/>
          <w:lang w:val="en-US"/>
        </w:rPr>
        <w:t xml:space="preserve">is </w:t>
      </w:r>
      <w:r w:rsidR="00E0523B">
        <w:rPr>
          <w:rFonts w:ascii="Times New Roman" w:hAnsi="Times New Roman" w:cs="Times New Roman"/>
          <w:sz w:val="24"/>
          <w:szCs w:val="24"/>
          <w:lang w:val="en-US"/>
        </w:rPr>
        <w:t xml:space="preserve">their </w:t>
      </w:r>
      <w:r w:rsidR="00521A64">
        <w:rPr>
          <w:rFonts w:ascii="Times New Roman" w:hAnsi="Times New Roman" w:cs="Times New Roman"/>
          <w:sz w:val="24"/>
          <w:szCs w:val="24"/>
          <w:lang w:val="en-US"/>
        </w:rPr>
        <w:t>internationalization.</w:t>
      </w:r>
      <w:r w:rsidR="003A4CC7">
        <w:rPr>
          <w:rFonts w:ascii="Times New Roman" w:hAnsi="Times New Roman" w:cs="Times New Roman"/>
          <w:sz w:val="24"/>
          <w:szCs w:val="24"/>
          <w:lang w:val="en-US"/>
        </w:rPr>
        <w:t xml:space="preserve"> </w:t>
      </w:r>
      <w:r w:rsidR="00BA76BC" w:rsidRPr="00A80519">
        <w:rPr>
          <w:rFonts w:ascii="Times New Roman" w:hAnsi="Times New Roman" w:cs="Times New Roman"/>
          <w:sz w:val="24"/>
          <w:szCs w:val="24"/>
          <w:lang w:val="en-US"/>
        </w:rPr>
        <w:t>G</w:t>
      </w:r>
      <w:r w:rsidR="009F7DCC" w:rsidRPr="00A80519">
        <w:rPr>
          <w:rFonts w:ascii="Times New Roman" w:hAnsi="Times New Roman" w:cs="Times New Roman"/>
          <w:sz w:val="24"/>
          <w:szCs w:val="24"/>
          <w:lang w:val="en-US"/>
        </w:rPr>
        <w:t xml:space="preserve">lobalization </w:t>
      </w:r>
      <w:r w:rsidR="00BA76BC" w:rsidRPr="00A80519">
        <w:rPr>
          <w:rFonts w:ascii="Times New Roman" w:hAnsi="Times New Roman" w:cs="Times New Roman"/>
          <w:sz w:val="24"/>
          <w:szCs w:val="24"/>
          <w:lang w:val="en-US"/>
        </w:rPr>
        <w:t xml:space="preserve">caused </w:t>
      </w:r>
      <w:r w:rsidR="009F7DCC" w:rsidRPr="00A80519">
        <w:rPr>
          <w:rFonts w:ascii="Times New Roman" w:hAnsi="Times New Roman" w:cs="Times New Roman"/>
          <w:sz w:val="24"/>
          <w:szCs w:val="24"/>
          <w:lang w:val="en-US"/>
        </w:rPr>
        <w:t>deindustrialization</w:t>
      </w:r>
      <w:r w:rsidR="008728DD" w:rsidRPr="00A80519">
        <w:rPr>
          <w:rFonts w:ascii="Times New Roman" w:hAnsi="Times New Roman" w:cs="Times New Roman"/>
          <w:sz w:val="24"/>
          <w:szCs w:val="24"/>
          <w:lang w:val="en-US"/>
        </w:rPr>
        <w:t xml:space="preserve"> in </w:t>
      </w:r>
      <w:r w:rsidR="00BA76BC" w:rsidRPr="00A80519">
        <w:rPr>
          <w:rFonts w:ascii="Times New Roman" w:hAnsi="Times New Roman" w:cs="Times New Roman"/>
          <w:sz w:val="24"/>
          <w:szCs w:val="24"/>
          <w:lang w:val="en-US"/>
        </w:rPr>
        <w:t xml:space="preserve">rich </w:t>
      </w:r>
      <w:r w:rsidR="008728DD" w:rsidRPr="00A80519">
        <w:rPr>
          <w:rFonts w:ascii="Times New Roman" w:hAnsi="Times New Roman" w:cs="Times New Roman"/>
          <w:sz w:val="24"/>
          <w:szCs w:val="24"/>
          <w:lang w:val="en-US"/>
        </w:rPr>
        <w:t>countrie</w:t>
      </w:r>
      <w:r w:rsidR="00EF7512">
        <w:rPr>
          <w:rFonts w:ascii="Times New Roman" w:hAnsi="Times New Roman" w:cs="Times New Roman"/>
          <w:sz w:val="24"/>
          <w:szCs w:val="24"/>
          <w:lang w:val="en-US"/>
        </w:rPr>
        <w:t>s</w:t>
      </w:r>
      <w:r w:rsidR="00E0523B">
        <w:rPr>
          <w:rFonts w:ascii="Times New Roman" w:hAnsi="Times New Roman" w:cs="Times New Roman"/>
          <w:sz w:val="24"/>
          <w:szCs w:val="24"/>
          <w:lang w:val="en-US"/>
        </w:rPr>
        <w:t xml:space="preserve">. </w:t>
      </w:r>
      <w:r w:rsidR="00506FD0">
        <w:rPr>
          <w:rFonts w:ascii="Times New Roman" w:hAnsi="Times New Roman" w:cs="Times New Roman"/>
          <w:sz w:val="24"/>
          <w:szCs w:val="24"/>
          <w:lang w:val="en-US"/>
        </w:rPr>
        <w:t>F</w:t>
      </w:r>
      <w:r w:rsidR="00F93C37">
        <w:rPr>
          <w:rFonts w:ascii="Times New Roman" w:hAnsi="Times New Roman" w:cs="Times New Roman"/>
          <w:sz w:val="24"/>
          <w:szCs w:val="24"/>
          <w:lang w:val="en-US"/>
        </w:rPr>
        <w:t xml:space="preserve">irms </w:t>
      </w:r>
      <w:r w:rsidR="00EF7512">
        <w:rPr>
          <w:rFonts w:ascii="Times New Roman" w:hAnsi="Times New Roman" w:cs="Times New Roman"/>
          <w:sz w:val="24"/>
          <w:szCs w:val="24"/>
          <w:lang w:val="en-US"/>
        </w:rPr>
        <w:t>invest</w:t>
      </w:r>
      <w:r w:rsidR="00F93C37">
        <w:rPr>
          <w:rFonts w:ascii="Times New Roman" w:hAnsi="Times New Roman" w:cs="Times New Roman"/>
          <w:sz w:val="24"/>
          <w:szCs w:val="24"/>
          <w:lang w:val="en-US"/>
        </w:rPr>
        <w:t>ed</w:t>
      </w:r>
      <w:r w:rsidR="00EF7512">
        <w:rPr>
          <w:rFonts w:ascii="Times New Roman" w:hAnsi="Times New Roman" w:cs="Times New Roman"/>
          <w:sz w:val="24"/>
          <w:szCs w:val="24"/>
          <w:lang w:val="en-US"/>
        </w:rPr>
        <w:t xml:space="preserve"> abroad</w:t>
      </w:r>
      <w:r w:rsidR="004D2EC7">
        <w:rPr>
          <w:rFonts w:ascii="Times New Roman" w:hAnsi="Times New Roman" w:cs="Times New Roman"/>
          <w:sz w:val="24"/>
          <w:szCs w:val="24"/>
          <w:lang w:val="en-US"/>
        </w:rPr>
        <w:t>,</w:t>
      </w:r>
      <w:r w:rsidR="00EF7512">
        <w:rPr>
          <w:rFonts w:ascii="Times New Roman" w:hAnsi="Times New Roman" w:cs="Times New Roman"/>
          <w:sz w:val="24"/>
          <w:szCs w:val="24"/>
          <w:lang w:val="en-US"/>
        </w:rPr>
        <w:t xml:space="preserve"> w</w:t>
      </w:r>
      <w:r w:rsidR="00F93C37">
        <w:rPr>
          <w:rFonts w:ascii="Times New Roman" w:hAnsi="Times New Roman" w:cs="Times New Roman"/>
          <w:sz w:val="24"/>
          <w:szCs w:val="24"/>
          <w:lang w:val="en-US"/>
        </w:rPr>
        <w:t>h</w:t>
      </w:r>
      <w:r w:rsidR="00EF7512">
        <w:rPr>
          <w:rFonts w:ascii="Times New Roman" w:hAnsi="Times New Roman" w:cs="Times New Roman"/>
          <w:sz w:val="24"/>
          <w:szCs w:val="24"/>
          <w:lang w:val="en-US"/>
        </w:rPr>
        <w:t xml:space="preserve">ere </w:t>
      </w:r>
      <w:r w:rsidR="003A4CC7">
        <w:rPr>
          <w:rFonts w:ascii="Times New Roman" w:hAnsi="Times New Roman" w:cs="Times New Roman"/>
          <w:sz w:val="24"/>
          <w:szCs w:val="24"/>
          <w:lang w:val="en-US"/>
        </w:rPr>
        <w:t xml:space="preserve">expected </w:t>
      </w:r>
      <w:r w:rsidR="003A4CC7" w:rsidRPr="00D17677">
        <w:rPr>
          <w:rFonts w:ascii="Times New Roman" w:hAnsi="Times New Roman" w:cs="Times New Roman"/>
          <w:sz w:val="24"/>
          <w:szCs w:val="24"/>
          <w:lang w:val="en-US"/>
        </w:rPr>
        <w:t xml:space="preserve">returns </w:t>
      </w:r>
      <w:r w:rsidR="00F93C37">
        <w:rPr>
          <w:rFonts w:ascii="Times New Roman" w:hAnsi="Times New Roman" w:cs="Times New Roman"/>
          <w:sz w:val="24"/>
          <w:szCs w:val="24"/>
          <w:lang w:val="en-US"/>
        </w:rPr>
        <w:t>are higher</w:t>
      </w:r>
      <w:r w:rsidR="004D2EC7">
        <w:rPr>
          <w:rFonts w:ascii="Times New Roman" w:hAnsi="Times New Roman" w:cs="Times New Roman"/>
          <w:sz w:val="24"/>
          <w:szCs w:val="24"/>
          <w:lang w:val="en-US"/>
        </w:rPr>
        <w:t xml:space="preserve">, </w:t>
      </w:r>
      <w:r w:rsidR="00F93C37">
        <w:rPr>
          <w:rFonts w:ascii="Times New Roman" w:hAnsi="Times New Roman" w:cs="Times New Roman"/>
          <w:sz w:val="24"/>
          <w:szCs w:val="24"/>
          <w:lang w:val="en-US"/>
        </w:rPr>
        <w:t xml:space="preserve">because of lower wages and </w:t>
      </w:r>
      <w:r w:rsidR="003E4C16">
        <w:rPr>
          <w:rFonts w:ascii="Times New Roman" w:hAnsi="Times New Roman" w:cs="Times New Roman"/>
          <w:sz w:val="24"/>
          <w:szCs w:val="24"/>
          <w:lang w:val="en-US"/>
        </w:rPr>
        <w:t>looser regulation.</w:t>
      </w:r>
    </w:p>
    <w:p w:rsidR="00E15B06" w:rsidRPr="00281C22" w:rsidRDefault="00E0523B" w:rsidP="00281C22">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Taking into account the previous literature, </w:t>
      </w:r>
      <w:r w:rsidR="000F1EB2" w:rsidRPr="00D17677">
        <w:rPr>
          <w:rFonts w:ascii="Times New Roman" w:hAnsi="Times New Roman" w:cs="Times New Roman"/>
          <w:sz w:val="24"/>
          <w:szCs w:val="24"/>
          <w:lang w:val="en-US"/>
        </w:rPr>
        <w:t>we analyze the causes o</w:t>
      </w:r>
      <w:r w:rsidR="000F1EB2" w:rsidRPr="00252BAF">
        <w:rPr>
          <w:rFonts w:ascii="Times New Roman" w:hAnsi="Times New Roman" w:cs="Times New Roman"/>
          <w:sz w:val="24"/>
          <w:szCs w:val="24"/>
          <w:lang w:val="en-US"/>
        </w:rPr>
        <w:t xml:space="preserve">f corporate sector </w:t>
      </w:r>
      <w:r w:rsidR="001D68C4">
        <w:rPr>
          <w:rFonts w:ascii="Times New Roman" w:hAnsi="Times New Roman" w:cs="Times New Roman"/>
          <w:sz w:val="24"/>
          <w:szCs w:val="24"/>
          <w:lang w:val="en-US"/>
        </w:rPr>
        <w:t>net lending and net borrowing</w:t>
      </w:r>
      <w:r w:rsidR="007B74A1">
        <w:rPr>
          <w:rFonts w:ascii="Times New Roman" w:hAnsi="Times New Roman" w:cs="Times New Roman"/>
          <w:sz w:val="24"/>
          <w:szCs w:val="24"/>
          <w:lang w:val="en-US"/>
        </w:rPr>
        <w:t xml:space="preserve">. After this introduction, </w:t>
      </w:r>
      <w:r w:rsidR="00B349CA">
        <w:rPr>
          <w:rFonts w:ascii="Times New Roman" w:hAnsi="Times New Roman" w:cs="Times New Roman"/>
          <w:sz w:val="24"/>
          <w:szCs w:val="24"/>
          <w:lang w:val="en-US"/>
        </w:rPr>
        <w:t xml:space="preserve">Section 2 introduces the </w:t>
      </w:r>
      <w:r w:rsidR="004918DF">
        <w:rPr>
          <w:rFonts w:ascii="Times New Roman" w:hAnsi="Times New Roman" w:cs="Times New Roman"/>
          <w:sz w:val="24"/>
          <w:szCs w:val="24"/>
          <w:lang w:val="en-US"/>
        </w:rPr>
        <w:t xml:space="preserve">main issues </w:t>
      </w:r>
      <w:r w:rsidR="007B74A1">
        <w:rPr>
          <w:rFonts w:ascii="Times New Roman" w:hAnsi="Times New Roman" w:cs="Times New Roman"/>
          <w:sz w:val="24"/>
          <w:szCs w:val="24"/>
          <w:lang w:val="en-US"/>
        </w:rPr>
        <w:t xml:space="preserve">on </w:t>
      </w:r>
      <w:r w:rsidR="00D22DB8">
        <w:rPr>
          <w:rFonts w:ascii="Times New Roman" w:hAnsi="Times New Roman" w:cs="Times New Roman"/>
          <w:sz w:val="24"/>
          <w:szCs w:val="24"/>
          <w:lang w:val="en-US"/>
        </w:rPr>
        <w:t xml:space="preserve">financial accounts and </w:t>
      </w:r>
      <w:r w:rsidR="009E501A">
        <w:rPr>
          <w:rFonts w:ascii="Times New Roman" w:hAnsi="Times New Roman" w:cs="Times New Roman"/>
          <w:sz w:val="24"/>
          <w:szCs w:val="24"/>
          <w:lang w:val="en-US"/>
        </w:rPr>
        <w:t xml:space="preserve">accounting </w:t>
      </w:r>
      <w:r w:rsidR="00D22DB8">
        <w:rPr>
          <w:rFonts w:ascii="Times New Roman" w:hAnsi="Times New Roman" w:cs="Times New Roman"/>
          <w:sz w:val="24"/>
          <w:szCs w:val="24"/>
          <w:lang w:val="en-US"/>
        </w:rPr>
        <w:t>identities</w:t>
      </w:r>
      <w:r w:rsidR="00506FD0">
        <w:rPr>
          <w:rFonts w:ascii="Times New Roman" w:hAnsi="Times New Roman" w:cs="Times New Roman"/>
          <w:sz w:val="24"/>
          <w:szCs w:val="24"/>
          <w:lang w:val="en-US"/>
        </w:rPr>
        <w:t xml:space="preserve">, and summarizes how globalization of production may influence net lending/borrowing. </w:t>
      </w:r>
      <w:r w:rsidR="00D22DB8">
        <w:rPr>
          <w:rFonts w:ascii="Times New Roman" w:hAnsi="Times New Roman" w:cs="Times New Roman"/>
          <w:sz w:val="24"/>
          <w:szCs w:val="24"/>
          <w:lang w:val="en-US"/>
        </w:rPr>
        <w:t xml:space="preserve">Section 3 describes the dataset and reports the </w:t>
      </w:r>
      <w:r w:rsidR="00506FD0">
        <w:rPr>
          <w:rFonts w:ascii="Times New Roman" w:hAnsi="Times New Roman" w:cs="Times New Roman"/>
          <w:sz w:val="24"/>
          <w:szCs w:val="24"/>
          <w:lang w:val="en-US"/>
        </w:rPr>
        <w:t xml:space="preserve">aggregate </w:t>
      </w:r>
      <w:r w:rsidR="00D22DB8">
        <w:rPr>
          <w:rFonts w:ascii="Times New Roman" w:hAnsi="Times New Roman" w:cs="Times New Roman"/>
          <w:sz w:val="24"/>
          <w:szCs w:val="24"/>
          <w:lang w:val="en-US"/>
        </w:rPr>
        <w:t xml:space="preserve">evidence </w:t>
      </w:r>
      <w:r w:rsidR="009E501A">
        <w:rPr>
          <w:rFonts w:ascii="Times New Roman" w:hAnsi="Times New Roman" w:cs="Times New Roman"/>
          <w:sz w:val="24"/>
          <w:szCs w:val="24"/>
          <w:lang w:val="en-US"/>
        </w:rPr>
        <w:t xml:space="preserve">on firms’ </w:t>
      </w:r>
      <w:r w:rsidR="00D22DB8">
        <w:rPr>
          <w:rFonts w:ascii="Times New Roman" w:hAnsi="Times New Roman" w:cs="Times New Roman"/>
          <w:sz w:val="24"/>
          <w:szCs w:val="24"/>
          <w:lang w:val="en-US"/>
        </w:rPr>
        <w:t xml:space="preserve">net lending </w:t>
      </w:r>
      <w:r w:rsidR="009E501A">
        <w:rPr>
          <w:rFonts w:ascii="Times New Roman" w:hAnsi="Times New Roman" w:cs="Times New Roman"/>
          <w:sz w:val="24"/>
          <w:szCs w:val="24"/>
          <w:lang w:val="en-US"/>
        </w:rPr>
        <w:t>and net borrowing</w:t>
      </w:r>
      <w:r w:rsidR="00506FD0">
        <w:rPr>
          <w:rFonts w:ascii="Times New Roman" w:hAnsi="Times New Roman" w:cs="Times New Roman"/>
          <w:sz w:val="24"/>
          <w:szCs w:val="24"/>
          <w:lang w:val="en-US"/>
        </w:rPr>
        <w:t xml:space="preserve"> from 1995 to 2014</w:t>
      </w:r>
      <w:r w:rsidR="00D22DB8">
        <w:rPr>
          <w:rFonts w:ascii="Times New Roman" w:hAnsi="Times New Roman" w:cs="Times New Roman"/>
          <w:sz w:val="24"/>
          <w:szCs w:val="24"/>
          <w:lang w:val="en-US"/>
        </w:rPr>
        <w:t>. Section 4 reports the empirical results</w:t>
      </w:r>
      <w:r w:rsidR="004E1957">
        <w:rPr>
          <w:rFonts w:ascii="Times New Roman" w:hAnsi="Times New Roman" w:cs="Times New Roman"/>
          <w:sz w:val="24"/>
          <w:szCs w:val="24"/>
          <w:lang w:val="en-US"/>
        </w:rPr>
        <w:t xml:space="preserve">. </w:t>
      </w:r>
      <w:r w:rsidR="00D41020">
        <w:rPr>
          <w:rFonts w:ascii="Times New Roman" w:hAnsi="Times New Roman" w:cs="Times New Roman"/>
          <w:sz w:val="24"/>
          <w:szCs w:val="24"/>
          <w:lang w:val="en-US"/>
        </w:rPr>
        <w:t>Conclusions follow.</w:t>
      </w:r>
    </w:p>
    <w:p w:rsidR="009E7E11" w:rsidRPr="00A80519" w:rsidRDefault="009E7E11" w:rsidP="007A216A">
      <w:pPr>
        <w:spacing w:after="0" w:line="360" w:lineRule="auto"/>
        <w:jc w:val="both"/>
        <w:rPr>
          <w:rFonts w:ascii="Times New Roman" w:hAnsi="Times New Roman" w:cs="Times New Roman"/>
          <w:b/>
          <w:sz w:val="24"/>
          <w:szCs w:val="24"/>
          <w:lang w:val="en-US"/>
        </w:rPr>
      </w:pPr>
    </w:p>
    <w:p w:rsidR="006A6223" w:rsidRPr="001B0578" w:rsidRDefault="00C17B79" w:rsidP="007A216A">
      <w:pPr>
        <w:spacing w:after="0" w:line="360" w:lineRule="auto"/>
        <w:jc w:val="both"/>
        <w:rPr>
          <w:rFonts w:ascii="Times New Roman" w:hAnsi="Times New Roman" w:cs="Times New Roman"/>
          <w:b/>
          <w:sz w:val="24"/>
          <w:szCs w:val="24"/>
          <w:lang w:val="en-US"/>
        </w:rPr>
      </w:pPr>
      <w:r w:rsidRPr="001B0578">
        <w:rPr>
          <w:rFonts w:ascii="Times New Roman" w:hAnsi="Times New Roman" w:cs="Times New Roman"/>
          <w:b/>
          <w:sz w:val="24"/>
          <w:szCs w:val="24"/>
          <w:lang w:val="en-US"/>
        </w:rPr>
        <w:t>2</w:t>
      </w:r>
      <w:r w:rsidR="009E7E11">
        <w:rPr>
          <w:rFonts w:ascii="Times New Roman" w:hAnsi="Times New Roman" w:cs="Times New Roman"/>
          <w:b/>
          <w:sz w:val="24"/>
          <w:szCs w:val="24"/>
          <w:lang w:val="en-US"/>
        </w:rPr>
        <w:t>.</w:t>
      </w:r>
      <w:r w:rsidRPr="001B0578">
        <w:rPr>
          <w:rFonts w:ascii="Times New Roman" w:hAnsi="Times New Roman" w:cs="Times New Roman"/>
          <w:b/>
          <w:sz w:val="24"/>
          <w:szCs w:val="24"/>
          <w:lang w:val="en-US"/>
        </w:rPr>
        <w:t xml:space="preserve"> </w:t>
      </w:r>
      <w:r w:rsidR="001B0578" w:rsidRPr="001B0578">
        <w:rPr>
          <w:rFonts w:ascii="Times New Roman" w:hAnsi="Times New Roman" w:cs="Times New Roman"/>
          <w:b/>
          <w:sz w:val="24"/>
          <w:szCs w:val="24"/>
          <w:lang w:val="en-US"/>
        </w:rPr>
        <w:t xml:space="preserve">A glance at </w:t>
      </w:r>
      <w:r w:rsidR="001D68C4">
        <w:rPr>
          <w:rFonts w:ascii="Times New Roman" w:hAnsi="Times New Roman" w:cs="Times New Roman"/>
          <w:b/>
          <w:sz w:val="24"/>
          <w:szCs w:val="24"/>
          <w:lang w:val="en-US"/>
        </w:rPr>
        <w:t>n</w:t>
      </w:r>
      <w:r w:rsidR="001B0578" w:rsidRPr="001B0578">
        <w:rPr>
          <w:rFonts w:ascii="Times New Roman" w:hAnsi="Times New Roman" w:cs="Times New Roman"/>
          <w:b/>
          <w:sz w:val="24"/>
          <w:szCs w:val="24"/>
          <w:lang w:val="en-US"/>
        </w:rPr>
        <w:t xml:space="preserve">ational </w:t>
      </w:r>
      <w:r w:rsidR="001D68C4">
        <w:rPr>
          <w:rFonts w:ascii="Times New Roman" w:hAnsi="Times New Roman" w:cs="Times New Roman"/>
          <w:b/>
          <w:sz w:val="24"/>
          <w:szCs w:val="24"/>
          <w:lang w:val="en-US"/>
        </w:rPr>
        <w:t>a</w:t>
      </w:r>
      <w:r w:rsidR="001B0578" w:rsidRPr="001B0578">
        <w:rPr>
          <w:rFonts w:ascii="Times New Roman" w:hAnsi="Times New Roman" w:cs="Times New Roman"/>
          <w:b/>
          <w:sz w:val="24"/>
          <w:szCs w:val="24"/>
          <w:lang w:val="en-US"/>
        </w:rPr>
        <w:t>ccounts definitions</w:t>
      </w:r>
    </w:p>
    <w:p w:rsidR="009E7E11" w:rsidRDefault="009E7E11" w:rsidP="001B0578">
      <w:pPr>
        <w:spacing w:after="0" w:line="360" w:lineRule="auto"/>
        <w:ind w:firstLine="708"/>
        <w:jc w:val="both"/>
        <w:rPr>
          <w:rFonts w:ascii="Times New Roman" w:hAnsi="Times New Roman" w:cs="Times New Roman"/>
          <w:sz w:val="24"/>
          <w:szCs w:val="24"/>
          <w:lang w:val="en-US"/>
        </w:rPr>
      </w:pPr>
    </w:p>
    <w:p w:rsidR="00A04390" w:rsidRPr="004D5001" w:rsidRDefault="001B0578" w:rsidP="00A04390">
      <w:pPr>
        <w:spacing w:after="0" w:line="360" w:lineRule="auto"/>
        <w:ind w:firstLine="708"/>
        <w:jc w:val="both"/>
        <w:rPr>
          <w:rFonts w:ascii="Times New Roman" w:hAnsi="Times New Roman" w:cs="Times New Roman"/>
          <w:sz w:val="24"/>
          <w:szCs w:val="24"/>
          <w:lang w:val="en-US"/>
        </w:rPr>
      </w:pPr>
      <w:r w:rsidRPr="001B0578">
        <w:rPr>
          <w:rFonts w:ascii="Times New Roman" w:hAnsi="Times New Roman" w:cs="Times New Roman"/>
          <w:sz w:val="24"/>
          <w:szCs w:val="24"/>
          <w:lang w:val="en-US"/>
        </w:rPr>
        <w:t>In this paragraph we sum</w:t>
      </w:r>
      <w:r w:rsidR="007B74A1">
        <w:rPr>
          <w:rFonts w:ascii="Times New Roman" w:hAnsi="Times New Roman" w:cs="Times New Roman"/>
          <w:sz w:val="24"/>
          <w:szCs w:val="24"/>
          <w:lang w:val="en-US"/>
        </w:rPr>
        <w:t>marize</w:t>
      </w:r>
      <w:r w:rsidRPr="001B0578">
        <w:rPr>
          <w:rFonts w:ascii="Times New Roman" w:hAnsi="Times New Roman" w:cs="Times New Roman"/>
          <w:sz w:val="24"/>
          <w:szCs w:val="24"/>
          <w:lang w:val="en-US"/>
        </w:rPr>
        <w:t xml:space="preserve"> some definitions </w:t>
      </w:r>
      <w:r w:rsidR="00027B29">
        <w:rPr>
          <w:rFonts w:ascii="Times New Roman" w:hAnsi="Times New Roman" w:cs="Times New Roman"/>
          <w:sz w:val="24"/>
          <w:szCs w:val="24"/>
          <w:lang w:val="en-US"/>
        </w:rPr>
        <w:t xml:space="preserve">of </w:t>
      </w:r>
      <w:r w:rsidR="007B74A1">
        <w:rPr>
          <w:rFonts w:ascii="Times New Roman" w:hAnsi="Times New Roman" w:cs="Times New Roman"/>
          <w:sz w:val="24"/>
          <w:szCs w:val="24"/>
          <w:lang w:val="en-US"/>
        </w:rPr>
        <w:t xml:space="preserve">the </w:t>
      </w:r>
      <w:r w:rsidRPr="001B0578">
        <w:rPr>
          <w:rFonts w:ascii="Times New Roman" w:hAnsi="Times New Roman" w:cs="Times New Roman"/>
          <w:sz w:val="24"/>
          <w:szCs w:val="24"/>
          <w:lang w:val="en-US"/>
        </w:rPr>
        <w:t>variables used in the paper</w:t>
      </w:r>
      <w:r w:rsidR="00027B29">
        <w:rPr>
          <w:rFonts w:ascii="Times New Roman" w:hAnsi="Times New Roman" w:cs="Times New Roman"/>
          <w:sz w:val="24"/>
          <w:szCs w:val="24"/>
          <w:lang w:val="en-US"/>
        </w:rPr>
        <w:t xml:space="preserve">. </w:t>
      </w:r>
      <w:r w:rsidR="00027B29" w:rsidRPr="004D5001">
        <w:rPr>
          <w:rFonts w:ascii="Times New Roman" w:hAnsi="Times New Roman" w:cs="Times New Roman"/>
          <w:sz w:val="24"/>
          <w:szCs w:val="24"/>
          <w:lang w:val="en-US"/>
        </w:rPr>
        <w:t xml:space="preserve">Our indicators </w:t>
      </w:r>
      <w:r w:rsidRPr="004D5001">
        <w:rPr>
          <w:rFonts w:ascii="Times New Roman" w:hAnsi="Times New Roman" w:cs="Times New Roman"/>
          <w:sz w:val="24"/>
          <w:szCs w:val="24"/>
          <w:lang w:val="en-US"/>
        </w:rPr>
        <w:t xml:space="preserve">are mainly based on the System of National Accounts </w:t>
      </w:r>
      <w:r w:rsidR="00AE6730">
        <w:rPr>
          <w:rFonts w:ascii="Times New Roman" w:hAnsi="Times New Roman" w:cs="Times New Roman"/>
          <w:sz w:val="24"/>
          <w:szCs w:val="24"/>
          <w:lang w:val="en-US"/>
        </w:rPr>
        <w:t>framework</w:t>
      </w:r>
      <w:r w:rsidR="004D5001">
        <w:rPr>
          <w:rFonts w:ascii="Times New Roman" w:hAnsi="Times New Roman" w:cs="Times New Roman"/>
          <w:sz w:val="24"/>
          <w:szCs w:val="24"/>
          <w:lang w:val="en-US"/>
        </w:rPr>
        <w:t>.</w:t>
      </w:r>
    </w:p>
    <w:p w:rsidR="001B0578" w:rsidRPr="00A80519" w:rsidRDefault="00F93C37" w:rsidP="00A04390">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national </w:t>
      </w:r>
      <w:r w:rsidR="001B0578" w:rsidRPr="001B0578">
        <w:rPr>
          <w:rFonts w:ascii="Times New Roman" w:hAnsi="Times New Roman" w:cs="Times New Roman"/>
          <w:sz w:val="24"/>
          <w:szCs w:val="24"/>
          <w:lang w:val="en-US"/>
        </w:rPr>
        <w:t xml:space="preserve">accounts aim at describing the economic </w:t>
      </w:r>
      <w:r>
        <w:rPr>
          <w:rFonts w:ascii="Times New Roman" w:hAnsi="Times New Roman" w:cs="Times New Roman"/>
          <w:sz w:val="24"/>
          <w:szCs w:val="24"/>
          <w:lang w:val="en-US"/>
        </w:rPr>
        <w:t>process</w:t>
      </w:r>
      <w:r w:rsidR="001B0578" w:rsidRPr="001B0578">
        <w:rPr>
          <w:rFonts w:ascii="Times New Roman" w:hAnsi="Times New Roman" w:cs="Times New Roman"/>
          <w:sz w:val="24"/>
          <w:szCs w:val="24"/>
          <w:lang w:val="en-US"/>
        </w:rPr>
        <w:t xml:space="preserve">, from the production and generation of income, through its distribution and redistribution along with its use for final consumption. The last part </w:t>
      </w:r>
      <w:r>
        <w:rPr>
          <w:rFonts w:ascii="Times New Roman" w:hAnsi="Times New Roman" w:cs="Times New Roman"/>
          <w:sz w:val="24"/>
          <w:szCs w:val="24"/>
          <w:lang w:val="en-US"/>
        </w:rPr>
        <w:t xml:space="preserve">of the process </w:t>
      </w:r>
      <w:r w:rsidR="001B0578" w:rsidRPr="001B0578">
        <w:rPr>
          <w:rFonts w:ascii="Times New Roman" w:hAnsi="Times New Roman" w:cs="Times New Roman"/>
          <w:sz w:val="24"/>
          <w:szCs w:val="24"/>
          <w:lang w:val="en-US"/>
        </w:rPr>
        <w:t>involves the use of saving</w:t>
      </w:r>
      <w:r w:rsidR="00AE6730">
        <w:rPr>
          <w:rFonts w:ascii="Times New Roman" w:hAnsi="Times New Roman" w:cs="Times New Roman"/>
          <w:sz w:val="24"/>
          <w:szCs w:val="24"/>
          <w:lang w:val="en-US"/>
        </w:rPr>
        <w:t xml:space="preserve"> and the </w:t>
      </w:r>
      <w:r w:rsidR="001B0578" w:rsidRPr="001B0578">
        <w:rPr>
          <w:rFonts w:ascii="Times New Roman" w:hAnsi="Times New Roman" w:cs="Times New Roman"/>
          <w:sz w:val="24"/>
          <w:szCs w:val="24"/>
          <w:lang w:val="en-US"/>
        </w:rPr>
        <w:t>accumulati</w:t>
      </w:r>
      <w:r w:rsidR="00AE6730">
        <w:rPr>
          <w:rFonts w:ascii="Times New Roman" w:hAnsi="Times New Roman" w:cs="Times New Roman"/>
          <w:sz w:val="24"/>
          <w:szCs w:val="24"/>
          <w:lang w:val="en-US"/>
        </w:rPr>
        <w:t xml:space="preserve">on of </w:t>
      </w:r>
      <w:r w:rsidR="001B0578" w:rsidRPr="001B0578">
        <w:rPr>
          <w:rFonts w:ascii="Times New Roman" w:hAnsi="Times New Roman" w:cs="Times New Roman"/>
          <w:sz w:val="24"/>
          <w:szCs w:val="24"/>
          <w:lang w:val="en-US"/>
        </w:rPr>
        <w:t xml:space="preserve">non-financial and financial assets. In the compilation of </w:t>
      </w:r>
      <w:r w:rsidR="00027B29">
        <w:rPr>
          <w:rFonts w:ascii="Times New Roman" w:hAnsi="Times New Roman" w:cs="Times New Roman"/>
          <w:sz w:val="24"/>
          <w:szCs w:val="24"/>
          <w:lang w:val="en-US"/>
        </w:rPr>
        <w:t>national a</w:t>
      </w:r>
      <w:r w:rsidR="001B0578" w:rsidRPr="001B0578">
        <w:rPr>
          <w:rFonts w:ascii="Times New Roman" w:hAnsi="Times New Roman" w:cs="Times New Roman"/>
          <w:sz w:val="24"/>
          <w:szCs w:val="24"/>
          <w:lang w:val="en-US"/>
        </w:rPr>
        <w:t>ccounts the economy is divided into institutional sectors, which are characteri</w:t>
      </w:r>
      <w:r w:rsidR="00027B29">
        <w:rPr>
          <w:rFonts w:ascii="Times New Roman" w:hAnsi="Times New Roman" w:cs="Times New Roman"/>
          <w:sz w:val="24"/>
          <w:szCs w:val="24"/>
          <w:lang w:val="en-US"/>
        </w:rPr>
        <w:t>z</w:t>
      </w:r>
      <w:r w:rsidR="001B0578" w:rsidRPr="001B0578">
        <w:rPr>
          <w:rFonts w:ascii="Times New Roman" w:hAnsi="Times New Roman" w:cs="Times New Roman"/>
          <w:sz w:val="24"/>
          <w:szCs w:val="24"/>
          <w:lang w:val="en-US"/>
        </w:rPr>
        <w:t xml:space="preserve">ed by homogeneity in functions, choices, </w:t>
      </w:r>
      <w:r w:rsidR="00AE6730">
        <w:rPr>
          <w:rFonts w:ascii="Times New Roman" w:hAnsi="Times New Roman" w:cs="Times New Roman"/>
          <w:sz w:val="24"/>
          <w:szCs w:val="24"/>
          <w:lang w:val="en-US"/>
        </w:rPr>
        <w:t xml:space="preserve">and </w:t>
      </w:r>
      <w:r w:rsidR="001B0578" w:rsidRPr="001B0578">
        <w:rPr>
          <w:rFonts w:ascii="Times New Roman" w:hAnsi="Times New Roman" w:cs="Times New Roman"/>
          <w:sz w:val="24"/>
          <w:szCs w:val="24"/>
          <w:lang w:val="en-US"/>
        </w:rPr>
        <w:t>decisions. Among the sectors, non-financial corporations collect all the units involved in production of goods and non-financial services</w:t>
      </w:r>
      <w:r w:rsidR="0038661B">
        <w:rPr>
          <w:rFonts w:ascii="Times New Roman" w:hAnsi="Times New Roman" w:cs="Times New Roman"/>
          <w:sz w:val="24"/>
          <w:szCs w:val="24"/>
          <w:lang w:val="en-US"/>
        </w:rPr>
        <w:t xml:space="preserve">. </w:t>
      </w:r>
      <w:r w:rsidR="00027B29">
        <w:rPr>
          <w:rFonts w:ascii="Times New Roman" w:hAnsi="Times New Roman" w:cs="Times New Roman"/>
          <w:sz w:val="24"/>
          <w:szCs w:val="24"/>
          <w:lang w:val="en-US"/>
        </w:rPr>
        <w:t>T</w:t>
      </w:r>
      <w:r w:rsidR="0038661B">
        <w:rPr>
          <w:rFonts w:ascii="Times New Roman" w:hAnsi="Times New Roman" w:cs="Times New Roman"/>
          <w:sz w:val="24"/>
          <w:szCs w:val="24"/>
          <w:lang w:val="en-US"/>
        </w:rPr>
        <w:t xml:space="preserve">hese </w:t>
      </w:r>
      <w:r w:rsidR="001B0578" w:rsidRPr="001B0578">
        <w:rPr>
          <w:rFonts w:ascii="Times New Roman" w:hAnsi="Times New Roman" w:cs="Times New Roman"/>
          <w:sz w:val="24"/>
          <w:szCs w:val="24"/>
          <w:lang w:val="en-US"/>
        </w:rPr>
        <w:t>units produce outputs that can be supplied to other institutional units</w:t>
      </w:r>
      <w:r w:rsidR="0038661B">
        <w:rPr>
          <w:rFonts w:ascii="Times New Roman" w:hAnsi="Times New Roman" w:cs="Times New Roman"/>
          <w:sz w:val="24"/>
          <w:szCs w:val="24"/>
          <w:lang w:val="en-US"/>
        </w:rPr>
        <w:t>. N</w:t>
      </w:r>
      <w:r w:rsidR="001B0578" w:rsidRPr="001B0578">
        <w:rPr>
          <w:rFonts w:ascii="Times New Roman" w:hAnsi="Times New Roman" w:cs="Times New Roman"/>
          <w:sz w:val="24"/>
          <w:szCs w:val="24"/>
          <w:lang w:val="en-US"/>
        </w:rPr>
        <w:t>on-financial corporations buy capital goods in order to realize the</w:t>
      </w:r>
      <w:r w:rsidR="00EC73D5">
        <w:rPr>
          <w:rFonts w:ascii="Times New Roman" w:hAnsi="Times New Roman" w:cs="Times New Roman"/>
          <w:sz w:val="24"/>
          <w:szCs w:val="24"/>
          <w:lang w:val="en-US"/>
        </w:rPr>
        <w:t>ir</w:t>
      </w:r>
      <w:r w:rsidR="001B0578" w:rsidRPr="001B0578">
        <w:rPr>
          <w:rFonts w:ascii="Times New Roman" w:hAnsi="Times New Roman" w:cs="Times New Roman"/>
          <w:sz w:val="24"/>
          <w:szCs w:val="24"/>
          <w:lang w:val="en-US"/>
        </w:rPr>
        <w:t xml:space="preserve"> production function.</w:t>
      </w:r>
      <w:r w:rsidR="0038661B">
        <w:rPr>
          <w:rFonts w:ascii="Times New Roman" w:hAnsi="Times New Roman" w:cs="Times New Roman"/>
          <w:sz w:val="24"/>
          <w:szCs w:val="24"/>
          <w:lang w:val="en-US"/>
        </w:rPr>
        <w:t xml:space="preserve"> </w:t>
      </w:r>
    </w:p>
    <w:p w:rsidR="00027B29" w:rsidRDefault="00027B29" w:rsidP="00027B29">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001B0578" w:rsidRPr="001B0578">
        <w:rPr>
          <w:rFonts w:ascii="Times New Roman" w:hAnsi="Times New Roman" w:cs="Times New Roman"/>
          <w:sz w:val="24"/>
          <w:szCs w:val="24"/>
          <w:lang w:val="en-US"/>
        </w:rPr>
        <w:t>on-financial corporations produce an output, which net of intermediate consumption</w:t>
      </w:r>
      <w:r w:rsidR="00F93C37">
        <w:rPr>
          <w:rFonts w:ascii="Times New Roman" w:hAnsi="Times New Roman" w:cs="Times New Roman"/>
          <w:sz w:val="24"/>
          <w:szCs w:val="24"/>
          <w:lang w:val="en-US"/>
        </w:rPr>
        <w:t xml:space="preserve"> and</w:t>
      </w:r>
      <w:r w:rsidR="001B0578" w:rsidRPr="001B0578">
        <w:rPr>
          <w:rFonts w:ascii="Times New Roman" w:hAnsi="Times New Roman" w:cs="Times New Roman"/>
          <w:sz w:val="24"/>
          <w:szCs w:val="24"/>
          <w:lang w:val="en-US"/>
        </w:rPr>
        <w:t xml:space="preserve"> taxes less subsidies on products</w:t>
      </w:r>
      <w:r w:rsidR="00F93C37">
        <w:rPr>
          <w:rFonts w:ascii="Times New Roman" w:hAnsi="Times New Roman" w:cs="Times New Roman"/>
          <w:sz w:val="24"/>
          <w:szCs w:val="24"/>
          <w:lang w:val="en-US"/>
        </w:rPr>
        <w:t>,</w:t>
      </w:r>
      <w:r w:rsidR="001B0578" w:rsidRPr="001B0578">
        <w:rPr>
          <w:rFonts w:ascii="Times New Roman" w:hAnsi="Times New Roman" w:cs="Times New Roman"/>
          <w:sz w:val="24"/>
          <w:szCs w:val="24"/>
          <w:lang w:val="en-US"/>
        </w:rPr>
        <w:t xml:space="preserve"> define</w:t>
      </w:r>
      <w:r w:rsidR="00506FD0">
        <w:rPr>
          <w:rFonts w:ascii="Times New Roman" w:hAnsi="Times New Roman" w:cs="Times New Roman"/>
          <w:sz w:val="24"/>
          <w:szCs w:val="24"/>
          <w:lang w:val="en-US"/>
        </w:rPr>
        <w:t>s</w:t>
      </w:r>
      <w:r w:rsidR="001B0578" w:rsidRPr="001B0578">
        <w:rPr>
          <w:rFonts w:ascii="Times New Roman" w:hAnsi="Times New Roman" w:cs="Times New Roman"/>
          <w:sz w:val="24"/>
          <w:szCs w:val="24"/>
          <w:lang w:val="en-US"/>
        </w:rPr>
        <w:t xml:space="preserve"> the gross value added (the net definition require</w:t>
      </w:r>
      <w:r w:rsidR="00506FD0">
        <w:rPr>
          <w:rFonts w:ascii="Times New Roman" w:hAnsi="Times New Roman" w:cs="Times New Roman"/>
          <w:sz w:val="24"/>
          <w:szCs w:val="24"/>
          <w:lang w:val="en-US"/>
        </w:rPr>
        <w:t>s</w:t>
      </w:r>
      <w:r w:rsidR="001B0578" w:rsidRPr="001B0578">
        <w:rPr>
          <w:rFonts w:ascii="Times New Roman" w:hAnsi="Times New Roman" w:cs="Times New Roman"/>
          <w:sz w:val="24"/>
          <w:szCs w:val="24"/>
          <w:lang w:val="en-US"/>
        </w:rPr>
        <w:t xml:space="preserve"> the subtraction of consumption of fixed capital).</w:t>
      </w:r>
    </w:p>
    <w:p w:rsidR="001B0578" w:rsidRPr="00A80519" w:rsidRDefault="001B0578" w:rsidP="00027B29">
      <w:pPr>
        <w:spacing w:after="0" w:line="360" w:lineRule="auto"/>
        <w:ind w:firstLine="708"/>
        <w:jc w:val="both"/>
        <w:rPr>
          <w:rFonts w:ascii="Times New Roman" w:hAnsi="Times New Roman" w:cs="Times New Roman"/>
          <w:sz w:val="24"/>
          <w:szCs w:val="24"/>
          <w:lang w:val="en-US"/>
        </w:rPr>
      </w:pPr>
      <w:r w:rsidRPr="00027B29">
        <w:rPr>
          <w:rFonts w:ascii="Times New Roman" w:hAnsi="Times New Roman" w:cs="Times New Roman"/>
          <w:sz w:val="24"/>
          <w:szCs w:val="24"/>
          <w:lang w:val="en-US"/>
        </w:rPr>
        <w:t xml:space="preserve">The sequence of accounts showed in the Table 1 describes the formation of non-financial </w:t>
      </w:r>
      <w:proofErr w:type="spellStart"/>
      <w:r w:rsidRPr="00027B29">
        <w:rPr>
          <w:rFonts w:ascii="Times New Roman" w:hAnsi="Times New Roman" w:cs="Times New Roman"/>
          <w:sz w:val="24"/>
          <w:szCs w:val="24"/>
          <w:lang w:val="en-US"/>
        </w:rPr>
        <w:t>corporations</w:t>
      </w:r>
      <w:proofErr w:type="spellEnd"/>
      <w:r w:rsidRPr="00027B29">
        <w:rPr>
          <w:rFonts w:ascii="Times New Roman" w:hAnsi="Times New Roman" w:cs="Times New Roman"/>
          <w:sz w:val="24"/>
          <w:szCs w:val="24"/>
          <w:lang w:val="en-US"/>
        </w:rPr>
        <w:t xml:space="preserve"> net saving and the relationship it has with net lending/net borrowing</w:t>
      </w:r>
      <w:r w:rsidR="00AE6730">
        <w:rPr>
          <w:rFonts w:ascii="Times New Roman" w:hAnsi="Times New Roman" w:cs="Times New Roman"/>
          <w:sz w:val="24"/>
          <w:szCs w:val="24"/>
          <w:lang w:val="en-US"/>
        </w:rPr>
        <w:t>. In particular:</w:t>
      </w:r>
    </w:p>
    <w:p w:rsidR="00E83A4B" w:rsidRDefault="00E83A4B" w:rsidP="00864D3E">
      <w:pPr>
        <w:pStyle w:val="Contenutotabella"/>
        <w:spacing w:line="360" w:lineRule="auto"/>
        <w:jc w:val="center"/>
        <w:rPr>
          <w:i/>
        </w:rPr>
      </w:pPr>
    </w:p>
    <w:p w:rsidR="001B0578" w:rsidRPr="00E83A4B" w:rsidRDefault="001B0578" w:rsidP="00864D3E">
      <w:pPr>
        <w:pStyle w:val="Contenutotabella"/>
        <w:spacing w:line="360" w:lineRule="auto"/>
        <w:jc w:val="center"/>
        <w:rPr>
          <w:i/>
        </w:rPr>
      </w:pPr>
      <w:r w:rsidRPr="00E83A4B">
        <w:rPr>
          <w:i/>
        </w:rPr>
        <w:t>Net lending/net borrowing balance = Saving – Investment</w:t>
      </w:r>
      <w:r w:rsidR="00E84EB1" w:rsidRPr="00E83A4B">
        <w:rPr>
          <w:i/>
        </w:rPr>
        <w:t xml:space="preserve">                        </w:t>
      </w:r>
      <w:r w:rsidR="00AE6730" w:rsidRPr="00E83A4B">
        <w:rPr>
          <w:i/>
        </w:rPr>
        <w:t xml:space="preserve">           </w:t>
      </w:r>
      <w:r w:rsidR="00E84EB1" w:rsidRPr="00E83A4B">
        <w:rPr>
          <w:i/>
        </w:rPr>
        <w:t xml:space="preserve">    (1)</w:t>
      </w:r>
    </w:p>
    <w:p w:rsidR="00E83A4B" w:rsidRDefault="00E83A4B" w:rsidP="00E84EB1">
      <w:pPr>
        <w:pStyle w:val="Contenutotabella"/>
        <w:spacing w:line="360" w:lineRule="auto"/>
        <w:ind w:firstLine="709"/>
        <w:jc w:val="both"/>
      </w:pPr>
    </w:p>
    <w:p w:rsidR="001B0578" w:rsidRDefault="001B0578" w:rsidP="00E84EB1">
      <w:pPr>
        <w:pStyle w:val="Contenutotabella"/>
        <w:spacing w:line="360" w:lineRule="auto"/>
        <w:ind w:firstLine="709"/>
        <w:jc w:val="both"/>
      </w:pPr>
      <w:r w:rsidRPr="00DE4BDF">
        <w:t xml:space="preserve">The sequence of accounts is completed by the </w:t>
      </w:r>
      <w:r w:rsidR="00E84EB1">
        <w:t>f</w:t>
      </w:r>
      <w:r w:rsidRPr="00DE4BDF">
        <w:t xml:space="preserve">inancial </w:t>
      </w:r>
      <w:r w:rsidR="00AE6730">
        <w:t>a</w:t>
      </w:r>
      <w:r w:rsidRPr="00DE4BDF">
        <w:t xml:space="preserve">ccount, that shows </w:t>
      </w:r>
      <w:r w:rsidR="00AE6730">
        <w:t xml:space="preserve">how firms invest net lending in the different </w:t>
      </w:r>
      <w:r w:rsidRPr="00DE4BDF">
        <w:t xml:space="preserve">financial instruments or, </w:t>
      </w:r>
      <w:proofErr w:type="spellStart"/>
      <w:r w:rsidRPr="00DE4BDF">
        <w:t>viceversa</w:t>
      </w:r>
      <w:proofErr w:type="spellEnd"/>
      <w:r w:rsidRPr="00DE4BDF">
        <w:t xml:space="preserve">, </w:t>
      </w:r>
      <w:r w:rsidR="00AE6730">
        <w:t>ho</w:t>
      </w:r>
      <w:r w:rsidRPr="00DE4BDF">
        <w:t>w</w:t>
      </w:r>
      <w:r w:rsidR="00AE6730">
        <w:t xml:space="preserve"> firms collect liabilities </w:t>
      </w:r>
      <w:r w:rsidR="00E84EB1">
        <w:t xml:space="preserve">– loans, shares and other equity, bonds – </w:t>
      </w:r>
      <w:r w:rsidRPr="00DE4BDF">
        <w:t xml:space="preserve">to fund the net borrowing needs. This implies that net lending/net borrowing from capital account is equivalent to net lending/net borrowing from </w:t>
      </w:r>
      <w:r w:rsidR="00AE6730">
        <w:t>f</w:t>
      </w:r>
      <w:r w:rsidRPr="00DE4BDF">
        <w:t xml:space="preserve">inancial </w:t>
      </w:r>
      <w:r w:rsidR="00AE6730">
        <w:t>a</w:t>
      </w:r>
      <w:r w:rsidRPr="00DE4BDF">
        <w:t>ccount:</w:t>
      </w:r>
    </w:p>
    <w:p w:rsidR="00E83A4B" w:rsidRDefault="00E83A4B" w:rsidP="00E84EB1">
      <w:pPr>
        <w:pStyle w:val="Contenutotabella"/>
        <w:spacing w:line="360" w:lineRule="auto"/>
        <w:ind w:firstLine="709"/>
        <w:jc w:val="both"/>
      </w:pPr>
    </w:p>
    <w:p w:rsidR="001B0578" w:rsidRPr="00E83A4B" w:rsidRDefault="001B0578" w:rsidP="00FA057B">
      <w:pPr>
        <w:pStyle w:val="Contenutotabella"/>
        <w:spacing w:line="360" w:lineRule="auto"/>
        <w:jc w:val="center"/>
        <w:rPr>
          <w:i/>
        </w:rPr>
      </w:pPr>
      <w:r w:rsidRPr="00E83A4B">
        <w:rPr>
          <w:i/>
        </w:rPr>
        <w:t>Net lending/net borrowing = Saving–Investment = Financial Assets flows - Financial Liabilities flows</w:t>
      </w:r>
      <w:r w:rsidR="00E84EB1" w:rsidRPr="00E83A4B">
        <w:rPr>
          <w:i/>
        </w:rPr>
        <w:t xml:space="preserve"> </w:t>
      </w:r>
      <w:r w:rsidR="00AE6730" w:rsidRPr="00E83A4B">
        <w:rPr>
          <w:i/>
        </w:rPr>
        <w:t xml:space="preserve">                                                                </w:t>
      </w:r>
      <w:r w:rsidR="00E84EB1" w:rsidRPr="00E83A4B">
        <w:rPr>
          <w:i/>
        </w:rPr>
        <w:t xml:space="preserve">                                                </w:t>
      </w:r>
      <w:r w:rsidR="00AE6730" w:rsidRPr="00E83A4B">
        <w:rPr>
          <w:i/>
        </w:rPr>
        <w:t xml:space="preserve">         </w:t>
      </w:r>
      <w:r w:rsidR="00FA057B" w:rsidRPr="00E83A4B">
        <w:rPr>
          <w:i/>
        </w:rPr>
        <w:t>(</w:t>
      </w:r>
      <w:r w:rsidR="00E84EB1" w:rsidRPr="00E83A4B">
        <w:rPr>
          <w:i/>
        </w:rPr>
        <w:t>2)</w:t>
      </w:r>
    </w:p>
    <w:p w:rsidR="00BC01DF" w:rsidRDefault="00BC01DF" w:rsidP="00653219">
      <w:pPr>
        <w:pStyle w:val="Contenutotabella"/>
        <w:spacing w:line="360" w:lineRule="auto"/>
        <w:jc w:val="both"/>
      </w:pPr>
    </w:p>
    <w:p w:rsidR="00BC01DF" w:rsidRPr="00E83A4B" w:rsidRDefault="00A4651A" w:rsidP="00BC01DF">
      <w:pPr>
        <w:spacing w:after="0" w:line="360" w:lineRule="auto"/>
        <w:ind w:firstLine="708"/>
        <w:rPr>
          <w:rFonts w:ascii="Times New Roman" w:hAnsi="Times New Roman" w:cs="Times New Roman"/>
          <w:lang w:val="en-US"/>
        </w:rPr>
      </w:pPr>
      <w:r w:rsidRPr="00E83A4B">
        <w:rPr>
          <w:rFonts w:ascii="Times New Roman" w:hAnsi="Times New Roman" w:cs="Times New Roman"/>
          <w:b/>
          <w:lang w:val="en-US"/>
        </w:rPr>
        <w:t xml:space="preserve">            </w:t>
      </w:r>
      <w:r w:rsidR="00BC01DF" w:rsidRPr="00E83A4B">
        <w:rPr>
          <w:rFonts w:ascii="Times New Roman" w:hAnsi="Times New Roman" w:cs="Times New Roman"/>
          <w:b/>
          <w:lang w:val="en-US"/>
        </w:rPr>
        <w:t>Ta</w:t>
      </w:r>
      <w:r w:rsidR="00C819C1" w:rsidRPr="00E83A4B">
        <w:rPr>
          <w:rFonts w:ascii="Times New Roman" w:hAnsi="Times New Roman" w:cs="Times New Roman"/>
          <w:b/>
          <w:lang w:val="en-US"/>
        </w:rPr>
        <w:t>ble</w:t>
      </w:r>
      <w:r w:rsidR="00BC01DF" w:rsidRPr="00E83A4B">
        <w:rPr>
          <w:rFonts w:ascii="Times New Roman" w:hAnsi="Times New Roman" w:cs="Times New Roman"/>
          <w:b/>
          <w:lang w:val="en-US"/>
        </w:rPr>
        <w:t xml:space="preserve"> 1 A Simplified scheme of non-financial corporation accounts</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490"/>
        <w:gridCol w:w="3797"/>
      </w:tblGrid>
      <w:tr w:rsidR="00BC01DF" w:rsidRPr="00E83A4B" w:rsidTr="0038661B">
        <w:trPr>
          <w:jc w:val="center"/>
        </w:trPr>
        <w:tc>
          <w:tcPr>
            <w:tcW w:w="2490" w:type="dxa"/>
            <w:tcBorders>
              <w:top w:val="single" w:sz="1" w:space="0" w:color="000000"/>
              <w:left w:val="single" w:sz="1" w:space="0" w:color="000000"/>
              <w:bottom w:val="single" w:sz="1" w:space="0" w:color="000000"/>
            </w:tcBorders>
            <w:shd w:val="clear" w:color="auto" w:fill="auto"/>
          </w:tcPr>
          <w:p w:rsidR="00BC01DF" w:rsidRPr="00E83A4B" w:rsidRDefault="00BC01DF" w:rsidP="0038661B">
            <w:pPr>
              <w:pStyle w:val="Contenutotabella"/>
              <w:rPr>
                <w:sz w:val="22"/>
                <w:szCs w:val="22"/>
              </w:rPr>
            </w:pPr>
            <w:r w:rsidRPr="00E83A4B">
              <w:rPr>
                <w:b/>
                <w:bCs/>
                <w:sz w:val="22"/>
                <w:szCs w:val="22"/>
              </w:rPr>
              <w:t>Production Account</w:t>
            </w:r>
          </w:p>
        </w:tc>
        <w:tc>
          <w:tcPr>
            <w:tcW w:w="3797" w:type="dxa"/>
            <w:tcBorders>
              <w:top w:val="single" w:sz="1" w:space="0" w:color="000000"/>
              <w:left w:val="single" w:sz="1" w:space="0" w:color="000000"/>
              <w:bottom w:val="single" w:sz="1" w:space="0" w:color="000000"/>
              <w:right w:val="single" w:sz="1" w:space="0" w:color="000000"/>
            </w:tcBorders>
            <w:shd w:val="clear" w:color="auto" w:fill="auto"/>
          </w:tcPr>
          <w:p w:rsidR="00BC01DF" w:rsidRPr="00E83A4B" w:rsidRDefault="00BC01DF" w:rsidP="0038661B">
            <w:pPr>
              <w:pStyle w:val="Contenutotabella"/>
              <w:rPr>
                <w:sz w:val="22"/>
                <w:szCs w:val="22"/>
              </w:rPr>
            </w:pPr>
            <w:r w:rsidRPr="00E83A4B">
              <w:rPr>
                <w:sz w:val="22"/>
                <w:szCs w:val="22"/>
              </w:rPr>
              <w:t>Output</w:t>
            </w:r>
          </w:p>
          <w:p w:rsidR="00BC01DF" w:rsidRPr="00E83A4B" w:rsidRDefault="00BC01DF" w:rsidP="0038661B">
            <w:pPr>
              <w:pStyle w:val="Contenutotabella"/>
              <w:rPr>
                <w:sz w:val="22"/>
                <w:szCs w:val="22"/>
              </w:rPr>
            </w:pPr>
            <w:r w:rsidRPr="00E83A4B">
              <w:rPr>
                <w:sz w:val="22"/>
                <w:szCs w:val="22"/>
              </w:rPr>
              <w:t>- Intermediate Consumption</w:t>
            </w:r>
          </w:p>
          <w:p w:rsidR="00BC01DF" w:rsidRPr="00E83A4B" w:rsidRDefault="00BC01DF" w:rsidP="0038661B">
            <w:pPr>
              <w:pStyle w:val="Contenutotabella"/>
              <w:rPr>
                <w:b/>
                <w:bCs/>
                <w:sz w:val="22"/>
                <w:szCs w:val="22"/>
              </w:rPr>
            </w:pPr>
            <w:r w:rsidRPr="00E83A4B">
              <w:rPr>
                <w:sz w:val="22"/>
                <w:szCs w:val="22"/>
              </w:rPr>
              <w:t>-/+ Taxes less subsidies on products</w:t>
            </w:r>
          </w:p>
          <w:p w:rsidR="00BC01DF" w:rsidRPr="00E83A4B" w:rsidRDefault="00BC01DF" w:rsidP="0038661B">
            <w:pPr>
              <w:pStyle w:val="Contenutotabella"/>
              <w:rPr>
                <w:sz w:val="22"/>
                <w:szCs w:val="22"/>
              </w:rPr>
            </w:pPr>
            <w:r w:rsidRPr="00E83A4B">
              <w:rPr>
                <w:b/>
                <w:bCs/>
                <w:sz w:val="22"/>
                <w:szCs w:val="22"/>
              </w:rPr>
              <w:t>Gross Value Added</w:t>
            </w:r>
          </w:p>
        </w:tc>
      </w:tr>
      <w:tr w:rsidR="00BC01DF" w:rsidRPr="00E83A4B" w:rsidTr="0038661B">
        <w:trPr>
          <w:jc w:val="center"/>
        </w:trPr>
        <w:tc>
          <w:tcPr>
            <w:tcW w:w="2490" w:type="dxa"/>
            <w:tcBorders>
              <w:left w:val="single" w:sz="1" w:space="0" w:color="000000"/>
              <w:bottom w:val="single" w:sz="1" w:space="0" w:color="000000"/>
            </w:tcBorders>
            <w:shd w:val="clear" w:color="auto" w:fill="auto"/>
          </w:tcPr>
          <w:p w:rsidR="00BC01DF" w:rsidRPr="00E83A4B" w:rsidRDefault="00BC01DF" w:rsidP="0038661B">
            <w:pPr>
              <w:pStyle w:val="Contenutotabella"/>
              <w:rPr>
                <w:sz w:val="22"/>
                <w:szCs w:val="22"/>
              </w:rPr>
            </w:pPr>
            <w:r w:rsidRPr="00E83A4B">
              <w:rPr>
                <w:b/>
                <w:bCs/>
                <w:sz w:val="22"/>
                <w:szCs w:val="22"/>
              </w:rPr>
              <w:t>Income Account</w:t>
            </w:r>
          </w:p>
        </w:tc>
        <w:tc>
          <w:tcPr>
            <w:tcW w:w="3797" w:type="dxa"/>
            <w:tcBorders>
              <w:left w:val="single" w:sz="1" w:space="0" w:color="000000"/>
              <w:bottom w:val="single" w:sz="1" w:space="0" w:color="000000"/>
              <w:right w:val="single" w:sz="1" w:space="0" w:color="000000"/>
            </w:tcBorders>
            <w:shd w:val="clear" w:color="auto" w:fill="auto"/>
          </w:tcPr>
          <w:p w:rsidR="00BC01DF" w:rsidRPr="00E83A4B" w:rsidRDefault="00BC01DF" w:rsidP="0038661B">
            <w:pPr>
              <w:pStyle w:val="Contenutotabella"/>
              <w:rPr>
                <w:sz w:val="22"/>
                <w:szCs w:val="22"/>
              </w:rPr>
            </w:pPr>
            <w:r w:rsidRPr="00E83A4B">
              <w:rPr>
                <w:sz w:val="22"/>
                <w:szCs w:val="22"/>
              </w:rPr>
              <w:t>- Compensation of Employees</w:t>
            </w:r>
          </w:p>
          <w:p w:rsidR="00BC01DF" w:rsidRPr="00E83A4B" w:rsidRDefault="00BC01DF" w:rsidP="0038661B">
            <w:pPr>
              <w:pStyle w:val="Contenutotabella"/>
              <w:rPr>
                <w:b/>
                <w:bCs/>
                <w:sz w:val="22"/>
                <w:szCs w:val="22"/>
              </w:rPr>
            </w:pPr>
            <w:r w:rsidRPr="00E83A4B">
              <w:rPr>
                <w:sz w:val="22"/>
                <w:szCs w:val="22"/>
              </w:rPr>
              <w:t>- Other taxes/subsidies on production</w:t>
            </w:r>
          </w:p>
          <w:p w:rsidR="00BC01DF" w:rsidRPr="00E83A4B" w:rsidRDefault="00BC01DF" w:rsidP="0038661B">
            <w:pPr>
              <w:pStyle w:val="Contenutotabella"/>
              <w:rPr>
                <w:b/>
                <w:bCs/>
                <w:sz w:val="22"/>
                <w:szCs w:val="22"/>
              </w:rPr>
            </w:pPr>
            <w:r w:rsidRPr="00E83A4B">
              <w:rPr>
                <w:b/>
                <w:bCs/>
                <w:sz w:val="22"/>
                <w:szCs w:val="22"/>
              </w:rPr>
              <w:t>Gross Operating Surplus</w:t>
            </w:r>
          </w:p>
          <w:p w:rsidR="00BC01DF" w:rsidRPr="00E83A4B" w:rsidRDefault="00BC01DF" w:rsidP="0038661B">
            <w:pPr>
              <w:pStyle w:val="Contenutotabella"/>
              <w:rPr>
                <w:b/>
                <w:bCs/>
                <w:sz w:val="22"/>
                <w:szCs w:val="22"/>
              </w:rPr>
            </w:pPr>
            <w:r w:rsidRPr="00E83A4B">
              <w:rPr>
                <w:b/>
                <w:bCs/>
                <w:sz w:val="22"/>
                <w:szCs w:val="22"/>
              </w:rPr>
              <w:t xml:space="preserve">- </w:t>
            </w:r>
            <w:r w:rsidRPr="00E83A4B">
              <w:rPr>
                <w:sz w:val="22"/>
                <w:szCs w:val="22"/>
              </w:rPr>
              <w:t>Consumption of Fixed Capital</w:t>
            </w:r>
          </w:p>
          <w:p w:rsidR="00BC01DF" w:rsidRPr="00E83A4B" w:rsidRDefault="00BC01DF" w:rsidP="0038661B">
            <w:pPr>
              <w:pStyle w:val="Contenutotabella"/>
              <w:rPr>
                <w:sz w:val="22"/>
                <w:szCs w:val="22"/>
              </w:rPr>
            </w:pPr>
            <w:r w:rsidRPr="00E83A4B">
              <w:rPr>
                <w:b/>
                <w:bCs/>
                <w:sz w:val="22"/>
                <w:szCs w:val="22"/>
              </w:rPr>
              <w:t>Net Operating Surplus</w:t>
            </w:r>
          </w:p>
        </w:tc>
      </w:tr>
      <w:tr w:rsidR="00BC01DF" w:rsidRPr="009A321E" w:rsidTr="0038661B">
        <w:trPr>
          <w:jc w:val="center"/>
        </w:trPr>
        <w:tc>
          <w:tcPr>
            <w:tcW w:w="2490" w:type="dxa"/>
            <w:tcBorders>
              <w:left w:val="single" w:sz="1" w:space="0" w:color="000000"/>
              <w:bottom w:val="single" w:sz="1" w:space="0" w:color="000000"/>
            </w:tcBorders>
            <w:shd w:val="clear" w:color="auto" w:fill="auto"/>
          </w:tcPr>
          <w:p w:rsidR="00BC01DF" w:rsidRPr="00E83A4B" w:rsidRDefault="00BC01DF" w:rsidP="0038661B">
            <w:pPr>
              <w:pStyle w:val="Contenutotabella"/>
              <w:rPr>
                <w:b/>
                <w:bCs/>
                <w:sz w:val="22"/>
                <w:szCs w:val="22"/>
              </w:rPr>
            </w:pPr>
            <w:r w:rsidRPr="00E83A4B">
              <w:rPr>
                <w:b/>
                <w:bCs/>
                <w:sz w:val="22"/>
                <w:szCs w:val="22"/>
              </w:rPr>
              <w:t xml:space="preserve">Distribution of Income </w:t>
            </w:r>
          </w:p>
          <w:p w:rsidR="00BC01DF" w:rsidRPr="00E83A4B" w:rsidRDefault="00BC01DF" w:rsidP="0038661B">
            <w:pPr>
              <w:pStyle w:val="Contenutotabella"/>
              <w:rPr>
                <w:sz w:val="22"/>
                <w:szCs w:val="22"/>
              </w:rPr>
            </w:pPr>
            <w:r w:rsidRPr="00E83A4B">
              <w:rPr>
                <w:b/>
                <w:bCs/>
                <w:sz w:val="22"/>
                <w:szCs w:val="22"/>
              </w:rPr>
              <w:t>Account</w:t>
            </w:r>
          </w:p>
        </w:tc>
        <w:tc>
          <w:tcPr>
            <w:tcW w:w="3797" w:type="dxa"/>
            <w:tcBorders>
              <w:left w:val="single" w:sz="1" w:space="0" w:color="000000"/>
              <w:bottom w:val="single" w:sz="1" w:space="0" w:color="000000"/>
              <w:right w:val="single" w:sz="1" w:space="0" w:color="000000"/>
            </w:tcBorders>
            <w:shd w:val="clear" w:color="auto" w:fill="auto"/>
          </w:tcPr>
          <w:p w:rsidR="00BC01DF" w:rsidRPr="00E83A4B" w:rsidRDefault="00BC01DF" w:rsidP="0038661B">
            <w:pPr>
              <w:pStyle w:val="Contenutotabella"/>
              <w:rPr>
                <w:sz w:val="22"/>
                <w:szCs w:val="22"/>
              </w:rPr>
            </w:pPr>
            <w:r w:rsidRPr="00E83A4B">
              <w:rPr>
                <w:sz w:val="22"/>
                <w:szCs w:val="22"/>
              </w:rPr>
              <w:t>+ Total property income, receivable</w:t>
            </w:r>
          </w:p>
          <w:p w:rsidR="00BC01DF" w:rsidRPr="00E83A4B" w:rsidRDefault="00BC01DF" w:rsidP="0038661B">
            <w:pPr>
              <w:pStyle w:val="Contenutotabella"/>
              <w:rPr>
                <w:sz w:val="22"/>
                <w:szCs w:val="22"/>
              </w:rPr>
            </w:pPr>
            <w:r w:rsidRPr="00E83A4B">
              <w:rPr>
                <w:sz w:val="22"/>
                <w:szCs w:val="22"/>
              </w:rPr>
              <w:t>+ Social Contributions</w:t>
            </w:r>
          </w:p>
          <w:p w:rsidR="00BC01DF" w:rsidRPr="00E83A4B" w:rsidRDefault="00BC01DF" w:rsidP="0038661B">
            <w:pPr>
              <w:pStyle w:val="Contenutotabella"/>
              <w:rPr>
                <w:sz w:val="22"/>
                <w:szCs w:val="22"/>
              </w:rPr>
            </w:pPr>
            <w:r w:rsidRPr="00E83A4B">
              <w:rPr>
                <w:sz w:val="22"/>
                <w:szCs w:val="22"/>
              </w:rPr>
              <w:t>+ Other current transfers</w:t>
            </w:r>
          </w:p>
          <w:p w:rsidR="00BC01DF" w:rsidRPr="00E83A4B" w:rsidRDefault="00BC01DF" w:rsidP="0038661B">
            <w:pPr>
              <w:pStyle w:val="Contenutotabella"/>
              <w:rPr>
                <w:sz w:val="22"/>
                <w:szCs w:val="22"/>
              </w:rPr>
            </w:pPr>
            <w:r w:rsidRPr="00E83A4B">
              <w:rPr>
                <w:sz w:val="22"/>
                <w:szCs w:val="22"/>
              </w:rPr>
              <w:t xml:space="preserve">- Property Income paid </w:t>
            </w:r>
          </w:p>
          <w:p w:rsidR="00BC01DF" w:rsidRPr="00E83A4B" w:rsidRDefault="00BC01DF" w:rsidP="0038661B">
            <w:pPr>
              <w:pStyle w:val="Contenutotabella"/>
              <w:rPr>
                <w:sz w:val="22"/>
                <w:szCs w:val="22"/>
              </w:rPr>
            </w:pPr>
            <w:r w:rsidRPr="00E83A4B">
              <w:rPr>
                <w:sz w:val="22"/>
                <w:szCs w:val="22"/>
              </w:rPr>
              <w:t>- Current taxes on income, wealth</w:t>
            </w:r>
          </w:p>
          <w:p w:rsidR="00BC01DF" w:rsidRPr="00E83A4B" w:rsidRDefault="00BC01DF" w:rsidP="0038661B">
            <w:pPr>
              <w:pStyle w:val="Contenutotabella"/>
              <w:rPr>
                <w:sz w:val="22"/>
                <w:szCs w:val="22"/>
              </w:rPr>
            </w:pPr>
            <w:r w:rsidRPr="00E83A4B">
              <w:rPr>
                <w:sz w:val="22"/>
                <w:szCs w:val="22"/>
              </w:rPr>
              <w:t>- Social benefits</w:t>
            </w:r>
          </w:p>
          <w:p w:rsidR="00BC01DF" w:rsidRPr="00E83A4B" w:rsidRDefault="00BC01DF" w:rsidP="0038661B">
            <w:pPr>
              <w:pStyle w:val="Contenutotabella"/>
              <w:rPr>
                <w:b/>
                <w:bCs/>
                <w:sz w:val="22"/>
                <w:szCs w:val="22"/>
              </w:rPr>
            </w:pPr>
            <w:r w:rsidRPr="00E83A4B">
              <w:rPr>
                <w:sz w:val="22"/>
                <w:szCs w:val="22"/>
              </w:rPr>
              <w:t>- Other current transfers</w:t>
            </w:r>
          </w:p>
          <w:p w:rsidR="00BC01DF" w:rsidRPr="00E83A4B" w:rsidRDefault="00BC01DF" w:rsidP="0038661B">
            <w:pPr>
              <w:pStyle w:val="Contenutotabella"/>
              <w:rPr>
                <w:sz w:val="22"/>
                <w:szCs w:val="22"/>
              </w:rPr>
            </w:pPr>
            <w:r w:rsidRPr="00E83A4B">
              <w:rPr>
                <w:b/>
                <w:bCs/>
                <w:sz w:val="22"/>
                <w:szCs w:val="22"/>
              </w:rPr>
              <w:t>Net saving</w:t>
            </w:r>
          </w:p>
        </w:tc>
      </w:tr>
      <w:tr w:rsidR="00BC01DF" w:rsidRPr="00E83A4B" w:rsidTr="0038661B">
        <w:trPr>
          <w:jc w:val="center"/>
        </w:trPr>
        <w:tc>
          <w:tcPr>
            <w:tcW w:w="2490" w:type="dxa"/>
            <w:tcBorders>
              <w:left w:val="single" w:sz="1" w:space="0" w:color="000000"/>
              <w:bottom w:val="single" w:sz="1" w:space="0" w:color="000000"/>
            </w:tcBorders>
            <w:shd w:val="clear" w:color="auto" w:fill="auto"/>
          </w:tcPr>
          <w:p w:rsidR="00BC01DF" w:rsidRPr="00E83A4B" w:rsidRDefault="00BC01DF" w:rsidP="0038661B">
            <w:pPr>
              <w:pStyle w:val="Contenutotabella"/>
              <w:rPr>
                <w:sz w:val="22"/>
                <w:szCs w:val="22"/>
              </w:rPr>
            </w:pPr>
            <w:r w:rsidRPr="00E83A4B">
              <w:rPr>
                <w:b/>
                <w:bCs/>
                <w:sz w:val="22"/>
                <w:szCs w:val="22"/>
              </w:rPr>
              <w:t>Capital Account</w:t>
            </w:r>
          </w:p>
        </w:tc>
        <w:tc>
          <w:tcPr>
            <w:tcW w:w="3797" w:type="dxa"/>
            <w:tcBorders>
              <w:left w:val="single" w:sz="1" w:space="0" w:color="000000"/>
              <w:bottom w:val="single" w:sz="1" w:space="0" w:color="000000"/>
              <w:right w:val="single" w:sz="1" w:space="0" w:color="000000"/>
            </w:tcBorders>
            <w:shd w:val="clear" w:color="auto" w:fill="auto"/>
          </w:tcPr>
          <w:p w:rsidR="00BC01DF" w:rsidRPr="00E83A4B" w:rsidRDefault="00BC01DF" w:rsidP="0038661B">
            <w:pPr>
              <w:pStyle w:val="Contenutotabella"/>
              <w:rPr>
                <w:sz w:val="22"/>
                <w:szCs w:val="22"/>
              </w:rPr>
            </w:pPr>
            <w:r w:rsidRPr="00E83A4B">
              <w:rPr>
                <w:sz w:val="22"/>
                <w:szCs w:val="22"/>
              </w:rPr>
              <w:t>+ Consumption of Fixed Capital</w:t>
            </w:r>
          </w:p>
          <w:p w:rsidR="00BC01DF" w:rsidRPr="00E83A4B" w:rsidRDefault="00BC01DF" w:rsidP="0038661B">
            <w:pPr>
              <w:pStyle w:val="Contenutotabella"/>
              <w:rPr>
                <w:sz w:val="22"/>
                <w:szCs w:val="22"/>
              </w:rPr>
            </w:pPr>
            <w:r w:rsidRPr="00E83A4B">
              <w:rPr>
                <w:sz w:val="22"/>
                <w:szCs w:val="22"/>
              </w:rPr>
              <w:t>Gross saving</w:t>
            </w:r>
          </w:p>
          <w:p w:rsidR="00BC01DF" w:rsidRPr="00E83A4B" w:rsidRDefault="00BC01DF" w:rsidP="0038661B">
            <w:pPr>
              <w:pStyle w:val="Contenutotabella"/>
              <w:rPr>
                <w:sz w:val="22"/>
                <w:szCs w:val="22"/>
              </w:rPr>
            </w:pPr>
            <w:r w:rsidRPr="00E83A4B">
              <w:rPr>
                <w:sz w:val="22"/>
                <w:szCs w:val="22"/>
              </w:rPr>
              <w:t>- Gross fixed capital formation</w:t>
            </w:r>
          </w:p>
          <w:p w:rsidR="00BC01DF" w:rsidRPr="00E83A4B" w:rsidRDefault="00BC01DF" w:rsidP="0038661B">
            <w:pPr>
              <w:pStyle w:val="Contenutotabella"/>
              <w:rPr>
                <w:sz w:val="22"/>
                <w:szCs w:val="22"/>
              </w:rPr>
            </w:pPr>
            <w:r w:rsidRPr="00E83A4B">
              <w:rPr>
                <w:sz w:val="22"/>
                <w:szCs w:val="22"/>
              </w:rPr>
              <w:t>- Change in Inventories</w:t>
            </w:r>
          </w:p>
          <w:p w:rsidR="00BC01DF" w:rsidRPr="00E83A4B" w:rsidRDefault="00BC01DF" w:rsidP="0038661B">
            <w:pPr>
              <w:pStyle w:val="Contenutotabella"/>
              <w:rPr>
                <w:sz w:val="22"/>
                <w:szCs w:val="22"/>
              </w:rPr>
            </w:pPr>
            <w:r w:rsidRPr="00E83A4B">
              <w:rPr>
                <w:sz w:val="22"/>
                <w:szCs w:val="22"/>
              </w:rPr>
              <w:t>- Acquisition less disposals of non-produced non-financial assets</w:t>
            </w:r>
          </w:p>
          <w:p w:rsidR="00BC01DF" w:rsidRPr="00E83A4B" w:rsidRDefault="00BC01DF" w:rsidP="0038661B">
            <w:pPr>
              <w:pStyle w:val="Contenutotabella"/>
              <w:rPr>
                <w:sz w:val="22"/>
                <w:szCs w:val="22"/>
              </w:rPr>
            </w:pPr>
          </w:p>
          <w:p w:rsidR="00BC01DF" w:rsidRPr="00E83A4B" w:rsidRDefault="00BC01DF" w:rsidP="0038661B">
            <w:pPr>
              <w:pStyle w:val="Contenutotabella"/>
              <w:rPr>
                <w:sz w:val="22"/>
                <w:szCs w:val="22"/>
              </w:rPr>
            </w:pPr>
            <w:r w:rsidRPr="00E83A4B">
              <w:rPr>
                <w:sz w:val="22"/>
                <w:szCs w:val="22"/>
              </w:rPr>
              <w:t>Net Lending/Net Borrowing</w:t>
            </w:r>
          </w:p>
        </w:tc>
      </w:tr>
    </w:tbl>
    <w:p w:rsidR="00BC01DF" w:rsidRPr="00DE4BDF" w:rsidRDefault="00BC01DF" w:rsidP="00653219">
      <w:pPr>
        <w:pStyle w:val="Contenutotabella"/>
        <w:spacing w:line="360" w:lineRule="auto"/>
        <w:jc w:val="both"/>
      </w:pPr>
    </w:p>
    <w:p w:rsidR="001B0578" w:rsidRPr="00AE6730" w:rsidRDefault="001B0578" w:rsidP="00653219">
      <w:pPr>
        <w:pStyle w:val="Contenutotabella"/>
        <w:spacing w:line="360" w:lineRule="auto"/>
        <w:jc w:val="both"/>
        <w:rPr>
          <w:lang w:val="en-US"/>
        </w:rPr>
      </w:pPr>
      <w:r w:rsidRPr="00DE4BDF">
        <w:tab/>
      </w:r>
      <w:r w:rsidR="007070F3" w:rsidRPr="007070F3">
        <w:t xml:space="preserve">In national accounts transactions are based on the notion of residence. The residence identifies the territory where </w:t>
      </w:r>
      <w:r w:rsidR="007070F3">
        <w:t xml:space="preserve">business </w:t>
      </w:r>
      <w:r w:rsidR="007070F3" w:rsidRPr="007070F3">
        <w:t>activities take place.</w:t>
      </w:r>
      <w:r w:rsidR="007070F3">
        <w:t xml:space="preserve"> </w:t>
      </w:r>
      <w:r w:rsidR="0038661B">
        <w:t>G</w:t>
      </w:r>
      <w:r w:rsidRPr="00DE4BDF">
        <w:t xml:space="preserve">lobalization increased </w:t>
      </w:r>
      <w:r w:rsidR="0038661B">
        <w:t>i</w:t>
      </w:r>
      <w:r w:rsidRPr="00DE4BDF">
        <w:t>nteraction</w:t>
      </w:r>
      <w:r w:rsidR="0038661B">
        <w:t>s</w:t>
      </w:r>
      <w:r w:rsidRPr="00DE4BDF">
        <w:t xml:space="preserve"> across </w:t>
      </w:r>
      <w:r w:rsidR="007070F3">
        <w:t xml:space="preserve">national </w:t>
      </w:r>
      <w:r w:rsidRPr="00DE4BDF">
        <w:t>economies</w:t>
      </w:r>
      <w:r w:rsidR="007070F3">
        <w:t xml:space="preserve"> and made more ambiguous the definition of residence</w:t>
      </w:r>
      <w:r w:rsidR="0038661B">
        <w:t xml:space="preserve">. Production </w:t>
      </w:r>
      <w:r w:rsidR="00FA057B">
        <w:t xml:space="preserve">patterns </w:t>
      </w:r>
      <w:r w:rsidR="0038661B">
        <w:t xml:space="preserve">changed </w:t>
      </w:r>
      <w:r w:rsidRPr="00DE4BDF">
        <w:t xml:space="preserve">as </w:t>
      </w:r>
      <w:r w:rsidR="003746C6">
        <w:t>firm</w:t>
      </w:r>
      <w:r w:rsidR="00FA057B">
        <w:t>s</w:t>
      </w:r>
      <w:r w:rsidR="003746C6">
        <w:t xml:space="preserve"> </w:t>
      </w:r>
      <w:r w:rsidRPr="00DE4BDF">
        <w:t>organise</w:t>
      </w:r>
      <w:r w:rsidR="00FA057B">
        <w:t>d</w:t>
      </w:r>
      <w:r w:rsidRPr="00DE4BDF">
        <w:t xml:space="preserve"> </w:t>
      </w:r>
      <w:r w:rsidR="00FA057B">
        <w:t xml:space="preserve">their </w:t>
      </w:r>
      <w:r w:rsidRPr="00DE4BDF">
        <w:t>activities in the most cost-effective way (</w:t>
      </w:r>
      <w:proofErr w:type="spellStart"/>
      <w:r w:rsidRPr="00DE4BDF">
        <w:t>Unece</w:t>
      </w:r>
      <w:proofErr w:type="spellEnd"/>
      <w:r w:rsidRPr="00DE4BDF">
        <w:t>, 2011)</w:t>
      </w:r>
      <w:r w:rsidR="0038661B">
        <w:t xml:space="preserve">: we may refer to phenomena such as global value chains and </w:t>
      </w:r>
      <w:r w:rsidR="003746C6">
        <w:t xml:space="preserve">the increase of </w:t>
      </w:r>
      <w:r w:rsidR="0038661B">
        <w:t>foreign direct investments</w:t>
      </w:r>
      <w:r w:rsidR="008D0AB9">
        <w:t xml:space="preserve"> (</w:t>
      </w:r>
      <w:r w:rsidR="008D0AB9" w:rsidRPr="008D0AB9">
        <w:rPr>
          <w:rFonts w:cs="Times New Roman"/>
          <w:lang w:val="en-US"/>
        </w:rPr>
        <w:t>Cappariello and Felettigh 2015</w:t>
      </w:r>
      <w:r w:rsidR="008D0AB9">
        <w:rPr>
          <w:rFonts w:cs="Times New Roman"/>
          <w:lang w:val="en-US"/>
        </w:rPr>
        <w:t xml:space="preserve"> and Federico 2016</w:t>
      </w:r>
      <w:r w:rsidR="0038661B">
        <w:t xml:space="preserve">. </w:t>
      </w:r>
      <w:r w:rsidRPr="00DE4BDF">
        <w:t xml:space="preserve">Similar </w:t>
      </w:r>
      <w:r w:rsidR="00AE6730">
        <w:t xml:space="preserve">features </w:t>
      </w:r>
      <w:r w:rsidRPr="00DE4BDF">
        <w:t xml:space="preserve">invested financial markets and increased interconnections </w:t>
      </w:r>
      <w:r w:rsidR="007070F3">
        <w:t xml:space="preserve">between </w:t>
      </w:r>
      <w:r w:rsidRPr="00DE4BDF">
        <w:t>financial systems</w:t>
      </w:r>
      <w:r w:rsidR="003746C6">
        <w:t xml:space="preserve"> (Infante, Pozzolo, Tedeschi 2012; Bartiloro and di Iasio</w:t>
      </w:r>
      <w:r w:rsidR="004973C9">
        <w:t xml:space="preserve">, </w:t>
      </w:r>
      <w:r w:rsidR="003746C6">
        <w:t>2012)</w:t>
      </w:r>
      <w:r w:rsidRPr="00DE4BDF">
        <w:t xml:space="preserve">. As a consequence, </w:t>
      </w:r>
      <w:r w:rsidR="00FA057B" w:rsidRPr="00DE4BDF">
        <w:t xml:space="preserve">in the organization of economic activity </w:t>
      </w:r>
      <w:r w:rsidRPr="00DE4BDF">
        <w:t xml:space="preserve">the importance of national borders weakened and challenged in turn the ability to measure economic phenomena. The activity of </w:t>
      </w:r>
      <w:r w:rsidR="00FA057B">
        <w:t>multinational e</w:t>
      </w:r>
      <w:r w:rsidRPr="00DE4BDF">
        <w:t xml:space="preserve">nterprises (MNEs) is difficult to capture </w:t>
      </w:r>
      <w:r w:rsidR="00EC73D5">
        <w:t xml:space="preserve">both </w:t>
      </w:r>
      <w:r w:rsidRPr="00DE4BDF">
        <w:t xml:space="preserve">for national statisticians and for policy </w:t>
      </w:r>
      <w:r w:rsidR="00EC73D5">
        <w:t>consideration</w:t>
      </w:r>
      <w:r w:rsidRPr="00DE4BDF">
        <w:t>s (UNECE, 2011)</w:t>
      </w:r>
      <w:r w:rsidR="003746C6">
        <w:t>. F</w:t>
      </w:r>
      <w:r w:rsidRPr="00DE4BDF">
        <w:t xml:space="preserve">or </w:t>
      </w:r>
      <w:r w:rsidR="003746C6">
        <w:t xml:space="preserve">instance </w:t>
      </w:r>
      <w:r w:rsidRPr="00DE4BDF">
        <w:t>prices for goods and services exchanged between group entities differ from market prices, introducing distortion</w:t>
      </w:r>
      <w:r w:rsidR="003746C6">
        <w:t>s</w:t>
      </w:r>
      <w:r w:rsidRPr="00DE4BDF">
        <w:t xml:space="preserve"> in the value of trade (</w:t>
      </w:r>
      <w:proofErr w:type="spellStart"/>
      <w:r w:rsidRPr="00DE4BDF">
        <w:t>Eggelte</w:t>
      </w:r>
      <w:proofErr w:type="spellEnd"/>
      <w:r w:rsidRPr="00DE4BDF">
        <w:t xml:space="preserve"> et al., 2014).</w:t>
      </w:r>
      <w:r w:rsidR="00A81E3D">
        <w:t xml:space="preserve"> </w:t>
      </w:r>
    </w:p>
    <w:p w:rsidR="00847140" w:rsidRDefault="001B0578" w:rsidP="00965116">
      <w:pPr>
        <w:pStyle w:val="Contenutotabella"/>
        <w:spacing w:line="360" w:lineRule="auto"/>
        <w:jc w:val="both"/>
      </w:pPr>
      <w:r w:rsidRPr="00AE6730">
        <w:rPr>
          <w:lang w:val="en-US"/>
        </w:rPr>
        <w:tab/>
      </w:r>
      <w:r w:rsidRPr="00DE4BDF">
        <w:t>The high presence of MNEs may play an important role in explaining net lending of non-financial corporation</w:t>
      </w:r>
      <w:r w:rsidR="00AE6730">
        <w:t xml:space="preserve">s </w:t>
      </w:r>
      <w:r w:rsidRPr="00DE4BDF">
        <w:t xml:space="preserve">in some economies. If a company decided to move its production in another country through a subsidiary, </w:t>
      </w:r>
      <w:r w:rsidR="00AE6730">
        <w:t>t</w:t>
      </w:r>
      <w:r w:rsidRPr="00DE4BDF">
        <w:t>o exploit lower production costs, any investment run by the MNE through its subsidiary would be recorded in the foreign country. In the national account system, the acquisition of the subsidiary (</w:t>
      </w:r>
      <w:r w:rsidR="00AE6730">
        <w:t xml:space="preserve">the </w:t>
      </w:r>
      <w:r w:rsidRPr="00DE4BDF">
        <w:t>foreign direct investment</w:t>
      </w:r>
      <w:r w:rsidR="00AE6730">
        <w:t xml:space="preserve"> abroad</w:t>
      </w:r>
      <w:r w:rsidRPr="00DE4BDF">
        <w:t>) would affect only the financial accoun</w:t>
      </w:r>
      <w:r w:rsidR="00AE6730">
        <w:t>t of the parent company country</w:t>
      </w:r>
      <w:r w:rsidRPr="00DE4BDF">
        <w:t xml:space="preserve">, reducing the cash holdings and increasing shares and other equities in the asset side of </w:t>
      </w:r>
      <w:r w:rsidR="00AE6730">
        <w:t xml:space="preserve">firms’ </w:t>
      </w:r>
      <w:r w:rsidRPr="00DE4BDF">
        <w:t xml:space="preserve">financial accounts (with a symmetric impact on the rest of the world sector). Since the investment is made by the subsidiary, the capital account </w:t>
      </w:r>
      <w:r w:rsidR="00AE6730">
        <w:t>of</w:t>
      </w:r>
      <w:r w:rsidRPr="00DE4BDF">
        <w:t xml:space="preserve"> the parent company country remains unaffected, while the investment is recorded in the host country. The earnings generated by the subsidiary are assigned to the headquarters</w:t>
      </w:r>
      <w:r w:rsidR="00A81E3D">
        <w:t xml:space="preserve">, thus </w:t>
      </w:r>
      <w:r w:rsidRPr="00DE4BDF">
        <w:t>improving the distribution of income account and in turn net lending</w:t>
      </w:r>
      <w:r w:rsidR="007070F3">
        <w:t xml:space="preserve"> </w:t>
      </w:r>
      <w:r w:rsidR="007070F3" w:rsidRPr="007070F3">
        <w:t>(</w:t>
      </w:r>
      <w:proofErr w:type="spellStart"/>
      <w:r w:rsidR="007070F3" w:rsidRPr="007070F3">
        <w:t>Eggelte</w:t>
      </w:r>
      <w:proofErr w:type="spellEnd"/>
      <w:r w:rsidR="007070F3" w:rsidRPr="007070F3">
        <w:t xml:space="preserve"> et al., 2014)</w:t>
      </w:r>
      <w:r w:rsidRPr="00DE4BDF">
        <w:t xml:space="preserve">. In case of reinvested earnings, i.e. to fund an expansion of investments of the subsidiary, they are still recorded in the distribution of income account of the parent company (improving the net lending position) and correspondingly increase the shares and other equity </w:t>
      </w:r>
      <w:r w:rsidR="00AE6730">
        <w:t xml:space="preserve">item in </w:t>
      </w:r>
      <w:r w:rsidRPr="00DE4BDF">
        <w:t>the financial accounts. This statistical rule impl</w:t>
      </w:r>
      <w:r w:rsidR="00A81E3D">
        <w:t>ies</w:t>
      </w:r>
      <w:r w:rsidRPr="00DE4BDF">
        <w:t xml:space="preserve"> in turn an improvement of the net lending position of the parent company country and a corresponding worsening of the net borrowing /lending of the corporate sector of the subsidiary country, reducing in tu</w:t>
      </w:r>
      <w:r w:rsidR="009452B0" w:rsidRPr="00DE4BDF">
        <w:t>rn the current account balance.</w:t>
      </w:r>
    </w:p>
    <w:p w:rsidR="00965116" w:rsidRPr="00A81E3D" w:rsidRDefault="00965116" w:rsidP="00965116">
      <w:pPr>
        <w:pStyle w:val="Contenutotabella"/>
        <w:spacing w:line="360" w:lineRule="auto"/>
        <w:jc w:val="both"/>
        <w:rPr>
          <w:rFonts w:cs="Times New Roman"/>
          <w:b/>
        </w:rPr>
      </w:pPr>
    </w:p>
    <w:p w:rsidR="00A73D13" w:rsidRDefault="00A73D13" w:rsidP="00F14886">
      <w:pPr>
        <w:rPr>
          <w:rFonts w:ascii="Times New Roman" w:hAnsi="Times New Roman" w:cs="Times New Roman"/>
          <w:b/>
          <w:sz w:val="24"/>
          <w:szCs w:val="24"/>
          <w:lang w:val="en-US"/>
        </w:rPr>
      </w:pPr>
    </w:p>
    <w:p w:rsidR="00A73D13" w:rsidRDefault="00A73D13" w:rsidP="00F14886">
      <w:pPr>
        <w:rPr>
          <w:rFonts w:ascii="Times New Roman" w:hAnsi="Times New Roman" w:cs="Times New Roman"/>
          <w:b/>
          <w:sz w:val="24"/>
          <w:szCs w:val="24"/>
          <w:lang w:val="en-US"/>
        </w:rPr>
      </w:pPr>
    </w:p>
    <w:p w:rsidR="00A73D13" w:rsidRDefault="00A73D13" w:rsidP="00F14886">
      <w:pPr>
        <w:rPr>
          <w:rFonts w:ascii="Times New Roman" w:hAnsi="Times New Roman" w:cs="Times New Roman"/>
          <w:b/>
          <w:sz w:val="24"/>
          <w:szCs w:val="24"/>
          <w:lang w:val="en-US"/>
        </w:rPr>
      </w:pPr>
    </w:p>
    <w:p w:rsidR="00CB5D6D" w:rsidRPr="00AE6730" w:rsidRDefault="00C17B79" w:rsidP="00F14886">
      <w:pPr>
        <w:rPr>
          <w:rFonts w:ascii="Times New Roman" w:hAnsi="Times New Roman" w:cs="Times New Roman"/>
          <w:b/>
          <w:sz w:val="24"/>
          <w:szCs w:val="24"/>
          <w:lang w:val="en-US"/>
        </w:rPr>
      </w:pPr>
      <w:r w:rsidRPr="00AE6730">
        <w:rPr>
          <w:rFonts w:ascii="Times New Roman" w:hAnsi="Times New Roman" w:cs="Times New Roman"/>
          <w:b/>
          <w:sz w:val="24"/>
          <w:szCs w:val="24"/>
          <w:lang w:val="en-US"/>
        </w:rPr>
        <w:t>3</w:t>
      </w:r>
      <w:r w:rsidR="00822681" w:rsidRPr="00AE6730">
        <w:rPr>
          <w:rFonts w:ascii="Times New Roman" w:hAnsi="Times New Roman" w:cs="Times New Roman"/>
          <w:b/>
          <w:sz w:val="24"/>
          <w:szCs w:val="24"/>
          <w:lang w:val="en-US"/>
        </w:rPr>
        <w:t>.</w:t>
      </w:r>
      <w:r w:rsidRPr="00AE6730">
        <w:rPr>
          <w:rFonts w:ascii="Times New Roman" w:hAnsi="Times New Roman" w:cs="Times New Roman"/>
          <w:b/>
          <w:sz w:val="24"/>
          <w:szCs w:val="24"/>
          <w:lang w:val="en-US"/>
        </w:rPr>
        <w:t xml:space="preserve"> </w:t>
      </w:r>
      <w:r w:rsidR="00CB5D6D" w:rsidRPr="00AE6730">
        <w:rPr>
          <w:rFonts w:ascii="Times New Roman" w:hAnsi="Times New Roman" w:cs="Times New Roman"/>
          <w:b/>
          <w:sz w:val="24"/>
          <w:szCs w:val="24"/>
          <w:lang w:val="en-US"/>
        </w:rPr>
        <w:t>Data description</w:t>
      </w:r>
    </w:p>
    <w:p w:rsidR="003746C6" w:rsidRPr="00AE6730" w:rsidRDefault="003746C6" w:rsidP="009136C3">
      <w:pPr>
        <w:autoSpaceDE w:val="0"/>
        <w:autoSpaceDN w:val="0"/>
        <w:adjustRightInd w:val="0"/>
        <w:spacing w:after="0" w:line="360" w:lineRule="auto"/>
        <w:ind w:firstLine="567"/>
        <w:jc w:val="both"/>
        <w:rPr>
          <w:rFonts w:ascii="Times New Roman" w:hAnsi="Times New Roman" w:cs="Times New Roman"/>
          <w:sz w:val="24"/>
          <w:szCs w:val="24"/>
          <w:lang w:val="en-US"/>
        </w:rPr>
      </w:pPr>
    </w:p>
    <w:p w:rsidR="009136C3" w:rsidRDefault="00822681" w:rsidP="009136C3">
      <w:pPr>
        <w:autoSpaceDE w:val="0"/>
        <w:autoSpaceDN w:val="0"/>
        <w:adjustRightInd w:val="0"/>
        <w:spacing w:after="0" w:line="360" w:lineRule="auto"/>
        <w:ind w:firstLine="567"/>
        <w:jc w:val="both"/>
        <w:rPr>
          <w:rFonts w:ascii="Times New Roman" w:hAnsi="Times New Roman" w:cs="Times New Roman"/>
          <w:sz w:val="24"/>
          <w:szCs w:val="24"/>
          <w:lang w:val="en-US"/>
        </w:rPr>
      </w:pPr>
      <w:r w:rsidRPr="00AE6730">
        <w:rPr>
          <w:rFonts w:ascii="Times New Roman" w:hAnsi="Times New Roman" w:cs="Times New Roman"/>
          <w:sz w:val="24"/>
          <w:szCs w:val="24"/>
          <w:lang w:val="en-US"/>
        </w:rPr>
        <w:t>Our data set includes 17 countries</w:t>
      </w:r>
      <w:r w:rsidR="005C27BA">
        <w:rPr>
          <w:rFonts w:ascii="Times New Roman" w:hAnsi="Times New Roman" w:cs="Times New Roman"/>
          <w:sz w:val="24"/>
          <w:szCs w:val="24"/>
          <w:lang w:val="en-US"/>
        </w:rPr>
        <w:t xml:space="preserve">, </w:t>
      </w:r>
      <w:r>
        <w:rPr>
          <w:rFonts w:ascii="Times New Roman" w:hAnsi="Times New Roman" w:cs="Times New Roman"/>
          <w:sz w:val="24"/>
          <w:szCs w:val="24"/>
          <w:lang w:val="en-GB"/>
        </w:rPr>
        <w:t>16 European countries plus the US.</w:t>
      </w:r>
      <w:r w:rsidR="00E4412D">
        <w:rPr>
          <w:rFonts w:ascii="Times New Roman" w:hAnsi="Times New Roman" w:cs="Times New Roman"/>
          <w:sz w:val="24"/>
          <w:szCs w:val="24"/>
          <w:lang w:val="en-GB"/>
        </w:rPr>
        <w:t xml:space="preserve"> We collected data from 1995 to 2014</w:t>
      </w:r>
      <w:r w:rsidR="005C27BA">
        <w:rPr>
          <w:rFonts w:ascii="Times New Roman" w:hAnsi="Times New Roman" w:cs="Times New Roman"/>
          <w:sz w:val="24"/>
          <w:szCs w:val="24"/>
          <w:lang w:val="en-GB"/>
        </w:rPr>
        <w:t xml:space="preserve"> </w:t>
      </w:r>
      <w:r w:rsidR="005C27BA" w:rsidRPr="005C27BA">
        <w:rPr>
          <w:rFonts w:ascii="Times New Roman" w:hAnsi="Times New Roman" w:cs="Times New Roman"/>
          <w:sz w:val="24"/>
          <w:szCs w:val="24"/>
          <w:lang w:val="en-GB"/>
        </w:rPr>
        <w:t>following the ESA95 standards</w:t>
      </w:r>
      <w:r w:rsidR="005C27BA">
        <w:rPr>
          <w:rFonts w:ascii="Times New Roman" w:hAnsi="Times New Roman" w:cs="Times New Roman"/>
          <w:sz w:val="24"/>
          <w:szCs w:val="24"/>
          <w:lang w:val="en-GB"/>
        </w:rPr>
        <w:t>.</w:t>
      </w:r>
    </w:p>
    <w:p w:rsidR="005C4A93" w:rsidRDefault="00EC73D5" w:rsidP="00822681">
      <w:pPr>
        <w:spacing w:after="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There are s</w:t>
      </w:r>
      <w:r w:rsidR="005C27BA">
        <w:rPr>
          <w:rFonts w:ascii="Times New Roman" w:hAnsi="Times New Roman" w:cs="Times New Roman"/>
          <w:sz w:val="24"/>
          <w:szCs w:val="24"/>
          <w:lang w:val="en-GB"/>
        </w:rPr>
        <w:t>even</w:t>
      </w:r>
      <w:r>
        <w:rPr>
          <w:rFonts w:ascii="Times New Roman" w:hAnsi="Times New Roman" w:cs="Times New Roman"/>
          <w:sz w:val="24"/>
          <w:szCs w:val="24"/>
          <w:lang w:val="en-GB"/>
        </w:rPr>
        <w:t xml:space="preserve"> </w:t>
      </w:r>
      <w:r w:rsidR="00822681">
        <w:rPr>
          <w:rFonts w:ascii="Times New Roman" w:hAnsi="Times New Roman" w:cs="Times New Roman"/>
          <w:sz w:val="24"/>
          <w:szCs w:val="24"/>
          <w:lang w:val="en-GB"/>
        </w:rPr>
        <w:t xml:space="preserve">countries </w:t>
      </w:r>
      <w:r>
        <w:rPr>
          <w:rFonts w:ascii="Times New Roman" w:hAnsi="Times New Roman" w:cs="Times New Roman"/>
          <w:sz w:val="24"/>
          <w:szCs w:val="24"/>
          <w:lang w:val="en-GB"/>
        </w:rPr>
        <w:t xml:space="preserve">where </w:t>
      </w:r>
      <w:r w:rsidR="00822681">
        <w:rPr>
          <w:rFonts w:ascii="Times New Roman" w:hAnsi="Times New Roman" w:cs="Times New Roman"/>
          <w:sz w:val="24"/>
          <w:szCs w:val="24"/>
          <w:lang w:val="en-GB"/>
        </w:rPr>
        <w:t xml:space="preserve">firms are net </w:t>
      </w:r>
      <w:r w:rsidR="008A18F9" w:rsidRPr="008A18F9">
        <w:rPr>
          <w:rFonts w:ascii="Times New Roman" w:hAnsi="Times New Roman" w:cs="Times New Roman"/>
          <w:sz w:val="24"/>
          <w:szCs w:val="24"/>
          <w:lang w:val="en-GB"/>
        </w:rPr>
        <w:t>lenders</w:t>
      </w:r>
      <w:r w:rsidR="009136C3" w:rsidRPr="008A18F9">
        <w:rPr>
          <w:rFonts w:ascii="Times New Roman" w:hAnsi="Times New Roman" w:cs="Times New Roman"/>
          <w:sz w:val="24"/>
          <w:szCs w:val="24"/>
          <w:lang w:val="en-GB"/>
        </w:rPr>
        <w:t xml:space="preserve"> </w:t>
      </w:r>
      <w:r w:rsidR="00822681">
        <w:rPr>
          <w:rFonts w:ascii="Times New Roman" w:hAnsi="Times New Roman" w:cs="Times New Roman"/>
          <w:sz w:val="24"/>
          <w:szCs w:val="24"/>
          <w:lang w:val="en-GB"/>
        </w:rPr>
        <w:t xml:space="preserve">in most of the years. This is the case of </w:t>
      </w:r>
      <w:r w:rsidR="009136C3" w:rsidRPr="008A18F9">
        <w:rPr>
          <w:rFonts w:ascii="Times New Roman" w:hAnsi="Times New Roman" w:cs="Times New Roman"/>
          <w:sz w:val="24"/>
          <w:szCs w:val="24"/>
          <w:lang w:val="en-GB"/>
        </w:rPr>
        <w:t xml:space="preserve">Germany, </w:t>
      </w:r>
      <w:r w:rsidR="00E4412D">
        <w:rPr>
          <w:rFonts w:ascii="Times New Roman" w:hAnsi="Times New Roman" w:cs="Times New Roman"/>
          <w:sz w:val="24"/>
          <w:szCs w:val="24"/>
          <w:lang w:val="en-GB"/>
        </w:rPr>
        <w:t xml:space="preserve">Denmark, </w:t>
      </w:r>
      <w:r w:rsidR="005C27BA">
        <w:rPr>
          <w:rFonts w:ascii="Times New Roman" w:hAnsi="Times New Roman" w:cs="Times New Roman"/>
          <w:sz w:val="24"/>
          <w:szCs w:val="24"/>
          <w:lang w:val="en-GB"/>
        </w:rPr>
        <w:t xml:space="preserve">Ireland, </w:t>
      </w:r>
      <w:r w:rsidR="00E4412D" w:rsidRPr="00E4412D">
        <w:rPr>
          <w:rFonts w:ascii="Times New Roman" w:hAnsi="Times New Roman" w:cs="Times New Roman"/>
          <w:sz w:val="24"/>
          <w:szCs w:val="24"/>
          <w:lang w:val="en-GB"/>
        </w:rPr>
        <w:t>Switzerland</w:t>
      </w:r>
      <w:r w:rsidR="00E4412D">
        <w:rPr>
          <w:rFonts w:ascii="Times New Roman" w:hAnsi="Times New Roman" w:cs="Times New Roman"/>
          <w:sz w:val="24"/>
          <w:szCs w:val="24"/>
          <w:lang w:val="en-GB"/>
        </w:rPr>
        <w:t>,</w:t>
      </w:r>
      <w:r w:rsidR="00E4412D" w:rsidRPr="00E4412D">
        <w:rPr>
          <w:rFonts w:ascii="Times New Roman" w:hAnsi="Times New Roman" w:cs="Times New Roman"/>
          <w:sz w:val="24"/>
          <w:szCs w:val="24"/>
          <w:lang w:val="en-GB"/>
        </w:rPr>
        <w:t xml:space="preserve"> </w:t>
      </w:r>
      <w:r w:rsidR="009136C3" w:rsidRPr="008A18F9">
        <w:rPr>
          <w:rFonts w:ascii="Times New Roman" w:hAnsi="Times New Roman" w:cs="Times New Roman"/>
          <w:sz w:val="24"/>
          <w:szCs w:val="24"/>
          <w:lang w:val="en-GB"/>
        </w:rPr>
        <w:t>the Ne</w:t>
      </w:r>
      <w:r w:rsidR="00822681">
        <w:rPr>
          <w:rFonts w:ascii="Times New Roman" w:hAnsi="Times New Roman" w:cs="Times New Roman"/>
          <w:sz w:val="24"/>
          <w:szCs w:val="24"/>
          <w:lang w:val="en-GB"/>
        </w:rPr>
        <w:t>therlands, Finland</w:t>
      </w:r>
      <w:r w:rsidR="00E4412D">
        <w:rPr>
          <w:rFonts w:ascii="Times New Roman" w:hAnsi="Times New Roman" w:cs="Times New Roman"/>
          <w:sz w:val="24"/>
          <w:szCs w:val="24"/>
          <w:lang w:val="en-GB"/>
        </w:rPr>
        <w:t xml:space="preserve"> and the UK</w:t>
      </w:r>
      <w:r>
        <w:rPr>
          <w:rFonts w:ascii="Times New Roman" w:hAnsi="Times New Roman" w:cs="Times New Roman"/>
          <w:sz w:val="24"/>
          <w:szCs w:val="24"/>
          <w:lang w:val="en-GB"/>
        </w:rPr>
        <w:t xml:space="preserve"> (</w:t>
      </w:r>
      <w:r w:rsidR="00E4412D" w:rsidRPr="00E4412D">
        <w:rPr>
          <w:rFonts w:ascii="Times New Roman" w:hAnsi="Times New Roman" w:cs="Times New Roman"/>
          <w:sz w:val="24"/>
          <w:szCs w:val="24"/>
          <w:lang w:val="en-GB"/>
        </w:rPr>
        <w:t>Figure 1</w:t>
      </w:r>
      <w:r>
        <w:rPr>
          <w:rFonts w:ascii="Times New Roman" w:hAnsi="Times New Roman" w:cs="Times New Roman"/>
          <w:sz w:val="24"/>
          <w:szCs w:val="24"/>
          <w:lang w:val="en-GB"/>
        </w:rPr>
        <w:t xml:space="preserve">). </w:t>
      </w:r>
      <w:r w:rsidR="005C27BA" w:rsidRPr="005C27BA">
        <w:rPr>
          <w:rFonts w:ascii="Times New Roman" w:hAnsi="Times New Roman" w:cs="Times New Roman"/>
          <w:sz w:val="24"/>
          <w:szCs w:val="24"/>
          <w:lang w:val="en-GB"/>
        </w:rPr>
        <w:t xml:space="preserve">Taking into account the average of the period 1995-2014, net </w:t>
      </w:r>
      <w:r w:rsidR="005C27BA">
        <w:rPr>
          <w:rFonts w:ascii="Times New Roman" w:hAnsi="Times New Roman" w:cs="Times New Roman"/>
          <w:sz w:val="24"/>
          <w:szCs w:val="24"/>
          <w:lang w:val="en-GB"/>
        </w:rPr>
        <w:t xml:space="preserve">lending </w:t>
      </w:r>
      <w:r w:rsidR="005C27BA" w:rsidRPr="005C27BA">
        <w:rPr>
          <w:rFonts w:ascii="Times New Roman" w:hAnsi="Times New Roman" w:cs="Times New Roman"/>
          <w:sz w:val="24"/>
          <w:szCs w:val="24"/>
          <w:lang w:val="en-GB"/>
        </w:rPr>
        <w:t xml:space="preserve">was around </w:t>
      </w:r>
      <w:r w:rsidR="005C27BA">
        <w:rPr>
          <w:rFonts w:ascii="Times New Roman" w:hAnsi="Times New Roman" w:cs="Times New Roman"/>
          <w:sz w:val="24"/>
          <w:szCs w:val="24"/>
          <w:lang w:val="en-GB"/>
        </w:rPr>
        <w:t>6</w:t>
      </w:r>
      <w:r w:rsidR="005C27BA" w:rsidRPr="005C27BA">
        <w:rPr>
          <w:rFonts w:ascii="Times New Roman" w:hAnsi="Times New Roman" w:cs="Times New Roman"/>
          <w:sz w:val="24"/>
          <w:szCs w:val="24"/>
          <w:lang w:val="en-GB"/>
        </w:rPr>
        <w:t xml:space="preserve"> per cent of GDP in</w:t>
      </w:r>
      <w:r w:rsidR="005C27BA">
        <w:rPr>
          <w:rFonts w:ascii="Times New Roman" w:hAnsi="Times New Roman" w:cs="Times New Roman"/>
          <w:sz w:val="24"/>
          <w:szCs w:val="24"/>
          <w:lang w:val="en-GB"/>
        </w:rPr>
        <w:t xml:space="preserve"> the Netherlands, around 3 per cent in Denmark, </w:t>
      </w:r>
      <w:r w:rsidR="005C27BA" w:rsidRPr="005C27BA">
        <w:rPr>
          <w:rFonts w:ascii="Times New Roman" w:hAnsi="Times New Roman" w:cs="Times New Roman"/>
          <w:sz w:val="24"/>
          <w:szCs w:val="24"/>
          <w:lang w:val="en-GB"/>
        </w:rPr>
        <w:t>around 2 per cent in Switzerland</w:t>
      </w:r>
      <w:r w:rsidR="005C27BA">
        <w:rPr>
          <w:rFonts w:ascii="Times New Roman" w:hAnsi="Times New Roman" w:cs="Times New Roman"/>
          <w:sz w:val="24"/>
          <w:szCs w:val="24"/>
          <w:lang w:val="en-GB"/>
        </w:rPr>
        <w:t xml:space="preserve"> and around 1 per cent </w:t>
      </w:r>
      <w:r w:rsidR="00B537BE">
        <w:rPr>
          <w:rFonts w:ascii="Times New Roman" w:hAnsi="Times New Roman" w:cs="Times New Roman"/>
          <w:sz w:val="24"/>
          <w:szCs w:val="24"/>
          <w:lang w:val="en-GB"/>
        </w:rPr>
        <w:t xml:space="preserve">or less </w:t>
      </w:r>
      <w:r w:rsidR="005C27BA">
        <w:rPr>
          <w:rFonts w:ascii="Times New Roman" w:hAnsi="Times New Roman" w:cs="Times New Roman"/>
          <w:sz w:val="24"/>
          <w:szCs w:val="24"/>
          <w:lang w:val="en-GB"/>
        </w:rPr>
        <w:t xml:space="preserve">in the remaining countries. While </w:t>
      </w:r>
      <w:r w:rsidR="005C4A93">
        <w:rPr>
          <w:rFonts w:ascii="Times New Roman" w:hAnsi="Times New Roman" w:cs="Times New Roman"/>
          <w:sz w:val="24"/>
          <w:szCs w:val="24"/>
          <w:lang w:val="en-US"/>
        </w:rPr>
        <w:t xml:space="preserve">the </w:t>
      </w:r>
      <w:r w:rsidR="005C4A93" w:rsidRPr="000A59F4">
        <w:rPr>
          <w:rFonts w:ascii="Times New Roman" w:hAnsi="Times New Roman" w:cs="Times New Roman"/>
          <w:sz w:val="24"/>
          <w:szCs w:val="24"/>
          <w:lang w:val="en-US"/>
        </w:rPr>
        <w:t>Netherlands</w:t>
      </w:r>
      <w:r w:rsidR="005C4A93">
        <w:rPr>
          <w:rFonts w:ascii="Times New Roman" w:hAnsi="Times New Roman" w:cs="Times New Roman"/>
          <w:sz w:val="24"/>
          <w:szCs w:val="24"/>
          <w:lang w:val="en-US"/>
        </w:rPr>
        <w:t>, the UK and Denmark</w:t>
      </w:r>
      <w:r w:rsidR="005C4A93" w:rsidRPr="000A59F4">
        <w:rPr>
          <w:rFonts w:ascii="Times New Roman" w:hAnsi="Times New Roman" w:cs="Times New Roman"/>
          <w:sz w:val="24"/>
          <w:szCs w:val="24"/>
          <w:lang w:val="en-US"/>
        </w:rPr>
        <w:t xml:space="preserve"> </w:t>
      </w:r>
      <w:r w:rsidR="005C4A93">
        <w:rPr>
          <w:rFonts w:ascii="Times New Roman" w:hAnsi="Times New Roman" w:cs="Times New Roman"/>
          <w:sz w:val="24"/>
          <w:szCs w:val="24"/>
          <w:lang w:val="en-US"/>
        </w:rPr>
        <w:t xml:space="preserve">show a net surplus in </w:t>
      </w:r>
      <w:r w:rsidR="005C27BA">
        <w:rPr>
          <w:rFonts w:ascii="Times New Roman" w:hAnsi="Times New Roman" w:cs="Times New Roman"/>
          <w:sz w:val="24"/>
          <w:szCs w:val="24"/>
          <w:lang w:val="en-US"/>
        </w:rPr>
        <w:t xml:space="preserve">all the years </w:t>
      </w:r>
      <w:r w:rsidR="005C4A93">
        <w:rPr>
          <w:rFonts w:ascii="Times New Roman" w:hAnsi="Times New Roman" w:cs="Times New Roman"/>
          <w:sz w:val="24"/>
          <w:szCs w:val="24"/>
          <w:lang w:val="en-US"/>
        </w:rPr>
        <w:t xml:space="preserve">(except for 2008 and in some cases </w:t>
      </w:r>
      <w:r w:rsidR="00A04390">
        <w:rPr>
          <w:rFonts w:ascii="Times New Roman" w:hAnsi="Times New Roman" w:cs="Times New Roman"/>
          <w:sz w:val="24"/>
          <w:szCs w:val="24"/>
          <w:lang w:val="en-US"/>
        </w:rPr>
        <w:t xml:space="preserve">around the </w:t>
      </w:r>
      <w:r w:rsidR="005C4A93">
        <w:rPr>
          <w:rFonts w:ascii="Times New Roman" w:hAnsi="Times New Roman" w:cs="Times New Roman"/>
          <w:sz w:val="24"/>
          <w:szCs w:val="24"/>
          <w:lang w:val="en-US"/>
        </w:rPr>
        <w:t xml:space="preserve">2012 </w:t>
      </w:r>
      <w:r w:rsidR="005C27BA">
        <w:rPr>
          <w:rFonts w:ascii="Times New Roman" w:hAnsi="Times New Roman" w:cs="Times New Roman"/>
          <w:sz w:val="24"/>
          <w:szCs w:val="24"/>
          <w:lang w:val="en-US"/>
        </w:rPr>
        <w:t xml:space="preserve">sovereign debt </w:t>
      </w:r>
      <w:r w:rsidR="005C4A93">
        <w:rPr>
          <w:rFonts w:ascii="Times New Roman" w:hAnsi="Times New Roman" w:cs="Times New Roman"/>
          <w:sz w:val="24"/>
          <w:szCs w:val="24"/>
          <w:lang w:val="en-US"/>
        </w:rPr>
        <w:t xml:space="preserve">crisis), </w:t>
      </w:r>
      <w:r w:rsidR="00B537BE">
        <w:rPr>
          <w:rFonts w:ascii="Times New Roman" w:hAnsi="Times New Roman" w:cs="Times New Roman"/>
          <w:sz w:val="24"/>
          <w:szCs w:val="24"/>
          <w:lang w:val="en-US"/>
        </w:rPr>
        <w:t xml:space="preserve">firms in </w:t>
      </w:r>
      <w:r w:rsidR="005C4A93">
        <w:rPr>
          <w:rFonts w:ascii="Times New Roman" w:hAnsi="Times New Roman" w:cs="Times New Roman"/>
          <w:sz w:val="24"/>
          <w:szCs w:val="24"/>
          <w:lang w:val="en-US"/>
        </w:rPr>
        <w:t xml:space="preserve">Switzerland and Germany display a positive </w:t>
      </w:r>
      <w:r w:rsidR="005C27BA">
        <w:rPr>
          <w:rFonts w:ascii="Times New Roman" w:hAnsi="Times New Roman" w:cs="Times New Roman"/>
          <w:sz w:val="24"/>
          <w:szCs w:val="24"/>
          <w:lang w:val="en-US"/>
        </w:rPr>
        <w:t xml:space="preserve">saving </w:t>
      </w:r>
      <w:r w:rsidR="005C4A93">
        <w:rPr>
          <w:rFonts w:ascii="Times New Roman" w:hAnsi="Times New Roman" w:cs="Times New Roman"/>
          <w:sz w:val="24"/>
          <w:szCs w:val="24"/>
          <w:lang w:val="en-US"/>
        </w:rPr>
        <w:t>starting from 2003; the surplus takes place from 2007 in Ireland.</w:t>
      </w:r>
      <w:r w:rsidR="003B5561">
        <w:rPr>
          <w:rFonts w:ascii="Times New Roman" w:hAnsi="Times New Roman" w:cs="Times New Roman"/>
          <w:sz w:val="24"/>
          <w:szCs w:val="24"/>
          <w:lang w:val="en-US"/>
        </w:rPr>
        <w:t xml:space="preserve"> </w:t>
      </w:r>
      <w:r w:rsidR="005C27BA">
        <w:rPr>
          <w:rFonts w:ascii="Times New Roman" w:hAnsi="Times New Roman" w:cs="Times New Roman"/>
          <w:sz w:val="24"/>
          <w:szCs w:val="24"/>
          <w:lang w:val="en-US"/>
        </w:rPr>
        <w:t xml:space="preserve">During </w:t>
      </w:r>
      <w:r w:rsidR="003B5561">
        <w:rPr>
          <w:rFonts w:ascii="Times New Roman" w:hAnsi="Times New Roman" w:cs="Times New Roman"/>
          <w:sz w:val="24"/>
          <w:szCs w:val="24"/>
          <w:lang w:val="en-US"/>
        </w:rPr>
        <w:t xml:space="preserve">the global financial crisis and the European debt sovereign crisis in </w:t>
      </w:r>
      <w:r w:rsidR="005C27BA">
        <w:rPr>
          <w:rFonts w:ascii="Times New Roman" w:hAnsi="Times New Roman" w:cs="Times New Roman"/>
          <w:sz w:val="24"/>
          <w:szCs w:val="24"/>
          <w:lang w:val="en-US"/>
        </w:rPr>
        <w:t xml:space="preserve">some countries </w:t>
      </w:r>
      <w:r w:rsidR="003B5561">
        <w:rPr>
          <w:rFonts w:ascii="Times New Roman" w:hAnsi="Times New Roman" w:cs="Times New Roman"/>
          <w:sz w:val="24"/>
          <w:szCs w:val="24"/>
          <w:lang w:val="en-US"/>
        </w:rPr>
        <w:t xml:space="preserve">firms’ </w:t>
      </w:r>
      <w:r w:rsidR="005C27BA">
        <w:rPr>
          <w:rFonts w:ascii="Times New Roman" w:hAnsi="Times New Roman" w:cs="Times New Roman"/>
          <w:sz w:val="24"/>
          <w:szCs w:val="24"/>
          <w:lang w:val="en-US"/>
        </w:rPr>
        <w:t>reduced their net lending or increased their net borrowing</w:t>
      </w:r>
      <w:r w:rsidR="003B5561">
        <w:rPr>
          <w:rFonts w:ascii="Times New Roman" w:hAnsi="Times New Roman" w:cs="Times New Roman"/>
          <w:sz w:val="24"/>
          <w:szCs w:val="24"/>
          <w:lang w:val="en-US"/>
        </w:rPr>
        <w:t xml:space="preserve">. This may be interpreted as a </w:t>
      </w:r>
      <w:r w:rsidR="00D66235" w:rsidRPr="005C27BA">
        <w:rPr>
          <w:rFonts w:ascii="Times New Roman" w:hAnsi="Times New Roman" w:cs="Times New Roman"/>
          <w:sz w:val="24"/>
          <w:szCs w:val="24"/>
          <w:lang w:val="en-US"/>
        </w:rPr>
        <w:t>sort of rebalancing</w:t>
      </w:r>
      <w:r w:rsidR="003B5561">
        <w:rPr>
          <w:rFonts w:ascii="Times New Roman" w:hAnsi="Times New Roman" w:cs="Times New Roman"/>
          <w:sz w:val="24"/>
          <w:szCs w:val="24"/>
          <w:lang w:val="en-US"/>
        </w:rPr>
        <w:t xml:space="preserve">, </w:t>
      </w:r>
      <w:r w:rsidR="00D66235" w:rsidRPr="005C27BA">
        <w:rPr>
          <w:rFonts w:ascii="Times New Roman" w:hAnsi="Times New Roman" w:cs="Times New Roman"/>
          <w:sz w:val="24"/>
          <w:szCs w:val="24"/>
          <w:lang w:val="en-US"/>
        </w:rPr>
        <w:t>analogous</w:t>
      </w:r>
      <w:r w:rsidR="001B6659">
        <w:rPr>
          <w:rFonts w:ascii="Times New Roman" w:hAnsi="Times New Roman" w:cs="Times New Roman"/>
          <w:sz w:val="24"/>
          <w:szCs w:val="24"/>
          <w:lang w:val="en-US"/>
        </w:rPr>
        <w:t xml:space="preserve">, </w:t>
      </w:r>
      <w:r w:rsidR="001B6659" w:rsidRPr="001B6659">
        <w:rPr>
          <w:rFonts w:ascii="Times New Roman" w:hAnsi="Times New Roman" w:cs="Times New Roman"/>
          <w:sz w:val="24"/>
          <w:szCs w:val="24"/>
          <w:lang w:val="en-US"/>
        </w:rPr>
        <w:t xml:space="preserve">even if with the opposite sign, </w:t>
      </w:r>
      <w:r w:rsidR="00D66235" w:rsidRPr="005C27BA">
        <w:rPr>
          <w:rFonts w:ascii="Times New Roman" w:hAnsi="Times New Roman" w:cs="Times New Roman"/>
          <w:sz w:val="24"/>
          <w:szCs w:val="24"/>
          <w:lang w:val="en-US"/>
        </w:rPr>
        <w:t xml:space="preserve">to that </w:t>
      </w:r>
      <w:r w:rsidR="001B6659">
        <w:rPr>
          <w:rFonts w:ascii="Times New Roman" w:hAnsi="Times New Roman" w:cs="Times New Roman"/>
          <w:sz w:val="24"/>
          <w:szCs w:val="24"/>
          <w:lang w:val="en-US"/>
        </w:rPr>
        <w:t xml:space="preserve">of </w:t>
      </w:r>
      <w:r w:rsidR="00D66235" w:rsidRPr="005C27BA">
        <w:rPr>
          <w:rFonts w:ascii="Times New Roman" w:hAnsi="Times New Roman" w:cs="Times New Roman"/>
          <w:sz w:val="24"/>
          <w:szCs w:val="24"/>
          <w:lang w:val="en-US"/>
        </w:rPr>
        <w:t>current account balance</w:t>
      </w:r>
      <w:r w:rsidR="003B5561">
        <w:rPr>
          <w:rFonts w:ascii="Times New Roman" w:hAnsi="Times New Roman" w:cs="Times New Roman"/>
          <w:sz w:val="24"/>
          <w:szCs w:val="24"/>
          <w:lang w:val="en-US"/>
        </w:rPr>
        <w:t>s</w:t>
      </w:r>
      <w:r w:rsidR="00D66235" w:rsidRPr="005C27BA">
        <w:rPr>
          <w:rFonts w:ascii="Times New Roman" w:hAnsi="Times New Roman" w:cs="Times New Roman"/>
          <w:sz w:val="24"/>
          <w:szCs w:val="24"/>
          <w:lang w:val="en-US"/>
        </w:rPr>
        <w:t xml:space="preserve"> during the financial crisis (see Cesaroni </w:t>
      </w:r>
      <w:r w:rsidR="003B5561">
        <w:rPr>
          <w:rFonts w:ascii="Times New Roman" w:hAnsi="Times New Roman" w:cs="Times New Roman"/>
          <w:sz w:val="24"/>
          <w:szCs w:val="24"/>
          <w:lang w:val="en-US"/>
        </w:rPr>
        <w:t xml:space="preserve">and </w:t>
      </w:r>
      <w:r w:rsidR="00D66235" w:rsidRPr="005C27BA">
        <w:rPr>
          <w:rFonts w:ascii="Times New Roman" w:hAnsi="Times New Roman" w:cs="Times New Roman"/>
          <w:sz w:val="24"/>
          <w:szCs w:val="24"/>
          <w:lang w:val="en-US"/>
        </w:rPr>
        <w:t xml:space="preserve">De </w:t>
      </w:r>
      <w:proofErr w:type="spellStart"/>
      <w:r w:rsidR="00D66235" w:rsidRPr="005C27BA">
        <w:rPr>
          <w:rFonts w:ascii="Times New Roman" w:hAnsi="Times New Roman" w:cs="Times New Roman"/>
          <w:sz w:val="24"/>
          <w:szCs w:val="24"/>
          <w:lang w:val="en-US"/>
        </w:rPr>
        <w:t>Santis</w:t>
      </w:r>
      <w:proofErr w:type="spellEnd"/>
      <w:r w:rsidR="00D66235" w:rsidRPr="005C27BA">
        <w:rPr>
          <w:rFonts w:ascii="Times New Roman" w:hAnsi="Times New Roman" w:cs="Times New Roman"/>
          <w:sz w:val="24"/>
          <w:szCs w:val="24"/>
          <w:lang w:val="en-US"/>
        </w:rPr>
        <w:t>, 2015).</w:t>
      </w:r>
    </w:p>
    <w:p w:rsidR="00D66235" w:rsidRDefault="00D66235" w:rsidP="00822681">
      <w:pPr>
        <w:spacing w:after="0" w:line="360" w:lineRule="auto"/>
        <w:ind w:firstLine="567"/>
        <w:jc w:val="both"/>
        <w:rPr>
          <w:rFonts w:ascii="Times New Roman" w:hAnsi="Times New Roman" w:cs="Times New Roman"/>
          <w:sz w:val="24"/>
          <w:szCs w:val="24"/>
          <w:lang w:val="en-GB"/>
        </w:rPr>
      </w:pPr>
    </w:p>
    <w:p w:rsidR="000F3AC9" w:rsidRPr="00EC73D5" w:rsidRDefault="00E4412D" w:rsidP="0059780C">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Figure 1. </w:t>
      </w:r>
      <w:r w:rsidR="00E05739" w:rsidRPr="00E05739">
        <w:rPr>
          <w:rFonts w:ascii="Times New Roman" w:hAnsi="Times New Roman" w:cs="Times New Roman"/>
          <w:b/>
          <w:sz w:val="24"/>
          <w:szCs w:val="24"/>
          <w:lang w:val="en-US"/>
        </w:rPr>
        <w:t>Net lenders</w:t>
      </w:r>
      <w:r w:rsidR="00F12D1B">
        <w:rPr>
          <w:rFonts w:ascii="Times New Roman" w:hAnsi="Times New Roman" w:cs="Times New Roman"/>
          <w:b/>
          <w:sz w:val="24"/>
          <w:szCs w:val="24"/>
          <w:lang w:val="en-US"/>
        </w:rPr>
        <w:t xml:space="preserve"> countries</w:t>
      </w:r>
      <w:r w:rsidR="003D39DD">
        <w:rPr>
          <w:rFonts w:ascii="Times New Roman" w:hAnsi="Times New Roman" w:cs="Times New Roman"/>
          <w:b/>
          <w:sz w:val="24"/>
          <w:szCs w:val="24"/>
          <w:lang w:val="en-US"/>
        </w:rPr>
        <w:t xml:space="preserve">, </w:t>
      </w:r>
      <w:r w:rsidR="00F12D1B">
        <w:rPr>
          <w:rFonts w:ascii="Times New Roman" w:hAnsi="Times New Roman" w:cs="Times New Roman"/>
          <w:b/>
          <w:sz w:val="24"/>
          <w:szCs w:val="24"/>
          <w:lang w:val="en-US"/>
        </w:rPr>
        <w:t>1995-2014.</w:t>
      </w:r>
      <w:r w:rsidR="00D66235">
        <w:rPr>
          <w:rFonts w:ascii="Times New Roman" w:hAnsi="Times New Roman" w:cs="Times New Roman"/>
          <w:b/>
          <w:sz w:val="24"/>
          <w:szCs w:val="24"/>
          <w:lang w:val="en-US"/>
        </w:rPr>
        <w:t xml:space="preserve"> The blue line is firms’ net lending as a percentage </w:t>
      </w:r>
      <w:r w:rsidR="00EE3EBB">
        <w:rPr>
          <w:rFonts w:ascii="Times New Roman" w:hAnsi="Times New Roman" w:cs="Times New Roman"/>
          <w:b/>
          <w:sz w:val="24"/>
          <w:szCs w:val="24"/>
          <w:lang w:val="en-US"/>
        </w:rPr>
        <w:t>of GDP</w:t>
      </w:r>
      <w:r w:rsidR="0059780C">
        <w:rPr>
          <w:rFonts w:ascii="Times New Roman" w:hAnsi="Times New Roman" w:cs="Times New Roman"/>
          <w:b/>
          <w:sz w:val="24"/>
          <w:szCs w:val="24"/>
          <w:lang w:val="en-US"/>
        </w:rPr>
        <w:t xml:space="preserve"> (right hand scale)</w:t>
      </w:r>
      <w:r w:rsidR="00EE3EBB">
        <w:rPr>
          <w:rFonts w:ascii="Times New Roman" w:hAnsi="Times New Roman" w:cs="Times New Roman"/>
          <w:b/>
          <w:sz w:val="24"/>
          <w:szCs w:val="24"/>
          <w:lang w:val="en-US"/>
        </w:rPr>
        <w:t xml:space="preserve">. The red line is </w:t>
      </w:r>
      <w:r w:rsidR="00EC73D5">
        <w:rPr>
          <w:rFonts w:ascii="Times New Roman" w:hAnsi="Times New Roman" w:cs="Times New Roman"/>
          <w:b/>
          <w:sz w:val="24"/>
          <w:szCs w:val="24"/>
          <w:lang w:val="en-US"/>
        </w:rPr>
        <w:t xml:space="preserve">the net change of </w:t>
      </w:r>
      <w:r w:rsidR="00EE3EBB">
        <w:rPr>
          <w:rFonts w:ascii="Times New Roman" w:hAnsi="Times New Roman" w:cs="Times New Roman"/>
          <w:b/>
          <w:sz w:val="24"/>
          <w:szCs w:val="24"/>
          <w:lang w:val="en-US"/>
        </w:rPr>
        <w:t xml:space="preserve">firms’ </w:t>
      </w:r>
      <w:r w:rsidR="0059780C">
        <w:rPr>
          <w:rFonts w:ascii="Times New Roman" w:hAnsi="Times New Roman" w:cs="Times New Roman"/>
          <w:b/>
          <w:sz w:val="24"/>
          <w:szCs w:val="24"/>
          <w:lang w:val="en-US"/>
        </w:rPr>
        <w:t>financial assets</w:t>
      </w:r>
      <w:r w:rsidR="00D66235">
        <w:rPr>
          <w:rFonts w:ascii="Times New Roman" w:hAnsi="Times New Roman" w:cs="Times New Roman"/>
          <w:b/>
          <w:sz w:val="24"/>
          <w:szCs w:val="24"/>
          <w:lang w:val="en-US"/>
        </w:rPr>
        <w:t xml:space="preserve"> as a ratio of GDP</w:t>
      </w:r>
      <w:r w:rsidR="0059780C">
        <w:rPr>
          <w:rFonts w:ascii="Times New Roman" w:hAnsi="Times New Roman" w:cs="Times New Roman"/>
          <w:b/>
          <w:sz w:val="24"/>
          <w:szCs w:val="24"/>
          <w:lang w:val="en-US"/>
        </w:rPr>
        <w:t xml:space="preserve"> (left hand scale)</w:t>
      </w:r>
      <w:r w:rsidR="00D66235">
        <w:rPr>
          <w:rFonts w:ascii="Times New Roman" w:hAnsi="Times New Roman" w:cs="Times New Roman"/>
          <w:b/>
          <w:sz w:val="24"/>
          <w:szCs w:val="24"/>
          <w:lang w:val="en-US"/>
        </w:rPr>
        <w:t xml:space="preserve">. </w:t>
      </w:r>
      <w:r w:rsidR="00D66235" w:rsidRPr="00EC73D5">
        <w:rPr>
          <w:rFonts w:ascii="Times New Roman" w:hAnsi="Times New Roman" w:cs="Times New Roman"/>
          <w:b/>
          <w:sz w:val="24"/>
          <w:szCs w:val="24"/>
          <w:lang w:val="en-US"/>
        </w:rPr>
        <w:t>Th</w:t>
      </w:r>
      <w:r w:rsidR="00EE3EBB" w:rsidRPr="00EC73D5">
        <w:rPr>
          <w:rFonts w:ascii="Times New Roman" w:hAnsi="Times New Roman" w:cs="Times New Roman"/>
          <w:b/>
          <w:sz w:val="24"/>
          <w:szCs w:val="24"/>
          <w:lang w:val="en-US"/>
        </w:rPr>
        <w:t xml:space="preserve">e green line shows </w:t>
      </w:r>
      <w:r w:rsidR="00EC73D5">
        <w:rPr>
          <w:rFonts w:ascii="Times New Roman" w:hAnsi="Times New Roman" w:cs="Times New Roman"/>
          <w:b/>
          <w:sz w:val="24"/>
          <w:szCs w:val="24"/>
          <w:lang w:val="en-US"/>
        </w:rPr>
        <w:t xml:space="preserve">the net change of </w:t>
      </w:r>
      <w:r w:rsidR="00EE3EBB" w:rsidRPr="00EC73D5">
        <w:rPr>
          <w:rFonts w:ascii="Times New Roman" w:hAnsi="Times New Roman" w:cs="Times New Roman"/>
          <w:b/>
          <w:sz w:val="24"/>
          <w:szCs w:val="24"/>
          <w:lang w:val="en-US"/>
        </w:rPr>
        <w:t xml:space="preserve">firms’ </w:t>
      </w:r>
      <w:r w:rsidR="00EC73D5">
        <w:rPr>
          <w:rFonts w:ascii="Times New Roman" w:hAnsi="Times New Roman" w:cs="Times New Roman"/>
          <w:b/>
          <w:sz w:val="24"/>
          <w:szCs w:val="24"/>
          <w:lang w:val="en-US"/>
        </w:rPr>
        <w:t xml:space="preserve">financial </w:t>
      </w:r>
      <w:r w:rsidR="00EE3EBB" w:rsidRPr="00EC73D5">
        <w:rPr>
          <w:rFonts w:ascii="Times New Roman" w:hAnsi="Times New Roman" w:cs="Times New Roman"/>
          <w:b/>
          <w:sz w:val="24"/>
          <w:szCs w:val="24"/>
          <w:lang w:val="en-US"/>
        </w:rPr>
        <w:t>liabilities</w:t>
      </w:r>
      <w:r w:rsidR="00A04390" w:rsidRPr="00EC73D5">
        <w:rPr>
          <w:rFonts w:ascii="Times New Roman" w:hAnsi="Times New Roman" w:cs="Times New Roman"/>
          <w:b/>
          <w:sz w:val="24"/>
          <w:szCs w:val="24"/>
          <w:lang w:val="en-US"/>
        </w:rPr>
        <w:t xml:space="preserve"> </w:t>
      </w:r>
      <w:r w:rsidR="0059780C">
        <w:rPr>
          <w:rFonts w:ascii="Times New Roman" w:hAnsi="Times New Roman" w:cs="Times New Roman"/>
          <w:b/>
          <w:sz w:val="24"/>
          <w:szCs w:val="24"/>
          <w:lang w:val="en-US"/>
        </w:rPr>
        <w:t xml:space="preserve">as a ratio of </w:t>
      </w:r>
      <w:r w:rsidR="00A04390" w:rsidRPr="00EC73D5">
        <w:rPr>
          <w:rFonts w:ascii="Times New Roman" w:hAnsi="Times New Roman" w:cs="Times New Roman"/>
          <w:b/>
          <w:sz w:val="24"/>
          <w:szCs w:val="24"/>
          <w:lang w:val="en-US"/>
        </w:rPr>
        <w:t>GDP</w:t>
      </w:r>
      <w:r w:rsidR="0059780C">
        <w:rPr>
          <w:rFonts w:ascii="Times New Roman" w:hAnsi="Times New Roman" w:cs="Times New Roman"/>
          <w:b/>
          <w:sz w:val="24"/>
          <w:szCs w:val="24"/>
          <w:lang w:val="en-US"/>
        </w:rPr>
        <w:t xml:space="preserve"> (left hand scale)</w:t>
      </w:r>
      <w:r w:rsidR="00EC73D5" w:rsidRPr="00EC73D5">
        <w:rPr>
          <w:rFonts w:ascii="Times New Roman" w:hAnsi="Times New Roman" w:cs="Times New Roman"/>
          <w:b/>
          <w:sz w:val="24"/>
          <w:szCs w:val="24"/>
          <w:lang w:val="en-US"/>
        </w:rPr>
        <w:t>.</w:t>
      </w:r>
    </w:p>
    <w:p w:rsidR="00EF1AF7" w:rsidRPr="00EC73D5" w:rsidRDefault="00EF1AF7" w:rsidP="007A3D85">
      <w:pPr>
        <w:spacing w:after="0" w:line="360" w:lineRule="auto"/>
        <w:rPr>
          <w:rFonts w:ascii="Times New Roman" w:hAnsi="Times New Roman" w:cs="Times New Roman"/>
          <w:b/>
          <w:sz w:val="24"/>
          <w:szCs w:val="24"/>
          <w:lang w:val="en-US"/>
        </w:rPr>
      </w:pPr>
    </w:p>
    <w:p w:rsidR="00DB4B41" w:rsidRDefault="00DB4B41" w:rsidP="00694509">
      <w:pPr>
        <w:spacing w:after="0" w:line="240" w:lineRule="auto"/>
        <w:rPr>
          <w:rFonts w:ascii="Times New Roman" w:hAnsi="Times New Roman" w:cs="Times New Roman"/>
          <w:b/>
          <w:sz w:val="24"/>
          <w:szCs w:val="24"/>
          <w:lang w:val="en-US"/>
        </w:rPr>
      </w:pPr>
      <w:r w:rsidRPr="00EC73D5">
        <w:rPr>
          <w:rFonts w:ascii="Times New Roman" w:hAnsi="Times New Roman" w:cs="Times New Roman"/>
          <w:b/>
          <w:sz w:val="24"/>
          <w:szCs w:val="24"/>
          <w:lang w:val="en-US"/>
        </w:rPr>
        <w:t xml:space="preserve"> </w:t>
      </w:r>
      <w:r w:rsidR="0064517F" w:rsidRPr="00EC73D5">
        <w:rPr>
          <w:rFonts w:ascii="Times New Roman" w:hAnsi="Times New Roman" w:cs="Times New Roman"/>
          <w:b/>
          <w:sz w:val="24"/>
          <w:szCs w:val="24"/>
          <w:lang w:val="en-US"/>
        </w:rPr>
        <w:tab/>
      </w:r>
      <w:r>
        <w:rPr>
          <w:rFonts w:ascii="Times New Roman" w:hAnsi="Times New Roman" w:cs="Times New Roman"/>
          <w:b/>
          <w:sz w:val="24"/>
          <w:szCs w:val="24"/>
          <w:lang w:val="en-US"/>
        </w:rPr>
        <w:t xml:space="preserve">Netherlands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Ireland</w:t>
      </w:r>
    </w:p>
    <w:p w:rsidR="000A59F4" w:rsidRPr="00A050DB" w:rsidRDefault="004D1F27" w:rsidP="00694509">
      <w:pPr>
        <w:spacing w:after="0" w:line="240" w:lineRule="auto"/>
        <w:rPr>
          <w:lang w:val="en-US"/>
        </w:rPr>
      </w:pPr>
      <w:r>
        <w:object w:dxaOrig="7620" w:dyaOrig="5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75pt;height:169.5pt" o:ole="">
            <v:imagedata r:id="rId9" o:title=""/>
          </v:shape>
          <o:OLEObject Type="Embed" ProgID="EViews.Workfile.2" ShapeID="_x0000_i1025" DrawAspect="Content" ObjectID="_1525270153" r:id="rId10"/>
        </w:object>
      </w:r>
      <w:r>
        <w:object w:dxaOrig="7575" w:dyaOrig="5116">
          <v:shape id="_x0000_i1026" type="#_x0000_t75" style="width:241.5pt;height:167.25pt" o:ole="">
            <v:imagedata r:id="rId11" o:title=""/>
          </v:shape>
          <o:OLEObject Type="Embed" ProgID="EViews.Workfile.2" ShapeID="_x0000_i1026" DrawAspect="Content" ObjectID="_1525270154" r:id="rId12"/>
        </w:object>
      </w:r>
    </w:p>
    <w:p w:rsidR="00A73D13" w:rsidRDefault="00A73D13" w:rsidP="00506ACE">
      <w:pPr>
        <w:spacing w:after="0" w:line="240" w:lineRule="auto"/>
        <w:ind w:firstLine="708"/>
        <w:rPr>
          <w:rFonts w:ascii="Times New Roman" w:hAnsi="Times New Roman" w:cs="Times New Roman"/>
          <w:b/>
          <w:sz w:val="24"/>
          <w:szCs w:val="24"/>
          <w:lang w:val="en-US"/>
        </w:rPr>
      </w:pPr>
    </w:p>
    <w:p w:rsidR="00A73D13" w:rsidRDefault="00A73D13" w:rsidP="00506ACE">
      <w:pPr>
        <w:spacing w:after="0" w:line="240" w:lineRule="auto"/>
        <w:ind w:firstLine="708"/>
        <w:rPr>
          <w:rFonts w:ascii="Times New Roman" w:hAnsi="Times New Roman" w:cs="Times New Roman"/>
          <w:b/>
          <w:sz w:val="24"/>
          <w:szCs w:val="24"/>
          <w:lang w:val="en-US"/>
        </w:rPr>
      </w:pPr>
    </w:p>
    <w:p w:rsidR="00A73D13" w:rsidRDefault="00A73D13" w:rsidP="00506ACE">
      <w:pPr>
        <w:spacing w:after="0" w:line="240" w:lineRule="auto"/>
        <w:ind w:firstLine="708"/>
        <w:rPr>
          <w:rFonts w:ascii="Times New Roman" w:hAnsi="Times New Roman" w:cs="Times New Roman"/>
          <w:b/>
          <w:sz w:val="24"/>
          <w:szCs w:val="24"/>
          <w:lang w:val="en-US"/>
        </w:rPr>
      </w:pPr>
    </w:p>
    <w:p w:rsidR="00A73D13" w:rsidRDefault="00A73D13" w:rsidP="00506ACE">
      <w:pPr>
        <w:spacing w:after="0" w:line="240" w:lineRule="auto"/>
        <w:ind w:firstLine="708"/>
        <w:rPr>
          <w:rFonts w:ascii="Times New Roman" w:hAnsi="Times New Roman" w:cs="Times New Roman"/>
          <w:b/>
          <w:sz w:val="24"/>
          <w:szCs w:val="24"/>
          <w:lang w:val="en-US"/>
        </w:rPr>
      </w:pPr>
    </w:p>
    <w:p w:rsidR="00A73D13" w:rsidRDefault="00A73D13" w:rsidP="00506ACE">
      <w:pPr>
        <w:spacing w:after="0" w:line="240" w:lineRule="auto"/>
        <w:ind w:firstLine="708"/>
        <w:rPr>
          <w:rFonts w:ascii="Times New Roman" w:hAnsi="Times New Roman" w:cs="Times New Roman"/>
          <w:b/>
          <w:sz w:val="24"/>
          <w:szCs w:val="24"/>
          <w:lang w:val="en-US"/>
        </w:rPr>
      </w:pPr>
    </w:p>
    <w:p w:rsidR="00A73D13" w:rsidRDefault="00A73D13" w:rsidP="00506ACE">
      <w:pPr>
        <w:spacing w:after="0" w:line="240" w:lineRule="auto"/>
        <w:ind w:firstLine="708"/>
        <w:rPr>
          <w:rFonts w:ascii="Times New Roman" w:hAnsi="Times New Roman" w:cs="Times New Roman"/>
          <w:b/>
          <w:sz w:val="24"/>
          <w:szCs w:val="24"/>
          <w:lang w:val="en-US"/>
        </w:rPr>
      </w:pPr>
    </w:p>
    <w:p w:rsidR="00A73D13" w:rsidRDefault="00A73D13" w:rsidP="00506ACE">
      <w:pPr>
        <w:spacing w:after="0" w:line="240" w:lineRule="auto"/>
        <w:ind w:firstLine="708"/>
        <w:rPr>
          <w:rFonts w:ascii="Times New Roman" w:hAnsi="Times New Roman" w:cs="Times New Roman"/>
          <w:b/>
          <w:sz w:val="24"/>
          <w:szCs w:val="24"/>
          <w:lang w:val="en-US"/>
        </w:rPr>
      </w:pPr>
    </w:p>
    <w:p w:rsidR="00A73D13" w:rsidRDefault="00A73D13" w:rsidP="00506ACE">
      <w:pPr>
        <w:spacing w:after="0" w:line="240" w:lineRule="auto"/>
        <w:ind w:firstLine="708"/>
        <w:rPr>
          <w:rFonts w:ascii="Times New Roman" w:hAnsi="Times New Roman" w:cs="Times New Roman"/>
          <w:b/>
          <w:sz w:val="24"/>
          <w:szCs w:val="24"/>
          <w:lang w:val="en-US"/>
        </w:rPr>
      </w:pPr>
    </w:p>
    <w:p w:rsidR="000E04E5" w:rsidRPr="00A86CC8" w:rsidRDefault="000E04E5" w:rsidP="00506ACE">
      <w:pPr>
        <w:spacing w:after="0" w:line="240" w:lineRule="auto"/>
        <w:ind w:firstLine="708"/>
        <w:rPr>
          <w:rFonts w:ascii="Times New Roman" w:hAnsi="Times New Roman" w:cs="Times New Roman"/>
          <w:b/>
          <w:sz w:val="24"/>
          <w:szCs w:val="24"/>
          <w:lang w:val="en-US"/>
        </w:rPr>
      </w:pPr>
      <w:r w:rsidRPr="00A86CC8">
        <w:rPr>
          <w:rFonts w:ascii="Times New Roman" w:hAnsi="Times New Roman" w:cs="Times New Roman"/>
          <w:b/>
          <w:sz w:val="24"/>
          <w:szCs w:val="24"/>
          <w:lang w:val="en-US"/>
        </w:rPr>
        <w:t xml:space="preserve">United Kingdom </w:t>
      </w:r>
      <w:r w:rsidRPr="00A86CC8">
        <w:rPr>
          <w:rFonts w:ascii="Times New Roman" w:hAnsi="Times New Roman" w:cs="Times New Roman"/>
          <w:b/>
          <w:sz w:val="24"/>
          <w:szCs w:val="24"/>
          <w:lang w:val="en-US"/>
        </w:rPr>
        <w:tab/>
      </w:r>
      <w:r w:rsidRPr="00A86CC8">
        <w:rPr>
          <w:rFonts w:ascii="Times New Roman" w:hAnsi="Times New Roman" w:cs="Times New Roman"/>
          <w:b/>
          <w:sz w:val="24"/>
          <w:szCs w:val="24"/>
          <w:lang w:val="en-US"/>
        </w:rPr>
        <w:tab/>
      </w:r>
      <w:r w:rsidRPr="00A86CC8">
        <w:rPr>
          <w:rFonts w:ascii="Times New Roman" w:hAnsi="Times New Roman" w:cs="Times New Roman"/>
          <w:b/>
          <w:sz w:val="24"/>
          <w:szCs w:val="24"/>
          <w:lang w:val="en-US"/>
        </w:rPr>
        <w:tab/>
      </w:r>
      <w:r w:rsidRPr="00A86CC8">
        <w:rPr>
          <w:rFonts w:ascii="Times New Roman" w:hAnsi="Times New Roman" w:cs="Times New Roman"/>
          <w:b/>
          <w:sz w:val="24"/>
          <w:szCs w:val="24"/>
          <w:lang w:val="en-US"/>
        </w:rPr>
        <w:tab/>
      </w:r>
      <w:r w:rsidRPr="00A86CC8">
        <w:rPr>
          <w:rFonts w:ascii="Times New Roman" w:hAnsi="Times New Roman" w:cs="Times New Roman"/>
          <w:b/>
          <w:sz w:val="24"/>
          <w:szCs w:val="24"/>
          <w:lang w:val="en-US"/>
        </w:rPr>
        <w:tab/>
        <w:t>Switzerland</w:t>
      </w:r>
    </w:p>
    <w:p w:rsidR="00D75457" w:rsidRDefault="00A61F5F" w:rsidP="00DA1FD2">
      <w:pPr>
        <w:spacing w:after="0" w:line="240" w:lineRule="auto"/>
        <w:rPr>
          <w:rFonts w:ascii="Times New Roman" w:hAnsi="Times New Roman" w:cs="Times New Roman"/>
          <w:b/>
          <w:sz w:val="24"/>
          <w:szCs w:val="24"/>
          <w:lang w:val="en-US"/>
        </w:rPr>
      </w:pPr>
      <w:r>
        <w:object w:dxaOrig="7680" w:dyaOrig="5116">
          <v:shape id="_x0000_i1027" type="#_x0000_t75" style="width:238.5pt;height:156pt" o:ole="">
            <v:imagedata r:id="rId13" o:title=""/>
          </v:shape>
          <o:OLEObject Type="Embed" ProgID="EViews.Workfile.2" ShapeID="_x0000_i1027" DrawAspect="Content" ObjectID="_1525270155" r:id="rId14"/>
        </w:object>
      </w:r>
      <w:r w:rsidR="00EB3886">
        <w:object w:dxaOrig="7575" w:dyaOrig="5116">
          <v:shape id="_x0000_i1028" type="#_x0000_t75" style="width:234.75pt;height:157.5pt" o:ole="">
            <v:imagedata r:id="rId15" o:title=""/>
          </v:shape>
          <o:OLEObject Type="Embed" ProgID="EViews.Workfile.2" ShapeID="_x0000_i1028" DrawAspect="Content" ObjectID="_1525270156" r:id="rId16"/>
        </w:object>
      </w:r>
    </w:p>
    <w:p w:rsidR="00503FCB" w:rsidRDefault="00503FCB" w:rsidP="00B800E7">
      <w:pPr>
        <w:spacing w:after="0" w:line="240" w:lineRule="auto"/>
        <w:rPr>
          <w:rFonts w:ascii="Times New Roman" w:hAnsi="Times New Roman" w:cs="Times New Roman"/>
          <w:b/>
          <w:sz w:val="24"/>
          <w:szCs w:val="24"/>
          <w:lang w:val="en-US"/>
        </w:rPr>
      </w:pPr>
    </w:p>
    <w:p w:rsidR="00D75457" w:rsidRPr="006D0C1C" w:rsidRDefault="006D0C1C" w:rsidP="00506ACE">
      <w:pPr>
        <w:spacing w:after="0" w:line="240" w:lineRule="auto"/>
        <w:ind w:firstLine="708"/>
        <w:rPr>
          <w:rFonts w:ascii="Times New Roman" w:hAnsi="Times New Roman" w:cs="Times New Roman"/>
          <w:b/>
          <w:sz w:val="24"/>
          <w:szCs w:val="24"/>
          <w:lang w:val="en-US"/>
        </w:rPr>
      </w:pPr>
      <w:r w:rsidRPr="006D0C1C">
        <w:rPr>
          <w:rFonts w:ascii="Times New Roman" w:hAnsi="Times New Roman" w:cs="Times New Roman"/>
          <w:b/>
          <w:sz w:val="24"/>
          <w:szCs w:val="24"/>
          <w:lang w:val="en-US"/>
        </w:rPr>
        <w:t>Denmark</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Germany</w:t>
      </w:r>
    </w:p>
    <w:p w:rsidR="00DA2532" w:rsidRPr="00221E26" w:rsidRDefault="00622816" w:rsidP="00506ACE">
      <w:pPr>
        <w:spacing w:after="0" w:line="240" w:lineRule="auto"/>
        <w:jc w:val="both"/>
        <w:rPr>
          <w:rFonts w:ascii="Times New Roman" w:hAnsi="Times New Roman" w:cs="Times New Roman"/>
        </w:rPr>
      </w:pPr>
      <w:r>
        <w:object w:dxaOrig="7680" w:dyaOrig="5116">
          <v:shape id="_x0000_i1029" type="#_x0000_t75" style="width:240pt;height:156.75pt" o:ole="">
            <v:imagedata r:id="rId17" o:title=""/>
          </v:shape>
          <o:OLEObject Type="Embed" ProgID="EViews.Workfile.2" ShapeID="_x0000_i1029" DrawAspect="Content" ObjectID="_1525270157" r:id="rId18"/>
        </w:object>
      </w:r>
      <w:r>
        <w:object w:dxaOrig="7680" w:dyaOrig="5116">
          <v:shape id="_x0000_i1030" type="#_x0000_t75" style="width:235.5pt;height:155.25pt" o:ole="">
            <v:imagedata r:id="rId19" o:title=""/>
          </v:shape>
          <o:OLEObject Type="Embed" ProgID="EViews.Workfile.2" ShapeID="_x0000_i1030" DrawAspect="Content" ObjectID="_1525270158" r:id="rId20"/>
        </w:object>
      </w:r>
    </w:p>
    <w:p w:rsidR="0066090F" w:rsidRPr="00FD2323" w:rsidRDefault="005C27BA" w:rsidP="005C27BA">
      <w:pPr>
        <w:spacing w:after="0" w:line="360" w:lineRule="auto"/>
        <w:jc w:val="center"/>
        <w:rPr>
          <w:rFonts w:ascii="Times New Roman" w:hAnsi="Times New Roman" w:cs="Times New Roman"/>
          <w:sz w:val="24"/>
          <w:szCs w:val="24"/>
          <w:lang w:val="en-US"/>
        </w:rPr>
      </w:pPr>
      <w:r w:rsidRPr="00852AB3">
        <w:rPr>
          <w:rFonts w:ascii="Times New Roman" w:hAnsi="Times New Roman" w:cs="Times New Roman"/>
          <w:b/>
          <w:sz w:val="24"/>
          <w:szCs w:val="24"/>
          <w:lang w:val="en-US"/>
        </w:rPr>
        <w:t>Finland</w:t>
      </w:r>
    </w:p>
    <w:p w:rsidR="0059780C" w:rsidRDefault="005C27BA" w:rsidP="005C27BA">
      <w:pPr>
        <w:jc w:val="center"/>
        <w:rPr>
          <w:rFonts w:ascii="Times New Roman" w:hAnsi="Times New Roman" w:cs="Times New Roman"/>
          <w:b/>
          <w:sz w:val="24"/>
          <w:szCs w:val="24"/>
          <w:lang w:val="en-US"/>
        </w:rPr>
      </w:pPr>
      <w:r>
        <w:object w:dxaOrig="7575" w:dyaOrig="5116">
          <v:shape id="_x0000_i1031" type="#_x0000_t75" style="width:225.75pt;height:156.75pt" o:ole="">
            <v:imagedata r:id="rId21" o:title=""/>
          </v:shape>
          <o:OLEObject Type="Embed" ProgID="EViews.Workfile.2" ShapeID="_x0000_i1031" DrawAspect="Content" ObjectID="_1525270159" r:id="rId22"/>
        </w:object>
      </w:r>
    </w:p>
    <w:p w:rsidR="005C27BA" w:rsidRDefault="005C27BA" w:rsidP="0059780C">
      <w:pPr>
        <w:jc w:val="both"/>
        <w:rPr>
          <w:rFonts w:ascii="Times New Roman" w:hAnsi="Times New Roman" w:cs="Times New Roman"/>
          <w:b/>
          <w:sz w:val="24"/>
          <w:szCs w:val="24"/>
          <w:lang w:val="en-US"/>
        </w:rPr>
      </w:pPr>
    </w:p>
    <w:p w:rsidR="005C27BA" w:rsidRDefault="005C27BA" w:rsidP="0059780C">
      <w:pPr>
        <w:jc w:val="both"/>
        <w:rPr>
          <w:rFonts w:ascii="Times New Roman" w:hAnsi="Times New Roman" w:cs="Times New Roman"/>
          <w:b/>
          <w:sz w:val="24"/>
          <w:szCs w:val="24"/>
          <w:lang w:val="en-US"/>
        </w:rPr>
      </w:pPr>
    </w:p>
    <w:p w:rsidR="005C27BA" w:rsidRDefault="005C27BA" w:rsidP="0059780C">
      <w:pPr>
        <w:jc w:val="both"/>
        <w:rPr>
          <w:rFonts w:ascii="Times New Roman" w:hAnsi="Times New Roman" w:cs="Times New Roman"/>
          <w:b/>
          <w:sz w:val="24"/>
          <w:szCs w:val="24"/>
          <w:lang w:val="en-US"/>
        </w:rPr>
      </w:pPr>
    </w:p>
    <w:p w:rsidR="005C27BA" w:rsidRDefault="005C27BA" w:rsidP="0059780C">
      <w:pPr>
        <w:jc w:val="both"/>
        <w:rPr>
          <w:rFonts w:ascii="Times New Roman" w:hAnsi="Times New Roman" w:cs="Times New Roman"/>
          <w:b/>
          <w:sz w:val="24"/>
          <w:szCs w:val="24"/>
          <w:lang w:val="en-US"/>
        </w:rPr>
      </w:pPr>
    </w:p>
    <w:p w:rsidR="005C27BA" w:rsidRDefault="005C27BA" w:rsidP="0059780C">
      <w:pPr>
        <w:jc w:val="both"/>
        <w:rPr>
          <w:rFonts w:ascii="Times New Roman" w:hAnsi="Times New Roman" w:cs="Times New Roman"/>
          <w:b/>
          <w:sz w:val="24"/>
          <w:szCs w:val="24"/>
          <w:lang w:val="en-US"/>
        </w:rPr>
      </w:pPr>
    </w:p>
    <w:p w:rsidR="005C27BA" w:rsidRDefault="005C27BA" w:rsidP="0059780C">
      <w:pPr>
        <w:jc w:val="both"/>
        <w:rPr>
          <w:rFonts w:ascii="Times New Roman" w:hAnsi="Times New Roman" w:cs="Times New Roman"/>
          <w:b/>
          <w:sz w:val="24"/>
          <w:szCs w:val="24"/>
          <w:lang w:val="en-US"/>
        </w:rPr>
      </w:pPr>
    </w:p>
    <w:p w:rsidR="00C028D1" w:rsidRDefault="00A04390" w:rsidP="0059780C">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Figure </w:t>
      </w:r>
      <w:r w:rsidR="00C0421F">
        <w:rPr>
          <w:rFonts w:ascii="Times New Roman" w:hAnsi="Times New Roman" w:cs="Times New Roman"/>
          <w:b/>
          <w:sz w:val="24"/>
          <w:szCs w:val="24"/>
          <w:lang w:val="en-US"/>
        </w:rPr>
        <w:t>2</w:t>
      </w:r>
      <w:r w:rsidR="007051D2">
        <w:rPr>
          <w:rFonts w:ascii="Times New Roman" w:hAnsi="Times New Roman" w:cs="Times New Roman"/>
          <w:b/>
          <w:sz w:val="24"/>
          <w:szCs w:val="24"/>
          <w:lang w:val="en-US"/>
        </w:rPr>
        <w:t>.</w:t>
      </w:r>
      <w:r w:rsidR="00C0421F">
        <w:rPr>
          <w:rFonts w:ascii="Times New Roman" w:hAnsi="Times New Roman" w:cs="Times New Roman"/>
          <w:b/>
          <w:sz w:val="24"/>
          <w:szCs w:val="24"/>
          <w:lang w:val="en-US"/>
        </w:rPr>
        <w:t xml:space="preserve"> Net </w:t>
      </w:r>
      <w:r w:rsidR="007051D2">
        <w:rPr>
          <w:rFonts w:ascii="Times New Roman" w:hAnsi="Times New Roman" w:cs="Times New Roman"/>
          <w:b/>
          <w:sz w:val="24"/>
          <w:szCs w:val="24"/>
          <w:lang w:val="en-US"/>
        </w:rPr>
        <w:t>b</w:t>
      </w:r>
      <w:r w:rsidR="00C0421F">
        <w:rPr>
          <w:rFonts w:ascii="Times New Roman" w:hAnsi="Times New Roman" w:cs="Times New Roman"/>
          <w:b/>
          <w:sz w:val="24"/>
          <w:szCs w:val="24"/>
          <w:lang w:val="en-US"/>
        </w:rPr>
        <w:t>orrower countries</w:t>
      </w:r>
      <w:r w:rsidR="003D39DD">
        <w:rPr>
          <w:rFonts w:ascii="Times New Roman" w:hAnsi="Times New Roman" w:cs="Times New Roman"/>
          <w:b/>
          <w:sz w:val="24"/>
          <w:szCs w:val="24"/>
          <w:lang w:val="en-US"/>
        </w:rPr>
        <w:t xml:space="preserve">, </w:t>
      </w:r>
      <w:r w:rsidR="00C0421F">
        <w:rPr>
          <w:rFonts w:ascii="Times New Roman" w:hAnsi="Times New Roman" w:cs="Times New Roman"/>
          <w:b/>
          <w:sz w:val="24"/>
          <w:szCs w:val="24"/>
          <w:lang w:val="en-US"/>
        </w:rPr>
        <w:t>1995-2014</w:t>
      </w:r>
      <w:r w:rsidR="007051D2">
        <w:rPr>
          <w:rFonts w:ascii="Times New Roman" w:hAnsi="Times New Roman" w:cs="Times New Roman"/>
          <w:b/>
          <w:sz w:val="24"/>
          <w:szCs w:val="24"/>
          <w:lang w:val="en-US"/>
        </w:rPr>
        <w:t>)</w:t>
      </w:r>
      <w:r w:rsidR="0059780C">
        <w:rPr>
          <w:rFonts w:ascii="Times New Roman" w:hAnsi="Times New Roman" w:cs="Times New Roman"/>
          <w:b/>
          <w:sz w:val="24"/>
          <w:szCs w:val="24"/>
          <w:lang w:val="en-US"/>
        </w:rPr>
        <w:t xml:space="preserve">. </w:t>
      </w:r>
      <w:r w:rsidR="0059780C" w:rsidRPr="0059780C">
        <w:rPr>
          <w:rFonts w:ascii="Times New Roman" w:hAnsi="Times New Roman" w:cs="Times New Roman"/>
          <w:b/>
          <w:sz w:val="24"/>
          <w:szCs w:val="24"/>
          <w:lang w:val="en-US"/>
        </w:rPr>
        <w:t>The blue line is firms’ net lending as a percentage of GDP (right hand scale). The red line is the net change of firms’ financial assets as a ratio of GDP (left hand scale). The green line shows the net change of firms’ financial liabilities as a ratio of GDP (left hand scale).</w:t>
      </w:r>
    </w:p>
    <w:p w:rsidR="00076948" w:rsidRDefault="00076948" w:rsidP="00FD2323">
      <w:pPr>
        <w:spacing w:after="0" w:line="240" w:lineRule="auto"/>
        <w:ind w:firstLine="708"/>
        <w:rPr>
          <w:rFonts w:ascii="Times New Roman" w:hAnsi="Times New Roman" w:cs="Times New Roman"/>
          <w:b/>
          <w:sz w:val="24"/>
          <w:szCs w:val="24"/>
          <w:lang w:val="en-US"/>
        </w:rPr>
      </w:pPr>
      <w:r>
        <w:rPr>
          <w:rFonts w:ascii="Times New Roman" w:hAnsi="Times New Roman" w:cs="Times New Roman"/>
          <w:b/>
          <w:sz w:val="24"/>
          <w:szCs w:val="24"/>
          <w:lang w:val="en-US"/>
        </w:rPr>
        <w:t>United States</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3759D3">
        <w:rPr>
          <w:rFonts w:ascii="Times New Roman" w:hAnsi="Times New Roman" w:cs="Times New Roman"/>
          <w:b/>
          <w:sz w:val="24"/>
          <w:szCs w:val="24"/>
          <w:lang w:val="en-US"/>
        </w:rPr>
        <w:t xml:space="preserve">Italy </w:t>
      </w:r>
    </w:p>
    <w:p w:rsidR="00DA698B" w:rsidRPr="007051D2" w:rsidRDefault="00AC33A6" w:rsidP="00FD2323">
      <w:pPr>
        <w:spacing w:after="0" w:line="240" w:lineRule="auto"/>
        <w:rPr>
          <w:lang w:val="en-US"/>
        </w:rPr>
      </w:pPr>
      <w:r>
        <w:object w:dxaOrig="7680" w:dyaOrig="5116">
          <v:shape id="_x0000_i1032" type="#_x0000_t75" style="width:231pt;height:154.5pt" o:ole="">
            <v:imagedata r:id="rId23" o:title=""/>
          </v:shape>
          <o:OLEObject Type="Embed" ProgID="EViews.Workfile.2" ShapeID="_x0000_i1032" DrawAspect="Content" ObjectID="_1525270160" r:id="rId24"/>
        </w:object>
      </w:r>
      <w:r>
        <w:object w:dxaOrig="7680" w:dyaOrig="5116">
          <v:shape id="_x0000_i1033" type="#_x0000_t75" style="width:225.75pt;height:154.5pt" o:ole="">
            <v:imagedata r:id="rId25" o:title=""/>
          </v:shape>
          <o:OLEObject Type="Embed" ProgID="EViews.Workfile.2" ShapeID="_x0000_i1033" DrawAspect="Content" ObjectID="_1525270161" r:id="rId26"/>
        </w:object>
      </w:r>
    </w:p>
    <w:p w:rsidR="0081382C" w:rsidRDefault="0081382C" w:rsidP="00FD2323">
      <w:pPr>
        <w:spacing w:after="0" w:line="240" w:lineRule="auto"/>
        <w:ind w:firstLine="708"/>
        <w:rPr>
          <w:rFonts w:ascii="Times New Roman" w:hAnsi="Times New Roman" w:cs="Times New Roman"/>
          <w:b/>
          <w:sz w:val="24"/>
          <w:szCs w:val="24"/>
          <w:lang w:val="en-US"/>
        </w:rPr>
      </w:pPr>
    </w:p>
    <w:p w:rsidR="005C27BA" w:rsidRPr="00F101C4" w:rsidRDefault="005C27BA" w:rsidP="005C27BA">
      <w:pPr>
        <w:spacing w:after="0" w:line="240" w:lineRule="auto"/>
        <w:ind w:firstLine="708"/>
        <w:rPr>
          <w:rFonts w:ascii="Times New Roman" w:hAnsi="Times New Roman" w:cs="Times New Roman"/>
          <w:b/>
          <w:lang w:val="en-US"/>
        </w:rPr>
      </w:pPr>
      <w:r>
        <w:rPr>
          <w:rFonts w:ascii="Times New Roman" w:hAnsi="Times New Roman" w:cs="Times New Roman"/>
          <w:b/>
          <w:sz w:val="24"/>
          <w:szCs w:val="24"/>
          <w:lang w:val="en-US"/>
        </w:rPr>
        <w:t>Greece</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lang w:val="en-US"/>
        </w:rPr>
        <w:t>Belgium</w:t>
      </w:r>
    </w:p>
    <w:p w:rsidR="00DA698B" w:rsidRPr="00852AB3" w:rsidRDefault="00DA698B" w:rsidP="00FD2323">
      <w:pPr>
        <w:spacing w:after="0" w:line="240" w:lineRule="auto"/>
        <w:ind w:firstLine="708"/>
        <w:rPr>
          <w:rFonts w:ascii="Times New Roman" w:hAnsi="Times New Roman" w:cs="Times New Roman"/>
          <w:b/>
          <w:sz w:val="24"/>
          <w:szCs w:val="24"/>
          <w:lang w:val="en-US"/>
        </w:rPr>
      </w:pPr>
    </w:p>
    <w:p w:rsidR="003269CD" w:rsidRPr="00852AB3" w:rsidRDefault="00183EC7" w:rsidP="00FD2323">
      <w:pPr>
        <w:spacing w:after="0" w:line="240" w:lineRule="auto"/>
        <w:rPr>
          <w:lang w:val="en-US"/>
        </w:rPr>
      </w:pPr>
      <w:r>
        <w:object w:dxaOrig="7680" w:dyaOrig="5116">
          <v:shape id="_x0000_i1034" type="#_x0000_t75" style="width:231pt;height:156.75pt" o:ole="">
            <v:imagedata r:id="rId27" o:title=""/>
          </v:shape>
          <o:OLEObject Type="Embed" ProgID="EViews.Workfile.2" ShapeID="_x0000_i1034" DrawAspect="Content" ObjectID="_1525270162" r:id="rId28"/>
        </w:object>
      </w:r>
      <w:r w:rsidR="005C27BA">
        <w:object w:dxaOrig="7620" w:dyaOrig="5116">
          <v:shape id="_x0000_i1035" type="#_x0000_t75" style="width:225.75pt;height:158.25pt" o:ole="">
            <v:imagedata r:id="rId29" o:title=""/>
          </v:shape>
          <o:OLEObject Type="Embed" ProgID="EViews.Workfile.2" ShapeID="_x0000_i1035" DrawAspect="Content" ObjectID="_1525270163" r:id="rId30"/>
        </w:object>
      </w:r>
    </w:p>
    <w:p w:rsidR="00320855" w:rsidRPr="00320855" w:rsidRDefault="003759D3" w:rsidP="009C6000">
      <w:pPr>
        <w:spacing w:after="0" w:line="240"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France</w:t>
      </w:r>
      <w:r w:rsidR="00320855" w:rsidRPr="00320855">
        <w:rPr>
          <w:rFonts w:ascii="Times New Roman" w:hAnsi="Times New Roman" w:cs="Times New Roman"/>
          <w:b/>
          <w:sz w:val="24"/>
          <w:szCs w:val="24"/>
          <w:lang w:val="en-US"/>
        </w:rPr>
        <w:tab/>
      </w:r>
      <w:r w:rsidR="00320855" w:rsidRPr="00320855">
        <w:rPr>
          <w:rFonts w:ascii="Times New Roman" w:hAnsi="Times New Roman" w:cs="Times New Roman"/>
          <w:b/>
          <w:sz w:val="24"/>
          <w:szCs w:val="24"/>
          <w:lang w:val="en-US"/>
        </w:rPr>
        <w:tab/>
      </w:r>
      <w:r w:rsidR="00320855">
        <w:rPr>
          <w:rFonts w:ascii="Times New Roman" w:hAnsi="Times New Roman" w:cs="Times New Roman"/>
          <w:b/>
          <w:sz w:val="24"/>
          <w:szCs w:val="24"/>
          <w:lang w:val="en-US"/>
        </w:rPr>
        <w:tab/>
      </w:r>
      <w:r w:rsidR="00320855">
        <w:rPr>
          <w:rFonts w:ascii="Times New Roman" w:hAnsi="Times New Roman" w:cs="Times New Roman"/>
          <w:b/>
          <w:sz w:val="24"/>
          <w:szCs w:val="24"/>
          <w:lang w:val="en-US"/>
        </w:rPr>
        <w:tab/>
      </w:r>
      <w:r w:rsidR="00320855">
        <w:rPr>
          <w:rFonts w:ascii="Times New Roman" w:hAnsi="Times New Roman" w:cs="Times New Roman"/>
          <w:b/>
          <w:sz w:val="24"/>
          <w:szCs w:val="24"/>
          <w:lang w:val="en-US"/>
        </w:rPr>
        <w:tab/>
      </w:r>
      <w:r w:rsidR="00320855">
        <w:rPr>
          <w:rFonts w:ascii="Times New Roman" w:hAnsi="Times New Roman" w:cs="Times New Roman"/>
          <w:b/>
          <w:sz w:val="24"/>
          <w:szCs w:val="24"/>
          <w:lang w:val="en-US"/>
        </w:rPr>
        <w:tab/>
      </w:r>
      <w:r w:rsidR="00AB175C">
        <w:rPr>
          <w:rFonts w:ascii="Times New Roman" w:hAnsi="Times New Roman" w:cs="Times New Roman"/>
          <w:b/>
          <w:sz w:val="24"/>
          <w:szCs w:val="24"/>
          <w:lang w:val="en-US"/>
        </w:rPr>
        <w:t xml:space="preserve">      </w:t>
      </w:r>
      <w:r w:rsidR="00320855" w:rsidRPr="00320855">
        <w:rPr>
          <w:rFonts w:ascii="Times New Roman" w:hAnsi="Times New Roman" w:cs="Times New Roman"/>
          <w:b/>
          <w:sz w:val="24"/>
          <w:szCs w:val="24"/>
          <w:lang w:val="en-US"/>
        </w:rPr>
        <w:t>Spain</w:t>
      </w:r>
    </w:p>
    <w:p w:rsidR="0066090F" w:rsidRPr="00F8471E" w:rsidRDefault="00A0608D" w:rsidP="00F8471E">
      <w:pPr>
        <w:rPr>
          <w:rFonts w:ascii="Times New Roman" w:hAnsi="Times New Roman" w:cs="Times New Roman"/>
          <w:b/>
          <w:lang w:val="en-US"/>
        </w:rPr>
      </w:pPr>
      <w:r>
        <w:object w:dxaOrig="7620" w:dyaOrig="5116">
          <v:shape id="_x0000_i1036" type="#_x0000_t75" style="width:234.75pt;height:139.5pt" o:ole="">
            <v:imagedata r:id="rId31" o:title=""/>
          </v:shape>
          <o:OLEObject Type="Embed" ProgID="EViews.Workfile.2" ShapeID="_x0000_i1036" DrawAspect="Content" ObjectID="_1525270164" r:id="rId32"/>
        </w:object>
      </w:r>
      <w:r>
        <w:object w:dxaOrig="7575" w:dyaOrig="5116">
          <v:shape id="_x0000_i1037" type="#_x0000_t75" style="width:223.5pt;height:139.5pt" o:ole="">
            <v:imagedata r:id="rId33" o:title=""/>
          </v:shape>
          <o:OLEObject Type="Embed" ProgID="EViews.Workfile.2" ShapeID="_x0000_i1037" DrawAspect="Content" ObjectID="_1525270165" r:id="rId34"/>
        </w:object>
      </w:r>
    </w:p>
    <w:p w:rsidR="0059780C" w:rsidRDefault="0059780C" w:rsidP="005D0494">
      <w:pPr>
        <w:spacing w:after="0" w:line="240" w:lineRule="auto"/>
        <w:ind w:firstLine="708"/>
        <w:rPr>
          <w:rFonts w:ascii="Times New Roman" w:hAnsi="Times New Roman" w:cs="Times New Roman"/>
          <w:b/>
          <w:sz w:val="24"/>
          <w:szCs w:val="24"/>
          <w:lang w:val="en-US"/>
        </w:rPr>
      </w:pPr>
    </w:p>
    <w:p w:rsidR="00A73D13" w:rsidRDefault="00A73D13" w:rsidP="005D0494">
      <w:pPr>
        <w:spacing w:after="0" w:line="240" w:lineRule="auto"/>
        <w:ind w:firstLine="708"/>
        <w:rPr>
          <w:rFonts w:ascii="Times New Roman" w:hAnsi="Times New Roman" w:cs="Times New Roman"/>
          <w:b/>
          <w:sz w:val="24"/>
          <w:szCs w:val="24"/>
          <w:lang w:val="en-US"/>
        </w:rPr>
      </w:pPr>
    </w:p>
    <w:p w:rsidR="00A73D13" w:rsidRDefault="00A73D13" w:rsidP="005D0494">
      <w:pPr>
        <w:spacing w:after="0" w:line="240" w:lineRule="auto"/>
        <w:ind w:firstLine="708"/>
        <w:rPr>
          <w:rFonts w:ascii="Times New Roman" w:hAnsi="Times New Roman" w:cs="Times New Roman"/>
          <w:b/>
          <w:sz w:val="24"/>
          <w:szCs w:val="24"/>
          <w:lang w:val="en-US"/>
        </w:rPr>
      </w:pPr>
    </w:p>
    <w:p w:rsidR="00A73D13" w:rsidRDefault="00A73D13" w:rsidP="005D0494">
      <w:pPr>
        <w:spacing w:after="0" w:line="240" w:lineRule="auto"/>
        <w:ind w:firstLine="708"/>
        <w:rPr>
          <w:rFonts w:ascii="Times New Roman" w:hAnsi="Times New Roman" w:cs="Times New Roman"/>
          <w:b/>
          <w:sz w:val="24"/>
          <w:szCs w:val="24"/>
          <w:lang w:val="en-US"/>
        </w:rPr>
      </w:pPr>
    </w:p>
    <w:p w:rsidR="00A73D13" w:rsidRDefault="00A73D13" w:rsidP="005D0494">
      <w:pPr>
        <w:spacing w:after="0" w:line="240" w:lineRule="auto"/>
        <w:ind w:firstLine="708"/>
        <w:rPr>
          <w:rFonts w:ascii="Times New Roman" w:hAnsi="Times New Roman" w:cs="Times New Roman"/>
          <w:b/>
          <w:sz w:val="24"/>
          <w:szCs w:val="24"/>
          <w:lang w:val="en-US"/>
        </w:rPr>
      </w:pPr>
    </w:p>
    <w:p w:rsidR="00A73D13" w:rsidRDefault="00A73D13" w:rsidP="005D0494">
      <w:pPr>
        <w:spacing w:after="0" w:line="240" w:lineRule="auto"/>
        <w:ind w:firstLine="708"/>
        <w:rPr>
          <w:rFonts w:ascii="Times New Roman" w:hAnsi="Times New Roman" w:cs="Times New Roman"/>
          <w:b/>
          <w:sz w:val="24"/>
          <w:szCs w:val="24"/>
          <w:lang w:val="en-US"/>
        </w:rPr>
      </w:pPr>
    </w:p>
    <w:p w:rsidR="00A73D13" w:rsidRDefault="00A73D13" w:rsidP="005D0494">
      <w:pPr>
        <w:spacing w:after="0" w:line="240" w:lineRule="auto"/>
        <w:ind w:firstLine="708"/>
        <w:rPr>
          <w:rFonts w:ascii="Times New Roman" w:hAnsi="Times New Roman" w:cs="Times New Roman"/>
          <w:b/>
          <w:sz w:val="24"/>
          <w:szCs w:val="24"/>
          <w:lang w:val="en-US"/>
        </w:rPr>
      </w:pPr>
    </w:p>
    <w:p w:rsidR="00261A13" w:rsidRPr="003B79AC" w:rsidRDefault="00875C2A" w:rsidP="005D0494">
      <w:pPr>
        <w:spacing w:after="0" w:line="240" w:lineRule="auto"/>
        <w:ind w:firstLine="708"/>
        <w:rPr>
          <w:rFonts w:ascii="Times New Roman" w:hAnsi="Times New Roman" w:cs="Times New Roman"/>
          <w:b/>
          <w:sz w:val="24"/>
          <w:szCs w:val="24"/>
          <w:lang w:val="en-US"/>
        </w:rPr>
      </w:pPr>
      <w:r>
        <w:rPr>
          <w:rFonts w:ascii="Times New Roman" w:hAnsi="Times New Roman" w:cs="Times New Roman"/>
          <w:b/>
          <w:sz w:val="24"/>
          <w:szCs w:val="24"/>
          <w:lang w:val="en-US"/>
        </w:rPr>
        <w:t>Port</w:t>
      </w:r>
      <w:r w:rsidR="003B79AC" w:rsidRPr="003B79AC">
        <w:rPr>
          <w:rFonts w:ascii="Times New Roman" w:hAnsi="Times New Roman" w:cs="Times New Roman"/>
          <w:b/>
          <w:sz w:val="24"/>
          <w:szCs w:val="24"/>
          <w:lang w:val="en-US"/>
        </w:rPr>
        <w:t xml:space="preserve">ugal </w:t>
      </w:r>
      <w:r w:rsidR="003B79AC" w:rsidRPr="003B79AC">
        <w:rPr>
          <w:rFonts w:ascii="Times New Roman" w:hAnsi="Times New Roman" w:cs="Times New Roman"/>
          <w:b/>
          <w:sz w:val="24"/>
          <w:szCs w:val="24"/>
          <w:lang w:val="en-US"/>
        </w:rPr>
        <w:tab/>
      </w:r>
      <w:r w:rsidR="003B79AC" w:rsidRPr="003B79AC">
        <w:rPr>
          <w:rFonts w:ascii="Times New Roman" w:hAnsi="Times New Roman" w:cs="Times New Roman"/>
          <w:b/>
          <w:sz w:val="24"/>
          <w:szCs w:val="24"/>
          <w:lang w:val="en-US"/>
        </w:rPr>
        <w:tab/>
      </w:r>
      <w:r w:rsidR="003B79AC" w:rsidRPr="003B79AC">
        <w:rPr>
          <w:rFonts w:ascii="Times New Roman" w:hAnsi="Times New Roman" w:cs="Times New Roman"/>
          <w:b/>
          <w:sz w:val="24"/>
          <w:szCs w:val="24"/>
          <w:lang w:val="en-US"/>
        </w:rPr>
        <w:tab/>
      </w:r>
      <w:r w:rsidR="003B79AC" w:rsidRPr="003B79AC">
        <w:rPr>
          <w:rFonts w:ascii="Times New Roman" w:hAnsi="Times New Roman" w:cs="Times New Roman"/>
          <w:b/>
          <w:sz w:val="24"/>
          <w:szCs w:val="24"/>
          <w:lang w:val="en-US"/>
        </w:rPr>
        <w:tab/>
      </w:r>
      <w:r w:rsidR="003B79AC" w:rsidRPr="003B79AC">
        <w:rPr>
          <w:rFonts w:ascii="Times New Roman" w:hAnsi="Times New Roman" w:cs="Times New Roman"/>
          <w:b/>
          <w:sz w:val="24"/>
          <w:szCs w:val="24"/>
          <w:lang w:val="en-US"/>
        </w:rPr>
        <w:tab/>
        <w:t>Norway</w:t>
      </w:r>
    </w:p>
    <w:p w:rsidR="002F0D96" w:rsidRDefault="00874D22" w:rsidP="005D0494">
      <w:pPr>
        <w:spacing w:after="0" w:line="240" w:lineRule="auto"/>
        <w:rPr>
          <w:rFonts w:ascii="Times New Roman" w:hAnsi="Times New Roman" w:cs="Times New Roman"/>
          <w:b/>
          <w:lang w:val="en-US"/>
        </w:rPr>
      </w:pPr>
      <w:r>
        <w:object w:dxaOrig="7575" w:dyaOrig="5116">
          <v:shape id="_x0000_i1038" type="#_x0000_t75" style="width:234.75pt;height:148.5pt" o:ole="">
            <v:imagedata r:id="rId35" o:title=""/>
          </v:shape>
          <o:OLEObject Type="Embed" ProgID="EViews.Workfile.2" ShapeID="_x0000_i1038" DrawAspect="Content" ObjectID="_1525270166" r:id="rId36"/>
        </w:object>
      </w:r>
      <w:r>
        <w:object w:dxaOrig="7680" w:dyaOrig="5116">
          <v:shape id="_x0000_i1039" type="#_x0000_t75" style="width:220.5pt;height:2in" o:ole="">
            <v:imagedata r:id="rId37" o:title=""/>
          </v:shape>
          <o:OLEObject Type="Embed" ProgID="EViews.Workfile.2" ShapeID="_x0000_i1039" DrawAspect="Content" ObjectID="_1525270167" r:id="rId38"/>
        </w:object>
      </w:r>
    </w:p>
    <w:p w:rsidR="009654BF" w:rsidRDefault="009654BF" w:rsidP="00F101C4">
      <w:pPr>
        <w:spacing w:after="0" w:line="240" w:lineRule="auto"/>
        <w:rPr>
          <w:rFonts w:ascii="Times New Roman" w:hAnsi="Times New Roman" w:cs="Times New Roman"/>
          <w:b/>
          <w:sz w:val="24"/>
          <w:szCs w:val="24"/>
          <w:lang w:val="en-US"/>
        </w:rPr>
      </w:pPr>
    </w:p>
    <w:p w:rsidR="002F0D96" w:rsidRPr="00AF070F" w:rsidRDefault="00AF070F" w:rsidP="00FD2323">
      <w:pPr>
        <w:spacing w:after="0" w:line="240" w:lineRule="auto"/>
        <w:ind w:firstLine="708"/>
        <w:rPr>
          <w:rFonts w:ascii="Times New Roman" w:hAnsi="Times New Roman" w:cs="Times New Roman"/>
          <w:b/>
          <w:sz w:val="24"/>
          <w:szCs w:val="24"/>
          <w:lang w:val="en-US"/>
        </w:rPr>
      </w:pPr>
      <w:r>
        <w:rPr>
          <w:rFonts w:ascii="Times New Roman" w:hAnsi="Times New Roman" w:cs="Times New Roman"/>
          <w:b/>
          <w:sz w:val="24"/>
          <w:szCs w:val="24"/>
          <w:lang w:val="en-US"/>
        </w:rPr>
        <w:t>Austria</w:t>
      </w:r>
      <w:r w:rsidRPr="003B79AC">
        <w:rPr>
          <w:rFonts w:ascii="Times New Roman" w:hAnsi="Times New Roman" w:cs="Times New Roman"/>
          <w:b/>
          <w:sz w:val="24"/>
          <w:szCs w:val="24"/>
          <w:lang w:val="en-US"/>
        </w:rPr>
        <w:tab/>
      </w:r>
      <w:r w:rsidRPr="003B79AC">
        <w:rPr>
          <w:rFonts w:ascii="Times New Roman" w:hAnsi="Times New Roman" w:cs="Times New Roman"/>
          <w:b/>
          <w:sz w:val="24"/>
          <w:szCs w:val="24"/>
          <w:lang w:val="en-US"/>
        </w:rPr>
        <w:tab/>
      </w:r>
      <w:r w:rsidRPr="003B79AC">
        <w:rPr>
          <w:rFonts w:ascii="Times New Roman" w:hAnsi="Times New Roman" w:cs="Times New Roman"/>
          <w:b/>
          <w:sz w:val="24"/>
          <w:szCs w:val="24"/>
          <w:lang w:val="en-US"/>
        </w:rPr>
        <w:tab/>
      </w:r>
      <w:r w:rsidRPr="003B79AC">
        <w:rPr>
          <w:rFonts w:ascii="Times New Roman" w:hAnsi="Times New Roman" w:cs="Times New Roman"/>
          <w:b/>
          <w:sz w:val="24"/>
          <w:szCs w:val="24"/>
          <w:lang w:val="en-US"/>
        </w:rPr>
        <w:tab/>
      </w:r>
      <w:r w:rsidRPr="003B79AC">
        <w:rPr>
          <w:rFonts w:ascii="Times New Roman" w:hAnsi="Times New Roman" w:cs="Times New Roman"/>
          <w:b/>
          <w:sz w:val="24"/>
          <w:szCs w:val="24"/>
          <w:lang w:val="en-US"/>
        </w:rPr>
        <w:tab/>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t>Sweden</w:t>
      </w:r>
    </w:p>
    <w:p w:rsidR="003C1CC0" w:rsidRPr="004C63E9" w:rsidRDefault="0012154D" w:rsidP="00FD2323">
      <w:pPr>
        <w:spacing w:after="0" w:line="240" w:lineRule="auto"/>
        <w:rPr>
          <w:rFonts w:ascii="Times New Roman" w:hAnsi="Times New Roman" w:cs="Times New Roman"/>
          <w:b/>
          <w:sz w:val="24"/>
          <w:szCs w:val="24"/>
          <w:lang w:val="en-US"/>
        </w:rPr>
      </w:pPr>
      <w:r>
        <w:object w:dxaOrig="7680" w:dyaOrig="5116">
          <v:shape id="_x0000_i1040" type="#_x0000_t75" style="width:228pt;height:147.75pt" o:ole="">
            <v:imagedata r:id="rId39" o:title=""/>
          </v:shape>
          <o:OLEObject Type="Embed" ProgID="EViews.Workfile.2" ShapeID="_x0000_i1040" DrawAspect="Content" ObjectID="_1525270168" r:id="rId40"/>
        </w:object>
      </w:r>
      <w:r w:rsidR="007D04D9" w:rsidRPr="004C63E9">
        <w:rPr>
          <w:lang w:val="en-US"/>
        </w:rPr>
        <w:t xml:space="preserve"> </w:t>
      </w:r>
      <w:r>
        <w:object w:dxaOrig="7531" w:dyaOrig="5116">
          <v:shape id="_x0000_i1041" type="#_x0000_t75" style="width:219.75pt;height:2in" o:ole="">
            <v:imagedata r:id="rId41" o:title=""/>
          </v:shape>
          <o:OLEObject Type="Embed" ProgID="EViews.Workfile.2" ShapeID="_x0000_i1041" DrawAspect="Content" ObjectID="_1525270169" r:id="rId42"/>
        </w:object>
      </w:r>
    </w:p>
    <w:p w:rsidR="00D66235" w:rsidRDefault="00D66235" w:rsidP="00F101C4">
      <w:pPr>
        <w:spacing w:after="0" w:line="360" w:lineRule="auto"/>
        <w:ind w:firstLine="567"/>
        <w:jc w:val="center"/>
        <w:rPr>
          <w:rFonts w:ascii="Times New Roman" w:hAnsi="Times New Roman" w:cs="Times New Roman"/>
          <w:sz w:val="24"/>
          <w:szCs w:val="24"/>
          <w:lang w:val="en-GB"/>
        </w:rPr>
      </w:pPr>
    </w:p>
    <w:p w:rsidR="00D3072C" w:rsidRPr="00963BFD" w:rsidRDefault="00D66235" w:rsidP="008C1C34">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GB"/>
        </w:rPr>
        <w:t xml:space="preserve">On the contrary in </w:t>
      </w:r>
      <w:r w:rsidR="00571E25">
        <w:rPr>
          <w:rFonts w:ascii="Times New Roman" w:hAnsi="Times New Roman" w:cs="Times New Roman"/>
          <w:sz w:val="24"/>
          <w:szCs w:val="24"/>
          <w:lang w:val="en-GB"/>
        </w:rPr>
        <w:t xml:space="preserve">the rest of our sample </w:t>
      </w:r>
      <w:r>
        <w:rPr>
          <w:rFonts w:ascii="Times New Roman" w:hAnsi="Times New Roman" w:cs="Times New Roman"/>
          <w:sz w:val="24"/>
          <w:szCs w:val="24"/>
          <w:lang w:val="en-GB"/>
        </w:rPr>
        <w:t xml:space="preserve">firms are mostly net borrowers (see Figure 2). </w:t>
      </w:r>
      <w:r w:rsidR="007B74A1">
        <w:rPr>
          <w:rFonts w:ascii="Times New Roman" w:hAnsi="Times New Roman" w:cs="Times New Roman"/>
          <w:sz w:val="24"/>
          <w:szCs w:val="24"/>
          <w:lang w:val="en-GB"/>
        </w:rPr>
        <w:t xml:space="preserve">Taking into account </w:t>
      </w:r>
      <w:r w:rsidR="00571E25">
        <w:rPr>
          <w:rFonts w:ascii="Times New Roman" w:hAnsi="Times New Roman" w:cs="Times New Roman"/>
          <w:sz w:val="24"/>
          <w:szCs w:val="24"/>
          <w:lang w:val="en-GB"/>
        </w:rPr>
        <w:t xml:space="preserve">the average of the </w:t>
      </w:r>
      <w:r w:rsidR="007B74A1">
        <w:rPr>
          <w:rFonts w:ascii="Times New Roman" w:hAnsi="Times New Roman" w:cs="Times New Roman"/>
          <w:sz w:val="24"/>
          <w:szCs w:val="24"/>
          <w:lang w:val="en-GB"/>
        </w:rPr>
        <w:t>period 1995-2014, net borrowing was around 3 per cent of GDP in Portugal</w:t>
      </w:r>
      <w:r w:rsidR="00571E25">
        <w:rPr>
          <w:rFonts w:ascii="Times New Roman" w:hAnsi="Times New Roman" w:cs="Times New Roman"/>
          <w:sz w:val="24"/>
          <w:szCs w:val="24"/>
          <w:lang w:val="en-GB"/>
        </w:rPr>
        <w:t xml:space="preserve"> and Greece</w:t>
      </w:r>
      <w:r w:rsidR="007B74A1">
        <w:rPr>
          <w:rFonts w:ascii="Times New Roman" w:hAnsi="Times New Roman" w:cs="Times New Roman"/>
          <w:sz w:val="24"/>
          <w:szCs w:val="24"/>
          <w:lang w:val="en-GB"/>
        </w:rPr>
        <w:t xml:space="preserve">, around 2 per cent in </w:t>
      </w:r>
      <w:r w:rsidR="00571E25">
        <w:rPr>
          <w:rFonts w:ascii="Times New Roman" w:hAnsi="Times New Roman" w:cs="Times New Roman"/>
          <w:sz w:val="24"/>
          <w:szCs w:val="24"/>
          <w:lang w:val="en-GB"/>
        </w:rPr>
        <w:t>Spain and Italy, around 1 per cent in Austria</w:t>
      </w:r>
      <w:r w:rsidR="003B5561">
        <w:rPr>
          <w:rFonts w:ascii="Times New Roman" w:hAnsi="Times New Roman" w:cs="Times New Roman"/>
          <w:sz w:val="24"/>
          <w:szCs w:val="24"/>
          <w:lang w:val="en-GB"/>
        </w:rPr>
        <w:t xml:space="preserve">; France </w:t>
      </w:r>
      <w:r w:rsidR="00571E25">
        <w:rPr>
          <w:rFonts w:ascii="Times New Roman" w:hAnsi="Times New Roman" w:cs="Times New Roman"/>
          <w:sz w:val="24"/>
          <w:szCs w:val="24"/>
          <w:lang w:val="en-GB"/>
        </w:rPr>
        <w:t>and Sweden. Net borrowing w</w:t>
      </w:r>
      <w:r w:rsidR="003B5561">
        <w:rPr>
          <w:rFonts w:ascii="Times New Roman" w:hAnsi="Times New Roman" w:cs="Times New Roman"/>
          <w:sz w:val="24"/>
          <w:szCs w:val="24"/>
          <w:lang w:val="en-GB"/>
        </w:rPr>
        <w:t xml:space="preserve">as </w:t>
      </w:r>
      <w:r w:rsidR="00021F4D">
        <w:rPr>
          <w:rFonts w:ascii="Times New Roman" w:hAnsi="Times New Roman" w:cs="Times New Roman"/>
          <w:sz w:val="24"/>
          <w:szCs w:val="24"/>
          <w:lang w:val="en-GB"/>
        </w:rPr>
        <w:t xml:space="preserve">on average smaller than 1 per cent </w:t>
      </w:r>
      <w:r w:rsidR="00571E25">
        <w:rPr>
          <w:rFonts w:ascii="Times New Roman" w:hAnsi="Times New Roman" w:cs="Times New Roman"/>
          <w:sz w:val="24"/>
          <w:szCs w:val="24"/>
          <w:lang w:val="en-GB"/>
        </w:rPr>
        <w:t>in Belgium</w:t>
      </w:r>
      <w:r w:rsidR="003B5561">
        <w:rPr>
          <w:rFonts w:ascii="Times New Roman" w:hAnsi="Times New Roman" w:cs="Times New Roman"/>
          <w:sz w:val="24"/>
          <w:szCs w:val="24"/>
          <w:lang w:val="en-GB"/>
        </w:rPr>
        <w:t>,</w:t>
      </w:r>
      <w:r w:rsidR="00571E25">
        <w:rPr>
          <w:rFonts w:ascii="Times New Roman" w:hAnsi="Times New Roman" w:cs="Times New Roman"/>
          <w:sz w:val="24"/>
          <w:szCs w:val="24"/>
          <w:lang w:val="en-GB"/>
        </w:rPr>
        <w:t xml:space="preserve"> Norway, and the US.</w:t>
      </w:r>
      <w:r w:rsidR="003B5561">
        <w:rPr>
          <w:rFonts w:ascii="Times New Roman" w:hAnsi="Times New Roman" w:cs="Times New Roman"/>
          <w:sz w:val="24"/>
          <w:szCs w:val="24"/>
          <w:lang w:val="en-GB"/>
        </w:rPr>
        <w:t xml:space="preserve"> The yearly evolution of net borrowings shows differences across countries linked to the different impacts of the global financial crisis and the European sovereign debt crisis.</w:t>
      </w:r>
    </w:p>
    <w:p w:rsidR="003B5561" w:rsidRDefault="00D66235" w:rsidP="007B74A1">
      <w:pPr>
        <w:pBdr>
          <w:bottom w:val="dotted" w:sz="24" w:space="8" w:color="auto"/>
        </w:pBd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data set includes indicators coming from different sources. Net lending and net borrowing </w:t>
      </w:r>
      <w:r w:rsidR="00C819C1">
        <w:rPr>
          <w:rFonts w:ascii="Times New Roman" w:hAnsi="Times New Roman" w:cs="Times New Roman"/>
          <w:sz w:val="24"/>
          <w:szCs w:val="24"/>
          <w:lang w:val="en-US"/>
        </w:rPr>
        <w:t xml:space="preserve">are </w:t>
      </w:r>
      <w:r>
        <w:rPr>
          <w:rFonts w:ascii="Times New Roman" w:hAnsi="Times New Roman" w:cs="Times New Roman"/>
          <w:sz w:val="24"/>
          <w:szCs w:val="24"/>
          <w:lang w:val="en-US"/>
        </w:rPr>
        <w:t xml:space="preserve">taken from the </w:t>
      </w:r>
      <w:r w:rsidR="00C819C1">
        <w:rPr>
          <w:rFonts w:ascii="Times New Roman" w:hAnsi="Times New Roman" w:cs="Times New Roman"/>
          <w:sz w:val="24"/>
          <w:szCs w:val="24"/>
          <w:lang w:val="en-US"/>
        </w:rPr>
        <w:t xml:space="preserve">national </w:t>
      </w:r>
      <w:r>
        <w:rPr>
          <w:rFonts w:ascii="Times New Roman" w:hAnsi="Times New Roman" w:cs="Times New Roman"/>
          <w:sz w:val="24"/>
          <w:szCs w:val="24"/>
          <w:lang w:val="en-US"/>
        </w:rPr>
        <w:t>financial accounts</w:t>
      </w:r>
      <w:r w:rsidR="008E6DC2">
        <w:rPr>
          <w:rFonts w:ascii="Times New Roman" w:hAnsi="Times New Roman" w:cs="Times New Roman"/>
          <w:sz w:val="24"/>
          <w:szCs w:val="24"/>
          <w:lang w:val="en-US"/>
        </w:rPr>
        <w:t xml:space="preserve"> available in </w:t>
      </w:r>
      <w:r>
        <w:rPr>
          <w:rFonts w:ascii="Times New Roman" w:hAnsi="Times New Roman" w:cs="Times New Roman"/>
          <w:sz w:val="24"/>
          <w:szCs w:val="24"/>
          <w:lang w:val="en-US"/>
        </w:rPr>
        <w:t xml:space="preserve">the </w:t>
      </w:r>
      <w:r w:rsidRPr="001158FC">
        <w:rPr>
          <w:rFonts w:ascii="Times New Roman" w:hAnsi="Times New Roman" w:cs="Times New Roman"/>
          <w:sz w:val="24"/>
          <w:szCs w:val="24"/>
          <w:lang w:val="en-US"/>
        </w:rPr>
        <w:t>OECD statistical database</w:t>
      </w:r>
      <w:r>
        <w:rPr>
          <w:rFonts w:ascii="Times New Roman" w:hAnsi="Times New Roman" w:cs="Times New Roman"/>
          <w:sz w:val="24"/>
          <w:szCs w:val="24"/>
          <w:lang w:val="en-US"/>
        </w:rPr>
        <w:t xml:space="preserve">. Balance of </w:t>
      </w:r>
      <w:r w:rsidR="00021F4D">
        <w:rPr>
          <w:rFonts w:ascii="Times New Roman" w:hAnsi="Times New Roman" w:cs="Times New Roman"/>
          <w:sz w:val="24"/>
          <w:szCs w:val="24"/>
          <w:lang w:val="en-US"/>
        </w:rPr>
        <w:t>p</w:t>
      </w:r>
      <w:r>
        <w:rPr>
          <w:rFonts w:ascii="Times New Roman" w:hAnsi="Times New Roman" w:cs="Times New Roman"/>
          <w:sz w:val="24"/>
          <w:szCs w:val="24"/>
          <w:lang w:val="en-US"/>
        </w:rPr>
        <w:t xml:space="preserve">ayments </w:t>
      </w:r>
      <w:r w:rsidR="00021F4D">
        <w:rPr>
          <w:rFonts w:ascii="Times New Roman" w:hAnsi="Times New Roman" w:cs="Times New Roman"/>
          <w:sz w:val="24"/>
          <w:szCs w:val="24"/>
          <w:lang w:val="en-US"/>
        </w:rPr>
        <w:t>s</w:t>
      </w:r>
      <w:r>
        <w:rPr>
          <w:rFonts w:ascii="Times New Roman" w:hAnsi="Times New Roman" w:cs="Times New Roman"/>
          <w:sz w:val="24"/>
          <w:szCs w:val="24"/>
          <w:lang w:val="en-US"/>
        </w:rPr>
        <w:t xml:space="preserve">tatistics come from the </w:t>
      </w:r>
      <w:proofErr w:type="spellStart"/>
      <w:r>
        <w:rPr>
          <w:rFonts w:ascii="Times New Roman" w:hAnsi="Times New Roman" w:cs="Times New Roman"/>
          <w:sz w:val="24"/>
          <w:szCs w:val="24"/>
          <w:lang w:val="en-US"/>
        </w:rPr>
        <w:t>Milesi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Ferretti</w:t>
      </w:r>
      <w:proofErr w:type="spellEnd"/>
      <w:r>
        <w:rPr>
          <w:rFonts w:ascii="Times New Roman" w:hAnsi="Times New Roman" w:cs="Times New Roman"/>
          <w:sz w:val="24"/>
          <w:szCs w:val="24"/>
          <w:lang w:val="en-US"/>
        </w:rPr>
        <w:t xml:space="preserve"> (2015) </w:t>
      </w:r>
      <w:r w:rsidR="007B74A1">
        <w:rPr>
          <w:rFonts w:ascii="Times New Roman" w:hAnsi="Times New Roman" w:cs="Times New Roman"/>
          <w:sz w:val="24"/>
          <w:szCs w:val="24"/>
          <w:lang w:val="en-US"/>
        </w:rPr>
        <w:t>archive</w:t>
      </w:r>
      <w:r>
        <w:rPr>
          <w:rFonts w:ascii="Times New Roman" w:hAnsi="Times New Roman" w:cs="Times New Roman"/>
          <w:sz w:val="24"/>
          <w:szCs w:val="24"/>
          <w:lang w:val="en-US"/>
        </w:rPr>
        <w:t>.</w:t>
      </w:r>
      <w:r w:rsidR="007B74A1">
        <w:rPr>
          <w:rFonts w:ascii="Times New Roman" w:hAnsi="Times New Roman" w:cs="Times New Roman"/>
          <w:sz w:val="24"/>
          <w:szCs w:val="24"/>
          <w:lang w:val="en-US"/>
        </w:rPr>
        <w:t xml:space="preserve"> </w:t>
      </w:r>
    </w:p>
    <w:p w:rsidR="008E6DC2" w:rsidRPr="007B74A1" w:rsidRDefault="00F97723" w:rsidP="007B74A1">
      <w:pPr>
        <w:pBdr>
          <w:bottom w:val="dotted" w:sz="24" w:space="8" w:color="auto"/>
        </w:pBdr>
        <w:spacing w:after="0" w:line="360" w:lineRule="auto"/>
        <w:ind w:firstLine="708"/>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To explain </w:t>
      </w:r>
      <w:r w:rsidR="005A4874">
        <w:rPr>
          <w:rFonts w:ascii="Times New Roman" w:hAnsi="Times New Roman" w:cs="Times New Roman"/>
          <w:sz w:val="24"/>
          <w:szCs w:val="24"/>
          <w:lang w:val="en-GB"/>
        </w:rPr>
        <w:t>f</w:t>
      </w:r>
      <w:r>
        <w:rPr>
          <w:rFonts w:ascii="Times New Roman" w:hAnsi="Times New Roman" w:cs="Times New Roman"/>
          <w:sz w:val="24"/>
          <w:szCs w:val="24"/>
          <w:lang w:val="en-GB"/>
        </w:rPr>
        <w:t>irm</w:t>
      </w:r>
      <w:r w:rsidR="0059780C">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5A4874">
        <w:rPr>
          <w:rFonts w:ascii="Times New Roman" w:hAnsi="Times New Roman" w:cs="Times New Roman"/>
          <w:sz w:val="24"/>
          <w:szCs w:val="24"/>
          <w:lang w:val="en-GB"/>
        </w:rPr>
        <w:t xml:space="preserve">net lending and borrowing </w:t>
      </w:r>
      <w:r w:rsidRPr="000C67F4">
        <w:rPr>
          <w:rFonts w:ascii="Times New Roman" w:hAnsi="Times New Roman" w:cs="Times New Roman"/>
          <w:sz w:val="24"/>
          <w:szCs w:val="24"/>
          <w:lang w:val="en-GB"/>
        </w:rPr>
        <w:t xml:space="preserve">we selected a group of </w:t>
      </w:r>
      <w:proofErr w:type="spellStart"/>
      <w:r w:rsidRPr="000C67F4">
        <w:rPr>
          <w:rFonts w:ascii="Times New Roman" w:hAnsi="Times New Roman" w:cs="Times New Roman"/>
          <w:sz w:val="24"/>
          <w:szCs w:val="24"/>
          <w:lang w:val="en-GB"/>
        </w:rPr>
        <w:t>regressors</w:t>
      </w:r>
      <w:proofErr w:type="spellEnd"/>
      <w:r w:rsidR="0059780C">
        <w:rPr>
          <w:rFonts w:ascii="Times New Roman" w:hAnsi="Times New Roman" w:cs="Times New Roman"/>
          <w:sz w:val="24"/>
          <w:szCs w:val="24"/>
          <w:lang w:val="en-GB"/>
        </w:rPr>
        <w:t>.</w:t>
      </w:r>
      <w:r w:rsidR="00FD4FEE">
        <w:rPr>
          <w:rFonts w:ascii="Times New Roman" w:hAnsi="Times New Roman" w:cs="Times New Roman"/>
          <w:sz w:val="24"/>
          <w:szCs w:val="24"/>
          <w:lang w:val="en-GB"/>
        </w:rPr>
        <w:t xml:space="preserve"> Table 1 reports a des</w:t>
      </w:r>
      <w:r w:rsidR="002B6A9E">
        <w:rPr>
          <w:rFonts w:ascii="Times New Roman" w:hAnsi="Times New Roman" w:cs="Times New Roman"/>
          <w:sz w:val="24"/>
          <w:szCs w:val="24"/>
          <w:lang w:val="en-GB"/>
        </w:rPr>
        <w:t xml:space="preserve">cription of the </w:t>
      </w:r>
      <w:r w:rsidR="007B74A1">
        <w:rPr>
          <w:rFonts w:ascii="Times New Roman" w:hAnsi="Times New Roman" w:cs="Times New Roman"/>
          <w:sz w:val="24"/>
          <w:szCs w:val="24"/>
          <w:lang w:val="en-GB"/>
        </w:rPr>
        <w:t xml:space="preserve">variables </w:t>
      </w:r>
      <w:r w:rsidR="002B6A9E">
        <w:rPr>
          <w:rFonts w:ascii="Times New Roman" w:hAnsi="Times New Roman" w:cs="Times New Roman"/>
          <w:sz w:val="24"/>
          <w:szCs w:val="24"/>
          <w:lang w:val="en-GB"/>
        </w:rPr>
        <w:t>together with their expected sign.</w:t>
      </w:r>
      <w:r w:rsidR="004A4BC2">
        <w:rPr>
          <w:rFonts w:ascii="Times New Roman" w:hAnsi="Times New Roman" w:cs="Times New Roman"/>
          <w:sz w:val="24"/>
          <w:szCs w:val="24"/>
          <w:lang w:val="en-GB"/>
        </w:rPr>
        <w:t xml:space="preserve"> </w:t>
      </w:r>
    </w:p>
    <w:p w:rsidR="00C819C1" w:rsidRPr="000A6809" w:rsidRDefault="00C819C1" w:rsidP="00F935B2">
      <w:pPr>
        <w:spacing w:after="0" w:line="240" w:lineRule="auto"/>
        <w:rPr>
          <w:rFonts w:ascii="Times New Roman" w:hAnsi="Times New Roman" w:cs="Times New Roman"/>
          <w:b/>
          <w:sz w:val="24"/>
          <w:szCs w:val="24"/>
          <w:lang w:val="en-US"/>
        </w:rPr>
      </w:pPr>
    </w:p>
    <w:p w:rsidR="00021F4D" w:rsidRDefault="00021F4D" w:rsidP="00F935B2">
      <w:pPr>
        <w:spacing w:after="0" w:line="240" w:lineRule="auto"/>
        <w:rPr>
          <w:rFonts w:ascii="Times New Roman" w:hAnsi="Times New Roman" w:cs="Times New Roman"/>
          <w:b/>
          <w:sz w:val="24"/>
          <w:szCs w:val="24"/>
          <w:lang w:val="en-US"/>
        </w:rPr>
      </w:pPr>
    </w:p>
    <w:p w:rsidR="00021F4D" w:rsidRDefault="00021F4D" w:rsidP="00F935B2">
      <w:pPr>
        <w:spacing w:after="0" w:line="240" w:lineRule="auto"/>
        <w:rPr>
          <w:rFonts w:ascii="Times New Roman" w:hAnsi="Times New Roman" w:cs="Times New Roman"/>
          <w:b/>
          <w:sz w:val="24"/>
          <w:szCs w:val="24"/>
          <w:lang w:val="en-US"/>
        </w:rPr>
      </w:pPr>
    </w:p>
    <w:p w:rsidR="00021F4D" w:rsidRDefault="00021F4D" w:rsidP="00F935B2">
      <w:pPr>
        <w:spacing w:after="0" w:line="240" w:lineRule="auto"/>
        <w:rPr>
          <w:rFonts w:ascii="Times New Roman" w:hAnsi="Times New Roman" w:cs="Times New Roman"/>
          <w:b/>
          <w:sz w:val="24"/>
          <w:szCs w:val="24"/>
          <w:lang w:val="en-US"/>
        </w:rPr>
      </w:pPr>
    </w:p>
    <w:p w:rsidR="00021F4D" w:rsidRDefault="00021F4D" w:rsidP="00F935B2">
      <w:pPr>
        <w:spacing w:after="0" w:line="240" w:lineRule="auto"/>
        <w:rPr>
          <w:rFonts w:ascii="Times New Roman" w:hAnsi="Times New Roman" w:cs="Times New Roman"/>
          <w:b/>
          <w:sz w:val="24"/>
          <w:szCs w:val="24"/>
          <w:lang w:val="en-US"/>
        </w:rPr>
      </w:pPr>
    </w:p>
    <w:p w:rsidR="00021F4D" w:rsidRDefault="00021F4D" w:rsidP="00F935B2">
      <w:pPr>
        <w:spacing w:after="0" w:line="240" w:lineRule="auto"/>
        <w:rPr>
          <w:rFonts w:ascii="Times New Roman" w:hAnsi="Times New Roman" w:cs="Times New Roman"/>
          <w:b/>
          <w:sz w:val="24"/>
          <w:szCs w:val="24"/>
          <w:lang w:val="en-US"/>
        </w:rPr>
      </w:pPr>
    </w:p>
    <w:p w:rsidR="00021F4D" w:rsidRDefault="00021F4D" w:rsidP="00F935B2">
      <w:pPr>
        <w:spacing w:after="0" w:line="240" w:lineRule="auto"/>
        <w:rPr>
          <w:rFonts w:ascii="Times New Roman" w:hAnsi="Times New Roman" w:cs="Times New Roman"/>
          <w:b/>
          <w:sz w:val="24"/>
          <w:szCs w:val="24"/>
          <w:lang w:val="en-US"/>
        </w:rPr>
      </w:pPr>
    </w:p>
    <w:p w:rsidR="00021F4D" w:rsidRDefault="00021F4D" w:rsidP="00F935B2">
      <w:pPr>
        <w:spacing w:after="0" w:line="240" w:lineRule="auto"/>
        <w:rPr>
          <w:rFonts w:ascii="Times New Roman" w:hAnsi="Times New Roman" w:cs="Times New Roman"/>
          <w:b/>
          <w:sz w:val="24"/>
          <w:szCs w:val="24"/>
          <w:lang w:val="en-US"/>
        </w:rPr>
      </w:pPr>
    </w:p>
    <w:p w:rsidR="00021F4D" w:rsidRDefault="00021F4D" w:rsidP="00F935B2">
      <w:pPr>
        <w:spacing w:after="0" w:line="240" w:lineRule="auto"/>
        <w:rPr>
          <w:rFonts w:ascii="Times New Roman" w:hAnsi="Times New Roman" w:cs="Times New Roman"/>
          <w:b/>
          <w:sz w:val="24"/>
          <w:szCs w:val="24"/>
          <w:lang w:val="en-US"/>
        </w:rPr>
      </w:pPr>
    </w:p>
    <w:p w:rsidR="00F935B2" w:rsidRPr="00C819C1" w:rsidRDefault="00F935B2" w:rsidP="00F935B2">
      <w:pPr>
        <w:spacing w:after="0" w:line="240" w:lineRule="auto"/>
        <w:rPr>
          <w:rFonts w:ascii="Times New Roman" w:hAnsi="Times New Roman" w:cs="Times New Roman"/>
          <w:b/>
          <w:sz w:val="24"/>
          <w:szCs w:val="24"/>
          <w:lang w:val="en-US"/>
        </w:rPr>
      </w:pPr>
      <w:r w:rsidRPr="00C819C1">
        <w:rPr>
          <w:rFonts w:ascii="Times New Roman" w:hAnsi="Times New Roman" w:cs="Times New Roman"/>
          <w:b/>
          <w:sz w:val="24"/>
          <w:szCs w:val="24"/>
          <w:lang w:val="en-US"/>
        </w:rPr>
        <w:t xml:space="preserve">Table </w:t>
      </w:r>
      <w:r w:rsidR="00C819C1" w:rsidRPr="00C819C1">
        <w:rPr>
          <w:rFonts w:ascii="Times New Roman" w:hAnsi="Times New Roman" w:cs="Times New Roman"/>
          <w:b/>
          <w:sz w:val="24"/>
          <w:szCs w:val="24"/>
          <w:lang w:val="en-US"/>
        </w:rPr>
        <w:t>2.</w:t>
      </w:r>
      <w:r w:rsidRPr="00C819C1">
        <w:rPr>
          <w:rFonts w:ascii="Times New Roman" w:hAnsi="Times New Roman" w:cs="Times New Roman"/>
          <w:b/>
          <w:sz w:val="24"/>
          <w:szCs w:val="24"/>
          <w:lang w:val="en-US"/>
        </w:rPr>
        <w:t xml:space="preserve"> Data description</w:t>
      </w:r>
      <w:r w:rsidR="005504D8" w:rsidRPr="00C819C1">
        <w:rPr>
          <w:rFonts w:ascii="Times New Roman" w:hAnsi="Times New Roman" w:cs="Times New Roman"/>
          <w:b/>
          <w:sz w:val="24"/>
          <w:szCs w:val="24"/>
          <w:lang w:val="en-US"/>
        </w:rPr>
        <w:t xml:space="preserve"> and variables defin</w:t>
      </w:r>
      <w:r w:rsidR="00217C31" w:rsidRPr="00C819C1">
        <w:rPr>
          <w:rFonts w:ascii="Times New Roman" w:hAnsi="Times New Roman" w:cs="Times New Roman"/>
          <w:b/>
          <w:sz w:val="24"/>
          <w:szCs w:val="24"/>
          <w:lang w:val="en-US"/>
        </w:rPr>
        <w:t>i</w:t>
      </w:r>
      <w:r w:rsidR="005504D8" w:rsidRPr="00C819C1">
        <w:rPr>
          <w:rFonts w:ascii="Times New Roman" w:hAnsi="Times New Roman" w:cs="Times New Roman"/>
          <w:b/>
          <w:sz w:val="24"/>
          <w:szCs w:val="24"/>
          <w:lang w:val="en-US"/>
        </w:rPr>
        <w:t>tion</w:t>
      </w:r>
    </w:p>
    <w:p w:rsidR="00C819C1" w:rsidRPr="00C819C1" w:rsidRDefault="00C819C1" w:rsidP="00F935B2">
      <w:pPr>
        <w:spacing w:after="0" w:line="240" w:lineRule="auto"/>
        <w:rPr>
          <w:rFonts w:ascii="Times New Roman" w:hAnsi="Times New Roman" w:cs="Times New Roman"/>
          <w:sz w:val="24"/>
          <w:szCs w:val="24"/>
          <w:lang w:val="en-US"/>
        </w:rPr>
      </w:pPr>
    </w:p>
    <w:tbl>
      <w:tblPr>
        <w:tblStyle w:val="Grigliatabella"/>
        <w:tblW w:w="0" w:type="auto"/>
        <w:tblLook w:val="04A0" w:firstRow="1" w:lastRow="0" w:firstColumn="1" w:lastColumn="0" w:noHBand="0" w:noVBand="1"/>
      </w:tblPr>
      <w:tblGrid>
        <w:gridCol w:w="2088"/>
        <w:gridCol w:w="5910"/>
        <w:gridCol w:w="1856"/>
      </w:tblGrid>
      <w:tr w:rsidR="00FC0EF9" w:rsidRPr="004C63E9" w:rsidTr="00AA440D">
        <w:tc>
          <w:tcPr>
            <w:tcW w:w="2088" w:type="dxa"/>
          </w:tcPr>
          <w:p w:rsidR="00FC0EF9" w:rsidRPr="00FC0EF9" w:rsidRDefault="00FC0EF9" w:rsidP="0038661B">
            <w:pPr>
              <w:rPr>
                <w:rFonts w:ascii="Times New Roman" w:hAnsi="Times New Roman" w:cs="Times New Roman"/>
                <w:b/>
                <w:i/>
                <w:sz w:val="24"/>
                <w:szCs w:val="24"/>
                <w:lang w:val="en-US"/>
              </w:rPr>
            </w:pPr>
            <w:r w:rsidRPr="00FC0EF9">
              <w:rPr>
                <w:rFonts w:ascii="Times New Roman" w:hAnsi="Times New Roman" w:cs="Times New Roman"/>
                <w:b/>
                <w:i/>
                <w:sz w:val="24"/>
                <w:szCs w:val="24"/>
                <w:lang w:val="en-US"/>
              </w:rPr>
              <w:t xml:space="preserve">Variable </w:t>
            </w:r>
          </w:p>
        </w:tc>
        <w:tc>
          <w:tcPr>
            <w:tcW w:w="5910" w:type="dxa"/>
          </w:tcPr>
          <w:p w:rsidR="00FC0EF9" w:rsidRPr="00FC0EF9" w:rsidRDefault="00FC0EF9" w:rsidP="0038661B">
            <w:pPr>
              <w:rPr>
                <w:rFonts w:ascii="Times New Roman" w:hAnsi="Times New Roman" w:cs="Times New Roman"/>
                <w:b/>
                <w:i/>
                <w:sz w:val="24"/>
                <w:szCs w:val="24"/>
                <w:lang w:val="en-US"/>
              </w:rPr>
            </w:pPr>
            <w:r>
              <w:rPr>
                <w:rFonts w:ascii="Times New Roman" w:hAnsi="Times New Roman" w:cs="Times New Roman"/>
                <w:b/>
                <w:i/>
                <w:sz w:val="24"/>
                <w:szCs w:val="24"/>
                <w:lang w:val="en-US"/>
              </w:rPr>
              <w:t>Description</w:t>
            </w:r>
          </w:p>
        </w:tc>
        <w:tc>
          <w:tcPr>
            <w:tcW w:w="1856" w:type="dxa"/>
          </w:tcPr>
          <w:p w:rsidR="00FC0EF9" w:rsidRPr="00FC0EF9" w:rsidRDefault="00FC0EF9" w:rsidP="0038661B">
            <w:pPr>
              <w:rPr>
                <w:rFonts w:ascii="Times New Roman" w:hAnsi="Times New Roman" w:cs="Times New Roman"/>
                <w:b/>
                <w:i/>
                <w:sz w:val="24"/>
                <w:szCs w:val="24"/>
                <w:lang w:val="en-US"/>
              </w:rPr>
            </w:pPr>
            <w:r w:rsidRPr="00FC0EF9">
              <w:rPr>
                <w:rFonts w:ascii="Times New Roman" w:hAnsi="Times New Roman" w:cs="Times New Roman"/>
                <w:b/>
                <w:i/>
                <w:sz w:val="24"/>
                <w:szCs w:val="24"/>
                <w:lang w:val="en-US"/>
              </w:rPr>
              <w:t>Expected sign</w:t>
            </w:r>
          </w:p>
        </w:tc>
      </w:tr>
      <w:tr w:rsidR="00FC0EF9" w:rsidRPr="004918DF" w:rsidTr="00AA440D">
        <w:tc>
          <w:tcPr>
            <w:tcW w:w="2088" w:type="dxa"/>
          </w:tcPr>
          <w:p w:rsidR="00FC0EF9" w:rsidRDefault="00FC0EF9" w:rsidP="005A4874">
            <w:pPr>
              <w:rPr>
                <w:rFonts w:ascii="Times New Roman" w:hAnsi="Times New Roman" w:cs="Times New Roman"/>
                <w:sz w:val="24"/>
                <w:szCs w:val="24"/>
                <w:lang w:val="en-US"/>
              </w:rPr>
            </w:pPr>
            <w:r>
              <w:rPr>
                <w:rFonts w:ascii="Times New Roman" w:hAnsi="Times New Roman" w:cs="Times New Roman"/>
                <w:sz w:val="24"/>
                <w:szCs w:val="24"/>
                <w:lang w:val="en-US"/>
              </w:rPr>
              <w:t>Net lending</w:t>
            </w:r>
            <w:r w:rsidR="005A4874">
              <w:rPr>
                <w:rFonts w:ascii="Times New Roman" w:hAnsi="Times New Roman" w:cs="Times New Roman"/>
                <w:sz w:val="24"/>
                <w:szCs w:val="24"/>
                <w:lang w:val="en-US"/>
              </w:rPr>
              <w:t xml:space="preserve">/net borrowing </w:t>
            </w:r>
            <w:r>
              <w:rPr>
                <w:rFonts w:ascii="Times New Roman" w:hAnsi="Times New Roman" w:cs="Times New Roman"/>
                <w:sz w:val="24"/>
                <w:szCs w:val="24"/>
                <w:lang w:val="en-US"/>
              </w:rPr>
              <w:t>(NBLGDP)</w:t>
            </w:r>
          </w:p>
        </w:tc>
        <w:tc>
          <w:tcPr>
            <w:tcW w:w="5910" w:type="dxa"/>
          </w:tcPr>
          <w:p w:rsidR="00FC0EF9" w:rsidRDefault="00FC0EF9" w:rsidP="005A4874">
            <w:pPr>
              <w:rPr>
                <w:rFonts w:ascii="Times New Roman" w:hAnsi="Times New Roman" w:cs="Times New Roman"/>
                <w:sz w:val="24"/>
                <w:szCs w:val="24"/>
                <w:lang w:val="en-US"/>
              </w:rPr>
            </w:pPr>
            <w:r w:rsidRPr="00D94260">
              <w:rPr>
                <w:rFonts w:ascii="Times New Roman" w:hAnsi="Times New Roman" w:cs="Times New Roman"/>
                <w:sz w:val="24"/>
                <w:szCs w:val="24"/>
                <w:lang w:val="en-US"/>
              </w:rPr>
              <w:t xml:space="preserve">Net </w:t>
            </w:r>
            <w:r w:rsidR="005A4874">
              <w:rPr>
                <w:rFonts w:ascii="Times New Roman" w:hAnsi="Times New Roman" w:cs="Times New Roman"/>
                <w:sz w:val="24"/>
                <w:szCs w:val="24"/>
                <w:lang w:val="en-US"/>
              </w:rPr>
              <w:t>lending/net borrowing as a percentage of GDP</w:t>
            </w:r>
          </w:p>
        </w:tc>
        <w:tc>
          <w:tcPr>
            <w:tcW w:w="1856" w:type="dxa"/>
          </w:tcPr>
          <w:p w:rsidR="00FC0EF9" w:rsidRPr="00D94260" w:rsidRDefault="005A4874" w:rsidP="0038661B">
            <w:pPr>
              <w:rPr>
                <w:rFonts w:ascii="Times New Roman" w:hAnsi="Times New Roman" w:cs="Times New Roman"/>
                <w:sz w:val="24"/>
                <w:szCs w:val="24"/>
                <w:lang w:val="en-US"/>
              </w:rPr>
            </w:pPr>
            <w:r>
              <w:rPr>
                <w:rFonts w:ascii="Times New Roman" w:hAnsi="Times New Roman" w:cs="Times New Roman"/>
                <w:sz w:val="24"/>
                <w:szCs w:val="24"/>
                <w:lang w:val="en-US"/>
              </w:rPr>
              <w:t xml:space="preserve">Dependent variable </w:t>
            </w:r>
          </w:p>
        </w:tc>
      </w:tr>
      <w:tr w:rsidR="00775F50" w:rsidRPr="00693258" w:rsidTr="00AA440D">
        <w:trPr>
          <w:trHeight w:val="526"/>
        </w:trPr>
        <w:tc>
          <w:tcPr>
            <w:tcW w:w="2088" w:type="dxa"/>
          </w:tcPr>
          <w:p w:rsidR="00775F50" w:rsidRDefault="00775F50" w:rsidP="0059780C">
            <w:pPr>
              <w:rPr>
                <w:rFonts w:ascii="Times New Roman" w:hAnsi="Times New Roman" w:cs="Times New Roman"/>
                <w:sz w:val="24"/>
                <w:szCs w:val="24"/>
                <w:lang w:val="en-US"/>
              </w:rPr>
            </w:pPr>
            <w:r>
              <w:rPr>
                <w:rFonts w:ascii="Times New Roman" w:hAnsi="Times New Roman" w:cs="Times New Roman"/>
                <w:sz w:val="24"/>
                <w:szCs w:val="24"/>
                <w:lang w:val="en-US"/>
              </w:rPr>
              <w:t xml:space="preserve">Output gap </w:t>
            </w:r>
          </w:p>
        </w:tc>
        <w:tc>
          <w:tcPr>
            <w:tcW w:w="5910" w:type="dxa"/>
          </w:tcPr>
          <w:p w:rsidR="00775F50" w:rsidRDefault="00775F50" w:rsidP="0059780C">
            <w:pPr>
              <w:rPr>
                <w:rFonts w:ascii="Times New Roman" w:hAnsi="Times New Roman" w:cs="Times New Roman"/>
                <w:sz w:val="24"/>
                <w:szCs w:val="24"/>
                <w:lang w:val="en-US"/>
              </w:rPr>
            </w:pPr>
            <w:r>
              <w:rPr>
                <w:rFonts w:ascii="Times New Roman" w:hAnsi="Times New Roman" w:cs="Times New Roman"/>
                <w:sz w:val="24"/>
                <w:szCs w:val="24"/>
                <w:lang w:val="en-US"/>
              </w:rPr>
              <w:t xml:space="preserve">(Effective GDP – Potential GDP)/Potential GDP*100. </w:t>
            </w:r>
          </w:p>
        </w:tc>
        <w:tc>
          <w:tcPr>
            <w:tcW w:w="1856" w:type="dxa"/>
          </w:tcPr>
          <w:p w:rsidR="00775F50" w:rsidRDefault="00EC5554" w:rsidP="00EC5554">
            <w:pPr>
              <w:rPr>
                <w:rFonts w:ascii="Times New Roman" w:hAnsi="Times New Roman" w:cs="Times New Roman"/>
                <w:sz w:val="24"/>
                <w:szCs w:val="24"/>
                <w:lang w:val="en-US"/>
              </w:rPr>
            </w:pPr>
            <w:r>
              <w:rPr>
                <w:rFonts w:ascii="Times New Roman" w:hAnsi="Times New Roman" w:cs="Times New Roman"/>
                <w:sz w:val="24"/>
                <w:szCs w:val="24"/>
                <w:lang w:val="en-US"/>
              </w:rPr>
              <w:t>N</w:t>
            </w:r>
            <w:r w:rsidR="00775F50">
              <w:rPr>
                <w:rFonts w:ascii="Times New Roman" w:hAnsi="Times New Roman" w:cs="Times New Roman"/>
                <w:sz w:val="24"/>
                <w:szCs w:val="24"/>
                <w:lang w:val="en-US"/>
              </w:rPr>
              <w:t>egative</w:t>
            </w:r>
          </w:p>
        </w:tc>
      </w:tr>
      <w:tr w:rsidR="00EC5554" w:rsidRPr="00EC5554" w:rsidTr="00AA440D">
        <w:trPr>
          <w:trHeight w:val="526"/>
        </w:trPr>
        <w:tc>
          <w:tcPr>
            <w:tcW w:w="2088" w:type="dxa"/>
          </w:tcPr>
          <w:p w:rsidR="00EC5554" w:rsidRPr="00EC5554" w:rsidRDefault="00FC0E85" w:rsidP="005A487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Net FDI/GDP</w:t>
            </w:r>
          </w:p>
        </w:tc>
        <w:tc>
          <w:tcPr>
            <w:tcW w:w="5910" w:type="dxa"/>
          </w:tcPr>
          <w:p w:rsidR="00EC5554" w:rsidRPr="00EC5554" w:rsidRDefault="00021F4D" w:rsidP="00021F4D">
            <w:pPr>
              <w:rPr>
                <w:rFonts w:ascii="Times New Roman" w:hAnsi="Times New Roman" w:cs="Times New Roman"/>
                <w:sz w:val="24"/>
                <w:szCs w:val="24"/>
                <w:lang w:val="en-US"/>
              </w:rPr>
            </w:pPr>
            <w:r>
              <w:rPr>
                <w:rFonts w:ascii="Times New Roman" w:hAnsi="Times New Roman" w:cs="Times New Roman"/>
                <w:sz w:val="24"/>
                <w:szCs w:val="24"/>
                <w:lang w:val="en-US"/>
              </w:rPr>
              <w:t xml:space="preserve">Net </w:t>
            </w:r>
            <w:r w:rsidR="00EC5554" w:rsidRPr="00EC5554">
              <w:rPr>
                <w:rFonts w:ascii="Times New Roman" w:hAnsi="Times New Roman" w:cs="Times New Roman"/>
                <w:sz w:val="24"/>
                <w:szCs w:val="24"/>
                <w:lang w:val="en-US"/>
              </w:rPr>
              <w:t xml:space="preserve">foreign direct investment </w:t>
            </w:r>
            <w:r>
              <w:rPr>
                <w:rFonts w:ascii="Times New Roman" w:hAnsi="Times New Roman" w:cs="Times New Roman"/>
                <w:sz w:val="24"/>
                <w:szCs w:val="24"/>
                <w:lang w:val="en-US"/>
              </w:rPr>
              <w:t xml:space="preserve">as a ratio </w:t>
            </w:r>
            <w:r w:rsidR="00EC5554" w:rsidRPr="00EC5554">
              <w:rPr>
                <w:rFonts w:ascii="Times New Roman" w:hAnsi="Times New Roman" w:cs="Times New Roman"/>
                <w:sz w:val="24"/>
                <w:szCs w:val="24"/>
                <w:lang w:val="en-US"/>
              </w:rPr>
              <w:t>to GDP</w:t>
            </w:r>
          </w:p>
        </w:tc>
        <w:tc>
          <w:tcPr>
            <w:tcW w:w="1856" w:type="dxa"/>
          </w:tcPr>
          <w:p w:rsidR="00EC5554" w:rsidRDefault="00FC0E85" w:rsidP="0038661B">
            <w:pPr>
              <w:rPr>
                <w:rFonts w:ascii="Times New Roman" w:hAnsi="Times New Roman" w:cs="Times New Roman"/>
                <w:sz w:val="24"/>
                <w:szCs w:val="24"/>
                <w:lang w:val="en-US"/>
              </w:rPr>
            </w:pPr>
            <w:r>
              <w:rPr>
                <w:rFonts w:ascii="Times New Roman" w:hAnsi="Times New Roman" w:cs="Times New Roman"/>
                <w:sz w:val="24"/>
                <w:szCs w:val="24"/>
                <w:lang w:val="en-US"/>
              </w:rPr>
              <w:t>Positive</w:t>
            </w:r>
          </w:p>
        </w:tc>
      </w:tr>
      <w:tr w:rsidR="00EC5554" w:rsidRPr="00EC5554" w:rsidTr="00AA440D">
        <w:trPr>
          <w:trHeight w:val="526"/>
        </w:trPr>
        <w:tc>
          <w:tcPr>
            <w:tcW w:w="2088" w:type="dxa"/>
          </w:tcPr>
          <w:p w:rsidR="00EC5554" w:rsidRDefault="00EC5554" w:rsidP="00FC0E85">
            <w:pPr>
              <w:spacing w:line="360" w:lineRule="auto"/>
              <w:rPr>
                <w:rFonts w:ascii="Times New Roman" w:hAnsi="Times New Roman" w:cs="Times New Roman"/>
                <w:sz w:val="24"/>
                <w:szCs w:val="24"/>
                <w:lang w:val="en-US"/>
              </w:rPr>
            </w:pPr>
            <w:r w:rsidRPr="00EC5554">
              <w:rPr>
                <w:rFonts w:ascii="Times New Roman" w:hAnsi="Times New Roman" w:cs="Times New Roman"/>
                <w:sz w:val="24"/>
                <w:szCs w:val="24"/>
                <w:lang w:val="en-US"/>
              </w:rPr>
              <w:t>I/</w:t>
            </w:r>
            <w:r w:rsidR="00FC0E85">
              <w:rPr>
                <w:rFonts w:ascii="Times New Roman" w:hAnsi="Times New Roman" w:cs="Times New Roman"/>
                <w:sz w:val="24"/>
                <w:szCs w:val="24"/>
                <w:lang w:val="en-US"/>
              </w:rPr>
              <w:t>GDP</w:t>
            </w:r>
          </w:p>
        </w:tc>
        <w:tc>
          <w:tcPr>
            <w:tcW w:w="5910" w:type="dxa"/>
          </w:tcPr>
          <w:p w:rsidR="00EC5554" w:rsidRDefault="00EC5554" w:rsidP="00021F4D">
            <w:pPr>
              <w:rPr>
                <w:rFonts w:ascii="Times New Roman" w:hAnsi="Times New Roman" w:cs="Times New Roman"/>
                <w:sz w:val="24"/>
                <w:szCs w:val="24"/>
                <w:lang w:val="en-US"/>
              </w:rPr>
            </w:pPr>
            <w:r w:rsidRPr="00EC5554">
              <w:rPr>
                <w:rFonts w:ascii="Times New Roman" w:hAnsi="Times New Roman" w:cs="Times New Roman"/>
                <w:sz w:val="24"/>
                <w:szCs w:val="24"/>
                <w:lang w:val="en-US"/>
              </w:rPr>
              <w:t xml:space="preserve">Gross </w:t>
            </w:r>
            <w:r w:rsidR="00021F4D">
              <w:rPr>
                <w:rFonts w:ascii="Times New Roman" w:hAnsi="Times New Roman" w:cs="Times New Roman"/>
                <w:sz w:val="24"/>
                <w:szCs w:val="24"/>
                <w:lang w:val="en-US"/>
              </w:rPr>
              <w:t>i</w:t>
            </w:r>
            <w:r w:rsidRPr="00EC5554">
              <w:rPr>
                <w:rFonts w:ascii="Times New Roman" w:hAnsi="Times New Roman" w:cs="Times New Roman"/>
                <w:sz w:val="24"/>
                <w:szCs w:val="24"/>
                <w:lang w:val="en-US"/>
              </w:rPr>
              <w:t>nvestment rate of corporate sector as a ratio of GDP</w:t>
            </w:r>
          </w:p>
        </w:tc>
        <w:tc>
          <w:tcPr>
            <w:tcW w:w="1856" w:type="dxa"/>
          </w:tcPr>
          <w:p w:rsidR="00EC5554" w:rsidRDefault="00EC5554" w:rsidP="0038661B">
            <w:pPr>
              <w:rPr>
                <w:rFonts w:ascii="Times New Roman" w:hAnsi="Times New Roman" w:cs="Times New Roman"/>
                <w:sz w:val="24"/>
                <w:szCs w:val="24"/>
                <w:lang w:val="en-US"/>
              </w:rPr>
            </w:pPr>
            <w:r>
              <w:rPr>
                <w:rFonts w:ascii="Times New Roman" w:hAnsi="Times New Roman" w:cs="Times New Roman"/>
                <w:sz w:val="24"/>
                <w:szCs w:val="24"/>
                <w:lang w:val="en-US"/>
              </w:rPr>
              <w:t>Negative</w:t>
            </w:r>
          </w:p>
        </w:tc>
      </w:tr>
      <w:tr w:rsidR="00EC5554" w:rsidRPr="00EC5554" w:rsidTr="00AA440D">
        <w:trPr>
          <w:trHeight w:val="526"/>
        </w:trPr>
        <w:tc>
          <w:tcPr>
            <w:tcW w:w="2088" w:type="dxa"/>
          </w:tcPr>
          <w:p w:rsidR="00EC5554" w:rsidRDefault="00EC5554" w:rsidP="00EC555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C/GDP</w:t>
            </w:r>
          </w:p>
        </w:tc>
        <w:tc>
          <w:tcPr>
            <w:tcW w:w="5910" w:type="dxa"/>
          </w:tcPr>
          <w:p w:rsidR="00EC5554" w:rsidRDefault="00EC5554" w:rsidP="00EC5554">
            <w:pPr>
              <w:rPr>
                <w:rFonts w:ascii="Times New Roman" w:hAnsi="Times New Roman" w:cs="Times New Roman"/>
                <w:sz w:val="24"/>
                <w:szCs w:val="24"/>
                <w:lang w:val="en-US"/>
              </w:rPr>
            </w:pPr>
            <w:r>
              <w:rPr>
                <w:rFonts w:ascii="Times New Roman" w:hAnsi="Times New Roman" w:cs="Times New Roman"/>
                <w:sz w:val="24"/>
                <w:szCs w:val="24"/>
                <w:lang w:val="en-US"/>
              </w:rPr>
              <w:t>Share of private consumption to GDP</w:t>
            </w:r>
          </w:p>
        </w:tc>
        <w:tc>
          <w:tcPr>
            <w:tcW w:w="1856" w:type="dxa"/>
          </w:tcPr>
          <w:p w:rsidR="00EC5554" w:rsidRDefault="00EC5554" w:rsidP="0038661B">
            <w:pPr>
              <w:rPr>
                <w:rFonts w:ascii="Times New Roman" w:hAnsi="Times New Roman" w:cs="Times New Roman"/>
                <w:sz w:val="24"/>
                <w:szCs w:val="24"/>
                <w:lang w:val="en-US"/>
              </w:rPr>
            </w:pPr>
            <w:r>
              <w:rPr>
                <w:rFonts w:ascii="Times New Roman" w:hAnsi="Times New Roman" w:cs="Times New Roman"/>
                <w:sz w:val="24"/>
                <w:szCs w:val="24"/>
                <w:lang w:val="en-US"/>
              </w:rPr>
              <w:t>Negative</w:t>
            </w:r>
          </w:p>
        </w:tc>
      </w:tr>
      <w:tr w:rsidR="00DE649C" w:rsidRPr="00DE649C" w:rsidTr="00AA440D">
        <w:trPr>
          <w:trHeight w:val="526"/>
        </w:trPr>
        <w:tc>
          <w:tcPr>
            <w:tcW w:w="2088" w:type="dxa"/>
          </w:tcPr>
          <w:p w:rsidR="00DE649C" w:rsidRDefault="00DE649C" w:rsidP="005A4874">
            <w:pPr>
              <w:spacing w:line="360" w:lineRule="auto"/>
              <w:rPr>
                <w:rFonts w:ascii="Times New Roman" w:hAnsi="Times New Roman" w:cs="Times New Roman"/>
                <w:sz w:val="24"/>
                <w:szCs w:val="24"/>
                <w:lang w:val="en-US"/>
              </w:rPr>
            </w:pPr>
            <w:r w:rsidRPr="00DE649C">
              <w:rPr>
                <w:rFonts w:ascii="Times New Roman" w:hAnsi="Times New Roman" w:cs="Times New Roman"/>
                <w:sz w:val="24"/>
                <w:szCs w:val="24"/>
                <w:lang w:val="en-US"/>
              </w:rPr>
              <w:t>Oil price</w:t>
            </w:r>
          </w:p>
        </w:tc>
        <w:tc>
          <w:tcPr>
            <w:tcW w:w="5910" w:type="dxa"/>
          </w:tcPr>
          <w:p w:rsidR="00DE649C" w:rsidRDefault="00DE649C" w:rsidP="00DE649C">
            <w:pPr>
              <w:rPr>
                <w:rFonts w:ascii="Times New Roman" w:hAnsi="Times New Roman" w:cs="Times New Roman"/>
                <w:sz w:val="24"/>
                <w:szCs w:val="24"/>
                <w:lang w:val="en-US"/>
              </w:rPr>
            </w:pPr>
            <w:r w:rsidRPr="00DE649C">
              <w:rPr>
                <w:rFonts w:ascii="Times New Roman" w:hAnsi="Times New Roman" w:cs="Times New Roman"/>
                <w:sz w:val="24"/>
                <w:szCs w:val="24"/>
                <w:lang w:val="en-US"/>
              </w:rPr>
              <w:t>Price of B</w:t>
            </w:r>
            <w:r>
              <w:rPr>
                <w:rFonts w:ascii="Times New Roman" w:hAnsi="Times New Roman" w:cs="Times New Roman"/>
                <w:sz w:val="24"/>
                <w:szCs w:val="24"/>
                <w:lang w:val="en-US"/>
              </w:rPr>
              <w:t>rent in US dollars.</w:t>
            </w:r>
          </w:p>
        </w:tc>
        <w:tc>
          <w:tcPr>
            <w:tcW w:w="1856" w:type="dxa"/>
          </w:tcPr>
          <w:p w:rsidR="00DE649C" w:rsidRDefault="00DE649C" w:rsidP="0038661B">
            <w:pPr>
              <w:rPr>
                <w:rFonts w:ascii="Times New Roman" w:hAnsi="Times New Roman" w:cs="Times New Roman"/>
                <w:sz w:val="24"/>
                <w:szCs w:val="24"/>
                <w:lang w:val="en-US"/>
              </w:rPr>
            </w:pPr>
            <w:r>
              <w:rPr>
                <w:rFonts w:ascii="Times New Roman" w:hAnsi="Times New Roman" w:cs="Times New Roman"/>
                <w:sz w:val="24"/>
                <w:szCs w:val="24"/>
                <w:lang w:val="en-US"/>
              </w:rPr>
              <w:t>Negative</w:t>
            </w:r>
          </w:p>
        </w:tc>
      </w:tr>
      <w:tr w:rsidR="00FC0EF9" w:rsidRPr="00693258" w:rsidTr="00AA440D">
        <w:trPr>
          <w:trHeight w:val="526"/>
        </w:trPr>
        <w:tc>
          <w:tcPr>
            <w:tcW w:w="2088" w:type="dxa"/>
          </w:tcPr>
          <w:p w:rsidR="00FC0EF9" w:rsidRDefault="005A4874" w:rsidP="005A487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Interest rates spread</w:t>
            </w:r>
          </w:p>
        </w:tc>
        <w:tc>
          <w:tcPr>
            <w:tcW w:w="5910" w:type="dxa"/>
          </w:tcPr>
          <w:p w:rsidR="00FC0EF9" w:rsidRDefault="00FC0EF9" w:rsidP="0038661B">
            <w:pPr>
              <w:rPr>
                <w:rFonts w:ascii="Times New Roman" w:hAnsi="Times New Roman" w:cs="Times New Roman"/>
                <w:sz w:val="24"/>
                <w:szCs w:val="24"/>
                <w:lang w:val="en-US"/>
              </w:rPr>
            </w:pPr>
            <w:r>
              <w:rPr>
                <w:rFonts w:ascii="Times New Roman" w:hAnsi="Times New Roman" w:cs="Times New Roman"/>
                <w:sz w:val="24"/>
                <w:szCs w:val="24"/>
                <w:lang w:val="en-US"/>
              </w:rPr>
              <w:t>Long term –short term interest rates</w:t>
            </w:r>
          </w:p>
        </w:tc>
        <w:tc>
          <w:tcPr>
            <w:tcW w:w="1856" w:type="dxa"/>
          </w:tcPr>
          <w:p w:rsidR="00FC0EF9" w:rsidRDefault="00DE649C" w:rsidP="00DE649C">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r>
      <w:tr w:rsidR="0049410D" w:rsidRPr="005C27BA" w:rsidTr="00AA440D">
        <w:tc>
          <w:tcPr>
            <w:tcW w:w="2088" w:type="dxa"/>
          </w:tcPr>
          <w:p w:rsidR="0049410D" w:rsidRPr="0049410D" w:rsidRDefault="0049410D" w:rsidP="0017404F">
            <w:pPr>
              <w:rPr>
                <w:rFonts w:ascii="Times New Roman" w:hAnsi="Times New Roman" w:cs="Times New Roman"/>
                <w:sz w:val="24"/>
                <w:szCs w:val="24"/>
              </w:rPr>
            </w:pPr>
            <w:proofErr w:type="spellStart"/>
            <w:r w:rsidRPr="0049410D">
              <w:rPr>
                <w:rFonts w:ascii="Times New Roman" w:hAnsi="Times New Roman" w:cs="Times New Roman"/>
                <w:sz w:val="24"/>
                <w:szCs w:val="24"/>
              </w:rPr>
              <w:t>Leverage</w:t>
            </w:r>
            <w:proofErr w:type="spellEnd"/>
          </w:p>
        </w:tc>
        <w:tc>
          <w:tcPr>
            <w:tcW w:w="5910" w:type="dxa"/>
          </w:tcPr>
          <w:p w:rsidR="0049410D" w:rsidRPr="0049410D" w:rsidRDefault="0049410D" w:rsidP="0049410D">
            <w:pPr>
              <w:rPr>
                <w:rFonts w:ascii="Times New Roman" w:hAnsi="Times New Roman" w:cs="Times New Roman"/>
                <w:sz w:val="24"/>
                <w:szCs w:val="24"/>
                <w:lang w:val="en-US"/>
              </w:rPr>
            </w:pPr>
            <w:r w:rsidRPr="0049410D">
              <w:rPr>
                <w:rFonts w:ascii="Times New Roman" w:hAnsi="Times New Roman" w:cs="Times New Roman"/>
                <w:sz w:val="24"/>
                <w:szCs w:val="24"/>
                <w:lang w:val="en-US"/>
              </w:rPr>
              <w:t>Loans and bonds issued by firms as a ratio of total financial liabilities</w:t>
            </w:r>
          </w:p>
        </w:tc>
        <w:tc>
          <w:tcPr>
            <w:tcW w:w="1856" w:type="dxa"/>
          </w:tcPr>
          <w:p w:rsidR="0049410D" w:rsidRPr="00021F4D" w:rsidRDefault="002B194A" w:rsidP="0017404F">
            <w:pPr>
              <w:rPr>
                <w:rFonts w:ascii="Times New Roman" w:hAnsi="Times New Roman" w:cs="Times New Roman"/>
                <w:sz w:val="24"/>
                <w:szCs w:val="24"/>
                <w:lang w:val="en-US"/>
              </w:rPr>
            </w:pPr>
            <w:r w:rsidRPr="00021F4D">
              <w:rPr>
                <w:rFonts w:ascii="Times New Roman" w:hAnsi="Times New Roman" w:cs="Times New Roman"/>
                <w:sz w:val="24"/>
                <w:szCs w:val="24"/>
                <w:lang w:val="en-US"/>
              </w:rPr>
              <w:t>?</w:t>
            </w:r>
          </w:p>
        </w:tc>
      </w:tr>
      <w:tr w:rsidR="0049410D" w:rsidRPr="00693258" w:rsidTr="00AA440D">
        <w:tc>
          <w:tcPr>
            <w:tcW w:w="2088" w:type="dxa"/>
          </w:tcPr>
          <w:p w:rsidR="0049410D" w:rsidRPr="0049410D" w:rsidRDefault="0049410D" w:rsidP="0017404F">
            <w:pPr>
              <w:rPr>
                <w:rFonts w:ascii="Times New Roman" w:hAnsi="Times New Roman" w:cs="Times New Roman"/>
                <w:sz w:val="24"/>
                <w:szCs w:val="24"/>
              </w:rPr>
            </w:pPr>
            <w:r w:rsidRPr="0049410D">
              <w:rPr>
                <w:rFonts w:ascii="Times New Roman" w:hAnsi="Times New Roman" w:cs="Times New Roman"/>
                <w:sz w:val="24"/>
                <w:szCs w:val="24"/>
              </w:rPr>
              <w:t xml:space="preserve">Financial </w:t>
            </w:r>
            <w:proofErr w:type="spellStart"/>
            <w:r w:rsidRPr="0049410D">
              <w:rPr>
                <w:rFonts w:ascii="Times New Roman" w:hAnsi="Times New Roman" w:cs="Times New Roman"/>
                <w:sz w:val="24"/>
                <w:szCs w:val="24"/>
              </w:rPr>
              <w:t>Openness</w:t>
            </w:r>
            <w:proofErr w:type="spellEnd"/>
          </w:p>
        </w:tc>
        <w:tc>
          <w:tcPr>
            <w:tcW w:w="5910" w:type="dxa"/>
          </w:tcPr>
          <w:p w:rsidR="0049410D" w:rsidRPr="00EF42A8" w:rsidRDefault="0049410D" w:rsidP="00EF42A8">
            <w:pPr>
              <w:rPr>
                <w:rFonts w:ascii="Times New Roman" w:hAnsi="Times New Roman" w:cs="Times New Roman"/>
                <w:sz w:val="24"/>
                <w:szCs w:val="24"/>
                <w:lang w:val="en-US"/>
              </w:rPr>
            </w:pPr>
            <w:r w:rsidRPr="00EF42A8">
              <w:rPr>
                <w:rFonts w:ascii="Times New Roman" w:hAnsi="Times New Roman" w:cs="Times New Roman"/>
                <w:sz w:val="24"/>
                <w:szCs w:val="24"/>
                <w:lang w:val="en-US"/>
              </w:rPr>
              <w:t>(</w:t>
            </w:r>
            <w:r w:rsidR="00EF42A8" w:rsidRPr="00EF42A8">
              <w:rPr>
                <w:rFonts w:ascii="Times New Roman" w:hAnsi="Times New Roman" w:cs="Times New Roman"/>
                <w:sz w:val="24"/>
                <w:szCs w:val="24"/>
                <w:lang w:val="en-US"/>
              </w:rPr>
              <w:t>Financial a</w:t>
            </w:r>
            <w:r w:rsidRPr="00EF42A8">
              <w:rPr>
                <w:rFonts w:ascii="Times New Roman" w:hAnsi="Times New Roman" w:cs="Times New Roman"/>
                <w:sz w:val="24"/>
                <w:szCs w:val="24"/>
                <w:lang w:val="en-US"/>
              </w:rPr>
              <w:t xml:space="preserve">ssets plus </w:t>
            </w:r>
            <w:r w:rsidR="00EF42A8" w:rsidRPr="00EF42A8">
              <w:rPr>
                <w:rFonts w:ascii="Times New Roman" w:hAnsi="Times New Roman" w:cs="Times New Roman"/>
                <w:sz w:val="24"/>
                <w:szCs w:val="24"/>
                <w:lang w:val="en-US"/>
              </w:rPr>
              <w:t xml:space="preserve">financial </w:t>
            </w:r>
            <w:r w:rsidRPr="00EF42A8">
              <w:rPr>
                <w:rFonts w:ascii="Times New Roman" w:hAnsi="Times New Roman" w:cs="Times New Roman"/>
                <w:sz w:val="24"/>
                <w:szCs w:val="24"/>
                <w:lang w:val="en-US"/>
              </w:rPr>
              <w:t>liabilities)/GDP</w:t>
            </w:r>
          </w:p>
        </w:tc>
        <w:tc>
          <w:tcPr>
            <w:tcW w:w="1856" w:type="dxa"/>
          </w:tcPr>
          <w:p w:rsidR="0049410D" w:rsidRPr="0049410D" w:rsidRDefault="00EF42A8" w:rsidP="00EF42A8">
            <w:pPr>
              <w:rPr>
                <w:rFonts w:ascii="Times New Roman" w:hAnsi="Times New Roman" w:cs="Times New Roman"/>
                <w:sz w:val="24"/>
                <w:szCs w:val="24"/>
              </w:rPr>
            </w:pPr>
            <w:r>
              <w:rPr>
                <w:rFonts w:ascii="Times New Roman" w:hAnsi="Times New Roman" w:cs="Times New Roman"/>
                <w:sz w:val="24"/>
                <w:szCs w:val="24"/>
              </w:rPr>
              <w:t>?</w:t>
            </w:r>
          </w:p>
        </w:tc>
      </w:tr>
      <w:tr w:rsidR="00FC0EF9" w:rsidRPr="00693258" w:rsidTr="00AA440D">
        <w:tc>
          <w:tcPr>
            <w:tcW w:w="2088" w:type="dxa"/>
          </w:tcPr>
          <w:p w:rsidR="00FC0EF9" w:rsidRDefault="00FC0EF9" w:rsidP="0038661B">
            <w:pPr>
              <w:rPr>
                <w:rFonts w:ascii="Times New Roman" w:hAnsi="Times New Roman" w:cs="Times New Roman"/>
                <w:sz w:val="24"/>
                <w:szCs w:val="24"/>
                <w:lang w:val="en-US"/>
              </w:rPr>
            </w:pPr>
            <w:r>
              <w:rPr>
                <w:rFonts w:ascii="Times New Roman" w:hAnsi="Times New Roman" w:cs="Times New Roman"/>
                <w:sz w:val="24"/>
                <w:szCs w:val="24"/>
                <w:lang w:val="en-US"/>
              </w:rPr>
              <w:t>Trade Openness</w:t>
            </w:r>
          </w:p>
        </w:tc>
        <w:tc>
          <w:tcPr>
            <w:tcW w:w="5910" w:type="dxa"/>
          </w:tcPr>
          <w:p w:rsidR="00FC0EF9" w:rsidRDefault="005A4874" w:rsidP="005A4874">
            <w:pPr>
              <w:rPr>
                <w:rFonts w:ascii="Times New Roman" w:hAnsi="Times New Roman" w:cs="Times New Roman"/>
                <w:sz w:val="24"/>
                <w:szCs w:val="24"/>
                <w:lang w:val="en-US"/>
              </w:rPr>
            </w:pPr>
            <w:r>
              <w:rPr>
                <w:rFonts w:ascii="Times New Roman" w:hAnsi="Times New Roman" w:cs="Times New Roman"/>
                <w:sz w:val="24"/>
                <w:szCs w:val="24"/>
                <w:lang w:val="en-US"/>
              </w:rPr>
              <w:t>(Exports plus Imports)</w:t>
            </w:r>
            <w:r w:rsidR="00FC0EF9">
              <w:rPr>
                <w:rFonts w:ascii="Times New Roman" w:hAnsi="Times New Roman" w:cs="Times New Roman"/>
                <w:sz w:val="24"/>
                <w:szCs w:val="24"/>
                <w:lang w:val="en-US"/>
              </w:rPr>
              <w:t>/GDP</w:t>
            </w:r>
          </w:p>
        </w:tc>
        <w:tc>
          <w:tcPr>
            <w:tcW w:w="1856" w:type="dxa"/>
          </w:tcPr>
          <w:p w:rsidR="00FC0EF9" w:rsidRDefault="00181423" w:rsidP="0038661B">
            <w:pPr>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785D79" w:rsidRDefault="00785D79" w:rsidP="006F035D">
      <w:pPr>
        <w:spacing w:after="0" w:line="360" w:lineRule="auto"/>
        <w:rPr>
          <w:rFonts w:ascii="Times New Roman" w:hAnsi="Times New Roman" w:cs="Times New Roman"/>
          <w:b/>
          <w:sz w:val="24"/>
          <w:szCs w:val="24"/>
          <w:lang w:val="en-US"/>
        </w:rPr>
      </w:pPr>
    </w:p>
    <w:p w:rsidR="00F935B2" w:rsidRDefault="00F935B2" w:rsidP="006F035D">
      <w:pPr>
        <w:spacing w:after="0" w:line="360" w:lineRule="auto"/>
        <w:rPr>
          <w:rFonts w:ascii="Times New Roman" w:hAnsi="Times New Roman" w:cs="Times New Roman"/>
          <w:b/>
          <w:sz w:val="24"/>
          <w:szCs w:val="24"/>
          <w:lang w:val="en-US"/>
        </w:rPr>
      </w:pPr>
    </w:p>
    <w:p w:rsidR="00C819C1" w:rsidRPr="00BC436F" w:rsidRDefault="00C819C1" w:rsidP="00084A3F">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Here we discuss </w:t>
      </w:r>
      <w:r w:rsidR="002B194A">
        <w:rPr>
          <w:rFonts w:ascii="Times New Roman" w:hAnsi="Times New Roman" w:cs="Times New Roman"/>
          <w:sz w:val="24"/>
          <w:szCs w:val="24"/>
          <w:lang w:val="en-GB"/>
        </w:rPr>
        <w:t xml:space="preserve">how </w:t>
      </w:r>
      <w:r>
        <w:rPr>
          <w:rFonts w:ascii="Times New Roman" w:hAnsi="Times New Roman" w:cs="Times New Roman"/>
          <w:sz w:val="24"/>
          <w:szCs w:val="24"/>
          <w:lang w:val="en-GB"/>
        </w:rPr>
        <w:t>our explanatory variables</w:t>
      </w:r>
      <w:r w:rsidR="002B194A">
        <w:rPr>
          <w:rFonts w:ascii="Times New Roman" w:hAnsi="Times New Roman" w:cs="Times New Roman"/>
          <w:sz w:val="24"/>
          <w:szCs w:val="24"/>
          <w:lang w:val="en-GB"/>
        </w:rPr>
        <w:t xml:space="preserve"> may be associated to non-financial </w:t>
      </w:r>
      <w:proofErr w:type="spellStart"/>
      <w:r w:rsidR="002B194A">
        <w:rPr>
          <w:rFonts w:ascii="Times New Roman" w:hAnsi="Times New Roman" w:cs="Times New Roman"/>
          <w:sz w:val="24"/>
          <w:szCs w:val="24"/>
          <w:lang w:val="en-GB"/>
        </w:rPr>
        <w:t>corporations</w:t>
      </w:r>
      <w:proofErr w:type="spellEnd"/>
      <w:r w:rsidR="002B194A">
        <w:rPr>
          <w:rFonts w:ascii="Times New Roman" w:hAnsi="Times New Roman" w:cs="Times New Roman"/>
          <w:sz w:val="24"/>
          <w:szCs w:val="24"/>
          <w:lang w:val="en-GB"/>
        </w:rPr>
        <w:t xml:space="preserve"> net lending/borrowing.</w:t>
      </w:r>
    </w:p>
    <w:p w:rsidR="00602B58" w:rsidRDefault="0059780C" w:rsidP="00602B58">
      <w:pPr>
        <w:pStyle w:val="Paragrafoelenco"/>
        <w:autoSpaceDE w:val="0"/>
        <w:autoSpaceDN w:val="0"/>
        <w:adjustRightInd w:val="0"/>
        <w:spacing w:after="0" w:line="360" w:lineRule="auto"/>
        <w:ind w:left="0"/>
        <w:jc w:val="both"/>
        <w:rPr>
          <w:rFonts w:ascii="Times New Roman" w:hAnsi="Times New Roman" w:cs="Times New Roman"/>
          <w:sz w:val="24"/>
          <w:szCs w:val="24"/>
          <w:lang w:val="en-GB"/>
        </w:rPr>
      </w:pPr>
      <w:r>
        <w:rPr>
          <w:rFonts w:ascii="Times New Roman" w:hAnsi="Times New Roman" w:cs="Times New Roman"/>
          <w:b/>
          <w:sz w:val="24"/>
          <w:szCs w:val="24"/>
          <w:lang w:val="en-GB"/>
        </w:rPr>
        <w:t>Output gap</w:t>
      </w:r>
      <w:r w:rsidR="00602B58" w:rsidRPr="00602B58">
        <w:rPr>
          <w:rFonts w:ascii="Times New Roman" w:hAnsi="Times New Roman" w:cs="Times New Roman"/>
          <w:b/>
          <w:sz w:val="24"/>
          <w:szCs w:val="24"/>
          <w:lang w:val="en-GB"/>
        </w:rPr>
        <w:t>.</w:t>
      </w:r>
      <w:r w:rsidR="00602B58" w:rsidRPr="000C67F4">
        <w:rPr>
          <w:rFonts w:ascii="Times New Roman" w:hAnsi="Times New Roman" w:cs="Times New Roman"/>
          <w:sz w:val="24"/>
          <w:szCs w:val="24"/>
          <w:lang w:val="en-GB"/>
        </w:rPr>
        <w:t xml:space="preserve"> A</w:t>
      </w:r>
      <w:r>
        <w:rPr>
          <w:rFonts w:ascii="Times New Roman" w:hAnsi="Times New Roman" w:cs="Times New Roman"/>
          <w:sz w:val="24"/>
          <w:szCs w:val="24"/>
          <w:lang w:val="en-GB"/>
        </w:rPr>
        <w:t xml:space="preserve">n expansionary phase of the </w:t>
      </w:r>
      <w:r w:rsidR="00602B58" w:rsidRPr="000C67F4">
        <w:rPr>
          <w:rFonts w:ascii="Times New Roman" w:hAnsi="Times New Roman" w:cs="Times New Roman"/>
          <w:sz w:val="24"/>
          <w:szCs w:val="24"/>
          <w:lang w:val="en-GB"/>
        </w:rPr>
        <w:t>business cycle</w:t>
      </w:r>
      <w:r w:rsidR="00C819C1">
        <w:rPr>
          <w:rFonts w:ascii="Times New Roman" w:hAnsi="Times New Roman" w:cs="Times New Roman"/>
          <w:sz w:val="24"/>
          <w:szCs w:val="24"/>
          <w:lang w:val="en-GB"/>
        </w:rPr>
        <w:t xml:space="preserve">, </w:t>
      </w:r>
      <w:r w:rsidR="00602B58" w:rsidRPr="000C67F4">
        <w:rPr>
          <w:rFonts w:ascii="Times New Roman" w:hAnsi="Times New Roman" w:cs="Times New Roman"/>
          <w:sz w:val="24"/>
          <w:szCs w:val="24"/>
          <w:lang w:val="en-GB"/>
        </w:rPr>
        <w:t xml:space="preserve">measured </w:t>
      </w:r>
      <w:r w:rsidR="00C819C1">
        <w:rPr>
          <w:rFonts w:ascii="Times New Roman" w:hAnsi="Times New Roman" w:cs="Times New Roman"/>
          <w:sz w:val="24"/>
          <w:szCs w:val="24"/>
          <w:lang w:val="en-GB"/>
        </w:rPr>
        <w:t xml:space="preserve">by </w:t>
      </w:r>
      <w:r>
        <w:rPr>
          <w:rFonts w:ascii="Times New Roman" w:hAnsi="Times New Roman" w:cs="Times New Roman"/>
          <w:sz w:val="24"/>
          <w:szCs w:val="24"/>
          <w:lang w:val="en-GB"/>
        </w:rPr>
        <w:t xml:space="preserve">a positive </w:t>
      </w:r>
      <w:r w:rsidR="00602B58" w:rsidRPr="000C67F4">
        <w:rPr>
          <w:rFonts w:ascii="Times New Roman" w:hAnsi="Times New Roman" w:cs="Times New Roman"/>
          <w:sz w:val="24"/>
          <w:szCs w:val="24"/>
          <w:lang w:val="en-GB"/>
        </w:rPr>
        <w:t>output gap</w:t>
      </w:r>
      <w:r w:rsidR="00C819C1">
        <w:rPr>
          <w:rFonts w:ascii="Times New Roman" w:hAnsi="Times New Roman" w:cs="Times New Roman"/>
          <w:sz w:val="24"/>
          <w:szCs w:val="24"/>
          <w:lang w:val="en-GB"/>
        </w:rPr>
        <w:t xml:space="preserve">, corresponds to </w:t>
      </w:r>
      <w:r>
        <w:rPr>
          <w:rFonts w:ascii="Times New Roman" w:hAnsi="Times New Roman" w:cs="Times New Roman"/>
          <w:sz w:val="24"/>
          <w:szCs w:val="24"/>
          <w:lang w:val="en-GB"/>
        </w:rPr>
        <w:t xml:space="preserve">a </w:t>
      </w:r>
      <w:r w:rsidR="00C819C1">
        <w:rPr>
          <w:rFonts w:ascii="Times New Roman" w:hAnsi="Times New Roman" w:cs="Times New Roman"/>
          <w:sz w:val="24"/>
          <w:szCs w:val="24"/>
          <w:lang w:val="en-GB"/>
        </w:rPr>
        <w:t>higher effective demand</w:t>
      </w:r>
      <w:r>
        <w:rPr>
          <w:rFonts w:ascii="Times New Roman" w:hAnsi="Times New Roman" w:cs="Times New Roman"/>
          <w:sz w:val="24"/>
          <w:szCs w:val="24"/>
          <w:lang w:val="en-GB"/>
        </w:rPr>
        <w:t xml:space="preserve">. </w:t>
      </w:r>
      <w:r w:rsidR="00800128">
        <w:rPr>
          <w:rFonts w:ascii="Times New Roman" w:hAnsi="Times New Roman" w:cs="Times New Roman"/>
          <w:sz w:val="24"/>
          <w:szCs w:val="24"/>
          <w:lang w:val="en-GB"/>
        </w:rPr>
        <w:t xml:space="preserve">The increase in demand will induce firms to invest thus </w:t>
      </w:r>
      <w:r w:rsidR="004677C6">
        <w:rPr>
          <w:rFonts w:ascii="Times New Roman" w:hAnsi="Times New Roman" w:cs="Times New Roman"/>
          <w:sz w:val="24"/>
          <w:szCs w:val="24"/>
          <w:lang w:val="en-GB"/>
        </w:rPr>
        <w:t>lowering the</w:t>
      </w:r>
      <w:r w:rsidR="00C819C1">
        <w:rPr>
          <w:rFonts w:ascii="Times New Roman" w:hAnsi="Times New Roman" w:cs="Times New Roman"/>
          <w:sz w:val="24"/>
          <w:szCs w:val="24"/>
          <w:lang w:val="en-GB"/>
        </w:rPr>
        <w:t xml:space="preserve">ir surpluses or increasing their net borrowing. </w:t>
      </w:r>
      <w:r>
        <w:rPr>
          <w:rFonts w:ascii="Times New Roman" w:hAnsi="Times New Roman" w:cs="Times New Roman"/>
          <w:sz w:val="24"/>
          <w:szCs w:val="24"/>
          <w:lang w:val="en-GB"/>
        </w:rPr>
        <w:t xml:space="preserve">The output gap </w:t>
      </w:r>
      <w:r w:rsidR="00602B58" w:rsidRPr="000C67F4">
        <w:rPr>
          <w:rFonts w:ascii="Times New Roman" w:hAnsi="Times New Roman" w:cs="Times New Roman"/>
          <w:sz w:val="24"/>
          <w:szCs w:val="24"/>
          <w:lang w:val="en-GB"/>
        </w:rPr>
        <w:t>should also catch the impact of financial crises</w:t>
      </w:r>
      <w:r>
        <w:rPr>
          <w:rFonts w:ascii="Times New Roman" w:hAnsi="Times New Roman" w:cs="Times New Roman"/>
          <w:sz w:val="24"/>
          <w:szCs w:val="24"/>
          <w:lang w:val="en-GB"/>
        </w:rPr>
        <w:t xml:space="preserve">. </w:t>
      </w:r>
    </w:p>
    <w:p w:rsidR="00EC5554" w:rsidRDefault="00FC0E85" w:rsidP="00602B58">
      <w:pPr>
        <w:pStyle w:val="Paragrafoelenco"/>
        <w:autoSpaceDE w:val="0"/>
        <w:autoSpaceDN w:val="0"/>
        <w:adjustRightInd w:val="0"/>
        <w:spacing w:after="0" w:line="360" w:lineRule="auto"/>
        <w:ind w:left="0"/>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Net </w:t>
      </w:r>
      <w:r w:rsidR="00EC5554" w:rsidRPr="00EC5554">
        <w:rPr>
          <w:rFonts w:ascii="Times New Roman" w:hAnsi="Times New Roman" w:cs="Times New Roman"/>
          <w:b/>
          <w:sz w:val="24"/>
          <w:szCs w:val="24"/>
          <w:lang w:val="en-GB"/>
        </w:rPr>
        <w:t>FDI to GDP</w:t>
      </w:r>
      <w:r>
        <w:rPr>
          <w:rFonts w:ascii="Times New Roman" w:hAnsi="Times New Roman" w:cs="Times New Roman"/>
          <w:b/>
          <w:sz w:val="24"/>
          <w:szCs w:val="24"/>
          <w:lang w:val="en-GB"/>
        </w:rPr>
        <w:t xml:space="preserve"> ratio</w:t>
      </w:r>
      <w:r w:rsidR="00EC555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This variable measures for each country the difference between outward foreign direct investments minus inward foreign direct investments. </w:t>
      </w:r>
      <w:r w:rsidR="00723A44">
        <w:rPr>
          <w:rFonts w:ascii="Times New Roman" w:hAnsi="Times New Roman" w:cs="Times New Roman"/>
          <w:sz w:val="24"/>
          <w:szCs w:val="24"/>
          <w:lang w:val="en-GB"/>
        </w:rPr>
        <w:t>As discussed in the introduction</w:t>
      </w:r>
      <w:r w:rsidR="00021F4D">
        <w:rPr>
          <w:rFonts w:ascii="Times New Roman" w:hAnsi="Times New Roman" w:cs="Times New Roman"/>
          <w:sz w:val="24"/>
          <w:szCs w:val="24"/>
          <w:lang w:val="en-GB"/>
        </w:rPr>
        <w:t xml:space="preserve"> and in paragraph 2</w:t>
      </w:r>
      <w:r w:rsidR="00723A44">
        <w:rPr>
          <w:rFonts w:ascii="Times New Roman" w:hAnsi="Times New Roman" w:cs="Times New Roman"/>
          <w:sz w:val="24"/>
          <w:szCs w:val="24"/>
          <w:lang w:val="en-GB"/>
        </w:rPr>
        <w:t>, a</w:t>
      </w:r>
      <w:r>
        <w:rPr>
          <w:rFonts w:ascii="Times New Roman" w:hAnsi="Times New Roman" w:cs="Times New Roman"/>
          <w:sz w:val="24"/>
          <w:szCs w:val="24"/>
          <w:lang w:val="en-GB"/>
        </w:rPr>
        <w:t xml:space="preserve"> positive value of net FDI</w:t>
      </w:r>
      <w:r w:rsidR="00021F4D">
        <w:rPr>
          <w:rFonts w:ascii="Times New Roman" w:hAnsi="Times New Roman" w:cs="Times New Roman"/>
          <w:sz w:val="24"/>
          <w:szCs w:val="24"/>
          <w:lang w:val="en-GB"/>
        </w:rPr>
        <w:t>s</w:t>
      </w:r>
      <w:r>
        <w:rPr>
          <w:rFonts w:ascii="Times New Roman" w:hAnsi="Times New Roman" w:cs="Times New Roman"/>
          <w:sz w:val="24"/>
          <w:szCs w:val="24"/>
          <w:lang w:val="en-GB"/>
        </w:rPr>
        <w:t xml:space="preserve"> should be associated to greater net lending</w:t>
      </w:r>
      <w:r w:rsidR="00021F4D">
        <w:rPr>
          <w:rFonts w:ascii="Times New Roman" w:hAnsi="Times New Roman" w:cs="Times New Roman"/>
          <w:sz w:val="24"/>
          <w:szCs w:val="24"/>
          <w:lang w:val="en-GB"/>
        </w:rPr>
        <w:t xml:space="preserve"> by firms</w:t>
      </w:r>
      <w:r w:rsidR="004241FB">
        <w:rPr>
          <w:rFonts w:ascii="Times New Roman" w:hAnsi="Times New Roman" w:cs="Times New Roman"/>
          <w:sz w:val="24"/>
          <w:szCs w:val="24"/>
          <w:lang w:val="en-GB"/>
        </w:rPr>
        <w:t xml:space="preserve">. </w:t>
      </w:r>
    </w:p>
    <w:p w:rsidR="00A97B04" w:rsidRDefault="00A97B04" w:rsidP="00602B58">
      <w:pPr>
        <w:pStyle w:val="Paragrafoelenco"/>
        <w:autoSpaceDE w:val="0"/>
        <w:autoSpaceDN w:val="0"/>
        <w:adjustRightInd w:val="0"/>
        <w:spacing w:after="0" w:line="360" w:lineRule="auto"/>
        <w:ind w:left="0"/>
        <w:jc w:val="both"/>
        <w:rPr>
          <w:rFonts w:ascii="Times New Roman" w:hAnsi="Times New Roman" w:cs="Times New Roman"/>
          <w:sz w:val="24"/>
          <w:szCs w:val="24"/>
          <w:lang w:val="en-GB"/>
        </w:rPr>
      </w:pPr>
      <w:r>
        <w:rPr>
          <w:rFonts w:ascii="Times New Roman" w:hAnsi="Times New Roman" w:cs="Times New Roman"/>
          <w:b/>
          <w:sz w:val="24"/>
          <w:szCs w:val="24"/>
          <w:lang w:val="en-US"/>
        </w:rPr>
        <w:t>Investment</w:t>
      </w:r>
      <w:r w:rsidRPr="003851AA">
        <w:rPr>
          <w:rFonts w:ascii="Times New Roman" w:hAnsi="Times New Roman" w:cs="Times New Roman"/>
          <w:b/>
          <w:sz w:val="24"/>
          <w:szCs w:val="24"/>
          <w:lang w:val="en-US"/>
        </w:rPr>
        <w:t xml:space="preserve"> to GDP</w:t>
      </w:r>
      <w:r w:rsidR="0059780C">
        <w:rPr>
          <w:rFonts w:ascii="Times New Roman" w:hAnsi="Times New Roman" w:cs="Times New Roman"/>
          <w:b/>
          <w:sz w:val="24"/>
          <w:szCs w:val="24"/>
          <w:lang w:val="en-US"/>
        </w:rPr>
        <w:t xml:space="preserve"> ratio</w:t>
      </w:r>
      <w:r w:rsidR="0059780C" w:rsidRPr="00EC5554">
        <w:rPr>
          <w:rFonts w:ascii="Times New Roman" w:hAnsi="Times New Roman" w:cs="Times New Roman"/>
          <w:sz w:val="24"/>
          <w:szCs w:val="24"/>
          <w:lang w:val="en-US"/>
        </w:rPr>
        <w:t>.</w:t>
      </w:r>
      <w:r w:rsidR="00EC5554" w:rsidRPr="00EC5554">
        <w:rPr>
          <w:rFonts w:ascii="Times New Roman" w:hAnsi="Times New Roman" w:cs="Times New Roman"/>
          <w:sz w:val="24"/>
          <w:szCs w:val="24"/>
          <w:lang w:val="en-US"/>
        </w:rPr>
        <w:t xml:space="preserve"> As in the case of the output gap, a greater investment/GDP ratio should lower net lending and increase net borrowing by firms.</w:t>
      </w:r>
    </w:p>
    <w:p w:rsidR="00EC5554" w:rsidRDefault="00495FCD" w:rsidP="00431160">
      <w:pPr>
        <w:pStyle w:val="Paragrafoelenco"/>
        <w:autoSpaceDE w:val="0"/>
        <w:autoSpaceDN w:val="0"/>
        <w:adjustRightInd w:val="0"/>
        <w:spacing w:after="0" w:line="360" w:lineRule="auto"/>
        <w:ind w:left="0"/>
        <w:jc w:val="both"/>
        <w:rPr>
          <w:rFonts w:ascii="Times New Roman" w:hAnsi="Times New Roman" w:cs="Times New Roman"/>
          <w:b/>
          <w:sz w:val="24"/>
          <w:szCs w:val="24"/>
          <w:lang w:val="en-US"/>
        </w:rPr>
      </w:pPr>
      <w:r w:rsidRPr="003851AA">
        <w:rPr>
          <w:rFonts w:ascii="Times New Roman" w:hAnsi="Times New Roman" w:cs="Times New Roman"/>
          <w:b/>
          <w:sz w:val="24"/>
          <w:szCs w:val="24"/>
          <w:lang w:val="en-US"/>
        </w:rPr>
        <w:t>Consumption to GDP</w:t>
      </w:r>
      <w:r w:rsidR="00FC0E85">
        <w:rPr>
          <w:rFonts w:ascii="Times New Roman" w:hAnsi="Times New Roman" w:cs="Times New Roman"/>
          <w:b/>
          <w:sz w:val="24"/>
          <w:szCs w:val="24"/>
          <w:lang w:val="en-US"/>
        </w:rPr>
        <w:t xml:space="preserve"> ratio</w:t>
      </w:r>
      <w:r w:rsidR="00EC5554" w:rsidRPr="00021F4D">
        <w:rPr>
          <w:rFonts w:ascii="Times New Roman" w:hAnsi="Times New Roman" w:cs="Times New Roman"/>
          <w:sz w:val="24"/>
          <w:szCs w:val="24"/>
          <w:lang w:val="en-US"/>
        </w:rPr>
        <w:t xml:space="preserve">. </w:t>
      </w:r>
      <w:r w:rsidR="00021F4D" w:rsidRPr="00021F4D">
        <w:rPr>
          <w:rFonts w:ascii="Times New Roman" w:hAnsi="Times New Roman" w:cs="Times New Roman"/>
          <w:sz w:val="24"/>
          <w:szCs w:val="24"/>
          <w:lang w:val="en-US"/>
        </w:rPr>
        <w:t>Similarly to investment, a</w:t>
      </w:r>
      <w:r w:rsidR="00EC5554" w:rsidRPr="00FC0E85">
        <w:rPr>
          <w:rFonts w:ascii="Times New Roman" w:hAnsi="Times New Roman" w:cs="Times New Roman"/>
          <w:sz w:val="24"/>
          <w:szCs w:val="24"/>
          <w:lang w:val="en-US"/>
        </w:rPr>
        <w:t xml:space="preserve"> greater consumption/GDP ratio should lower</w:t>
      </w:r>
      <w:r w:rsidR="00EC5554" w:rsidRPr="00EC5554">
        <w:rPr>
          <w:rFonts w:ascii="Times New Roman" w:hAnsi="Times New Roman" w:cs="Times New Roman"/>
          <w:sz w:val="24"/>
          <w:szCs w:val="24"/>
          <w:lang w:val="en-US"/>
        </w:rPr>
        <w:t xml:space="preserve"> net lending and increase net borrowing by firms.</w:t>
      </w:r>
      <w:r w:rsidR="00E653E0" w:rsidRPr="003851AA">
        <w:rPr>
          <w:rFonts w:ascii="Times New Roman" w:hAnsi="Times New Roman" w:cs="Times New Roman"/>
          <w:b/>
          <w:sz w:val="24"/>
          <w:szCs w:val="24"/>
          <w:lang w:val="en-US"/>
        </w:rPr>
        <w:t xml:space="preserve"> </w:t>
      </w:r>
    </w:p>
    <w:p w:rsidR="00FC0E85" w:rsidRDefault="00FC0E85" w:rsidP="00FC0E85">
      <w:pPr>
        <w:pStyle w:val="Paragrafoelenco"/>
        <w:autoSpaceDE w:val="0"/>
        <w:autoSpaceDN w:val="0"/>
        <w:adjustRightInd w:val="0"/>
        <w:spacing w:after="0" w:line="360" w:lineRule="auto"/>
        <w:ind w:left="0"/>
        <w:jc w:val="both"/>
        <w:rPr>
          <w:rFonts w:ascii="Times New Roman" w:hAnsi="Times New Roman" w:cs="Times New Roman"/>
          <w:sz w:val="24"/>
          <w:szCs w:val="24"/>
          <w:lang w:val="en-GB"/>
        </w:rPr>
      </w:pPr>
      <w:r w:rsidRPr="009D3FF2">
        <w:rPr>
          <w:rFonts w:ascii="Times New Roman" w:hAnsi="Times New Roman" w:cs="Times New Roman"/>
          <w:b/>
          <w:sz w:val="24"/>
          <w:szCs w:val="24"/>
          <w:lang w:val="en-GB"/>
        </w:rPr>
        <w:t>Real oil price</w:t>
      </w:r>
      <w:r w:rsidRPr="00C819C1">
        <w:rPr>
          <w:rFonts w:ascii="Times New Roman" w:hAnsi="Times New Roman" w:cs="Times New Roman"/>
          <w:b/>
          <w:sz w:val="24"/>
          <w:szCs w:val="24"/>
          <w:lang w:val="en-GB"/>
        </w:rPr>
        <w:t xml:space="preserve"> in US dollars</w:t>
      </w:r>
      <w:r w:rsidRPr="000C67F4">
        <w:rPr>
          <w:rFonts w:ascii="Times New Roman" w:hAnsi="Times New Roman" w:cs="Times New Roman"/>
          <w:sz w:val="24"/>
          <w:szCs w:val="24"/>
          <w:lang w:val="en-GB"/>
        </w:rPr>
        <w:t xml:space="preserve">. This </w:t>
      </w:r>
      <w:r w:rsidR="00DE649C">
        <w:rPr>
          <w:rFonts w:ascii="Times New Roman" w:hAnsi="Times New Roman" w:cs="Times New Roman"/>
          <w:sz w:val="24"/>
          <w:szCs w:val="24"/>
          <w:lang w:val="en-GB"/>
        </w:rPr>
        <w:t xml:space="preserve">control variable </w:t>
      </w:r>
      <w:r w:rsidRPr="000C67F4">
        <w:rPr>
          <w:rFonts w:ascii="Times New Roman" w:hAnsi="Times New Roman" w:cs="Times New Roman"/>
          <w:sz w:val="24"/>
          <w:szCs w:val="24"/>
          <w:lang w:val="en-GB"/>
        </w:rPr>
        <w:t>accounts for the influence of oil price</w:t>
      </w:r>
      <w:r>
        <w:rPr>
          <w:rFonts w:ascii="Times New Roman" w:hAnsi="Times New Roman" w:cs="Times New Roman"/>
          <w:sz w:val="24"/>
          <w:szCs w:val="24"/>
          <w:lang w:val="en-GB"/>
        </w:rPr>
        <w:t>s</w:t>
      </w:r>
      <w:r w:rsidRPr="000C67F4">
        <w:rPr>
          <w:rFonts w:ascii="Times New Roman" w:hAnsi="Times New Roman" w:cs="Times New Roman"/>
          <w:sz w:val="24"/>
          <w:szCs w:val="24"/>
          <w:lang w:val="en-GB"/>
        </w:rPr>
        <w:t xml:space="preserve"> on </w:t>
      </w:r>
      <w:r>
        <w:rPr>
          <w:rFonts w:ascii="Times New Roman" w:hAnsi="Times New Roman" w:cs="Times New Roman"/>
          <w:sz w:val="24"/>
          <w:szCs w:val="24"/>
          <w:lang w:val="en-GB"/>
        </w:rPr>
        <w:t>corporate</w:t>
      </w:r>
      <w:r w:rsidRPr="000C67F4">
        <w:rPr>
          <w:rFonts w:ascii="Times New Roman" w:hAnsi="Times New Roman" w:cs="Times New Roman"/>
          <w:sz w:val="24"/>
          <w:szCs w:val="24"/>
          <w:lang w:val="en-GB"/>
        </w:rPr>
        <w:t xml:space="preserve"> </w:t>
      </w:r>
      <w:r>
        <w:rPr>
          <w:rFonts w:ascii="Times New Roman" w:hAnsi="Times New Roman" w:cs="Times New Roman"/>
          <w:sz w:val="24"/>
          <w:szCs w:val="24"/>
          <w:lang w:val="en-GB"/>
        </w:rPr>
        <w:t>net lending and surplus.</w:t>
      </w:r>
      <w:r w:rsidR="00DE649C">
        <w:rPr>
          <w:rFonts w:ascii="Times New Roman" w:hAnsi="Times New Roman" w:cs="Times New Roman"/>
          <w:sz w:val="24"/>
          <w:szCs w:val="24"/>
          <w:lang w:val="en-GB"/>
        </w:rPr>
        <w:t xml:space="preserve"> The indicator is a proxy for supply shocks.</w:t>
      </w:r>
    </w:p>
    <w:p w:rsidR="00723A44" w:rsidRDefault="003F5888" w:rsidP="00FC0E85">
      <w:pPr>
        <w:pStyle w:val="Paragrafoelenco"/>
        <w:autoSpaceDE w:val="0"/>
        <w:autoSpaceDN w:val="0"/>
        <w:adjustRightInd w:val="0"/>
        <w:spacing w:after="0" w:line="360" w:lineRule="auto"/>
        <w:ind w:left="0"/>
        <w:jc w:val="both"/>
        <w:rPr>
          <w:rFonts w:ascii="Times New Roman" w:hAnsi="Times New Roman" w:cs="Times New Roman"/>
          <w:sz w:val="24"/>
          <w:szCs w:val="24"/>
          <w:lang w:val="en-GB"/>
        </w:rPr>
      </w:pPr>
      <w:r w:rsidRPr="003F5888">
        <w:rPr>
          <w:rFonts w:ascii="Times New Roman" w:hAnsi="Times New Roman" w:cs="Times New Roman"/>
          <w:b/>
          <w:sz w:val="24"/>
          <w:szCs w:val="24"/>
          <w:lang w:val="en-GB"/>
        </w:rPr>
        <w:t>Interest rate spread</w:t>
      </w:r>
      <w:r>
        <w:rPr>
          <w:rFonts w:ascii="Times New Roman" w:hAnsi="Times New Roman" w:cs="Times New Roman"/>
          <w:sz w:val="24"/>
          <w:szCs w:val="24"/>
          <w:lang w:val="en-GB"/>
        </w:rPr>
        <w:t>.</w:t>
      </w:r>
      <w:r w:rsidRPr="003F5888">
        <w:rPr>
          <w:rFonts w:ascii="Times New Roman" w:hAnsi="Times New Roman" w:cs="Times New Roman"/>
          <w:sz w:val="24"/>
          <w:szCs w:val="24"/>
          <w:lang w:val="en-GB"/>
        </w:rPr>
        <w:t xml:space="preserve"> This indicator is given by the difference between long term and short term interest rates on deposits. It accounts for a possible role of financial markets returns </w:t>
      </w:r>
      <w:r w:rsidR="001A36EB">
        <w:rPr>
          <w:rFonts w:ascii="Times New Roman" w:hAnsi="Times New Roman" w:cs="Times New Roman"/>
          <w:sz w:val="24"/>
          <w:szCs w:val="24"/>
          <w:lang w:val="en-GB"/>
        </w:rPr>
        <w:t>on</w:t>
      </w:r>
      <w:r w:rsidRPr="003F5888">
        <w:rPr>
          <w:rFonts w:ascii="Times New Roman" w:hAnsi="Times New Roman" w:cs="Times New Roman"/>
          <w:sz w:val="24"/>
          <w:szCs w:val="24"/>
          <w:lang w:val="en-GB"/>
        </w:rPr>
        <w:t xml:space="preserve"> firms</w:t>
      </w:r>
      <w:r w:rsidR="001A36EB">
        <w:rPr>
          <w:rFonts w:ascii="Times New Roman" w:hAnsi="Times New Roman" w:cs="Times New Roman"/>
          <w:sz w:val="24"/>
          <w:szCs w:val="24"/>
          <w:lang w:val="en-GB"/>
        </w:rPr>
        <w:t>’</w:t>
      </w:r>
      <w:r w:rsidRPr="003F5888">
        <w:rPr>
          <w:rFonts w:ascii="Times New Roman" w:hAnsi="Times New Roman" w:cs="Times New Roman"/>
          <w:sz w:val="24"/>
          <w:szCs w:val="24"/>
          <w:lang w:val="en-GB"/>
        </w:rPr>
        <w:t xml:space="preserve"> financing choices.</w:t>
      </w:r>
    </w:p>
    <w:p w:rsidR="0054650B" w:rsidRPr="000C67F4" w:rsidRDefault="0054650B" w:rsidP="00FC0E85">
      <w:pPr>
        <w:pStyle w:val="Paragrafoelenco"/>
        <w:autoSpaceDE w:val="0"/>
        <w:autoSpaceDN w:val="0"/>
        <w:adjustRightInd w:val="0"/>
        <w:spacing w:after="0" w:line="360" w:lineRule="auto"/>
        <w:ind w:left="0"/>
        <w:jc w:val="both"/>
        <w:rPr>
          <w:rFonts w:ascii="Times New Roman" w:hAnsi="Times New Roman" w:cs="Times New Roman"/>
          <w:sz w:val="24"/>
          <w:szCs w:val="24"/>
          <w:lang w:val="en-GB"/>
        </w:rPr>
      </w:pPr>
      <w:r w:rsidRPr="0054650B">
        <w:rPr>
          <w:rFonts w:ascii="Times New Roman" w:hAnsi="Times New Roman" w:cs="Times New Roman"/>
          <w:b/>
          <w:sz w:val="24"/>
          <w:szCs w:val="24"/>
          <w:lang w:val="en-GB"/>
        </w:rPr>
        <w:t>Leverage</w:t>
      </w:r>
      <w:r>
        <w:rPr>
          <w:rFonts w:ascii="Times New Roman" w:hAnsi="Times New Roman" w:cs="Times New Roman"/>
          <w:sz w:val="24"/>
          <w:szCs w:val="24"/>
          <w:lang w:val="en-GB"/>
        </w:rPr>
        <w:t xml:space="preserve">. </w:t>
      </w:r>
      <w:r w:rsidR="00571E25">
        <w:rPr>
          <w:rFonts w:ascii="Times New Roman" w:hAnsi="Times New Roman" w:cs="Times New Roman"/>
          <w:sz w:val="24"/>
          <w:szCs w:val="24"/>
          <w:lang w:val="en-GB"/>
        </w:rPr>
        <w:t xml:space="preserve">This variable might influence non-financial corporations’ net borrowing/lending but its sign is not easy to determine </w:t>
      </w:r>
      <w:r w:rsidR="00571E25" w:rsidRPr="00571E25">
        <w:rPr>
          <w:rFonts w:ascii="Times New Roman" w:hAnsi="Times New Roman" w:cs="Times New Roman"/>
          <w:i/>
          <w:sz w:val="24"/>
          <w:szCs w:val="24"/>
          <w:lang w:val="en-GB"/>
        </w:rPr>
        <w:t>a prior</w:t>
      </w:r>
      <w:r w:rsidR="00571E25" w:rsidRPr="00571E25">
        <w:rPr>
          <w:rFonts w:ascii="Times New Roman" w:hAnsi="Times New Roman" w:cs="Times New Roman"/>
          <w:sz w:val="24"/>
          <w:szCs w:val="24"/>
          <w:lang w:val="en-GB"/>
        </w:rPr>
        <w:t>i.</w:t>
      </w:r>
    </w:p>
    <w:p w:rsidR="00A00788" w:rsidRDefault="00A00788" w:rsidP="00431160">
      <w:pPr>
        <w:pStyle w:val="Paragrafoelenco"/>
        <w:autoSpaceDE w:val="0"/>
        <w:autoSpaceDN w:val="0"/>
        <w:adjustRightInd w:val="0"/>
        <w:spacing w:after="0" w:line="360" w:lineRule="auto"/>
        <w:ind w:left="0"/>
        <w:jc w:val="both"/>
        <w:rPr>
          <w:rFonts w:ascii="Times New Roman" w:hAnsi="Times New Roman" w:cs="Times New Roman"/>
          <w:b/>
          <w:iCs/>
          <w:sz w:val="24"/>
          <w:szCs w:val="24"/>
          <w:lang w:val="en-GB"/>
        </w:rPr>
      </w:pPr>
      <w:r>
        <w:rPr>
          <w:rFonts w:ascii="Times New Roman" w:hAnsi="Times New Roman" w:cs="Times New Roman"/>
          <w:b/>
          <w:iCs/>
          <w:sz w:val="24"/>
          <w:szCs w:val="24"/>
          <w:lang w:val="en-GB"/>
        </w:rPr>
        <w:t>Financial openness</w:t>
      </w:r>
      <w:r w:rsidRPr="00A00788">
        <w:rPr>
          <w:rFonts w:ascii="Times New Roman" w:hAnsi="Times New Roman" w:cs="Times New Roman"/>
          <w:sz w:val="24"/>
          <w:szCs w:val="24"/>
          <w:lang w:val="en-GB"/>
        </w:rPr>
        <w:t xml:space="preserve"> </w:t>
      </w:r>
      <w:r w:rsidRPr="000C67F4">
        <w:rPr>
          <w:rFonts w:ascii="Times New Roman" w:hAnsi="Times New Roman" w:cs="Times New Roman"/>
          <w:sz w:val="24"/>
          <w:szCs w:val="24"/>
          <w:lang w:val="en-GB"/>
        </w:rPr>
        <w:t xml:space="preserve">The index is </w:t>
      </w:r>
      <w:r w:rsidR="0049410D">
        <w:rPr>
          <w:rFonts w:ascii="Times New Roman" w:hAnsi="Times New Roman" w:cs="Times New Roman"/>
          <w:sz w:val="24"/>
          <w:szCs w:val="24"/>
          <w:lang w:val="en-GB"/>
        </w:rPr>
        <w:t>t</w:t>
      </w:r>
      <w:r w:rsidRPr="000C67F4">
        <w:rPr>
          <w:rFonts w:ascii="Times New Roman" w:hAnsi="Times New Roman" w:cs="Times New Roman"/>
          <w:sz w:val="24"/>
          <w:szCs w:val="24"/>
          <w:lang w:val="en-GB"/>
        </w:rPr>
        <w:t xml:space="preserve">he sum </w:t>
      </w:r>
      <w:r w:rsidR="003F5888">
        <w:rPr>
          <w:rFonts w:ascii="Times New Roman" w:hAnsi="Times New Roman" w:cs="Times New Roman"/>
          <w:sz w:val="24"/>
          <w:szCs w:val="24"/>
          <w:lang w:val="en-GB"/>
        </w:rPr>
        <w:t xml:space="preserve">of </w:t>
      </w:r>
      <w:r w:rsidR="0049410D">
        <w:rPr>
          <w:rFonts w:ascii="Times New Roman" w:hAnsi="Times New Roman" w:cs="Times New Roman"/>
          <w:sz w:val="24"/>
          <w:szCs w:val="24"/>
          <w:lang w:val="en-GB"/>
        </w:rPr>
        <w:t xml:space="preserve">foreign </w:t>
      </w:r>
      <w:r w:rsidRPr="000C67F4">
        <w:rPr>
          <w:rFonts w:ascii="Times New Roman" w:hAnsi="Times New Roman" w:cs="Times New Roman"/>
          <w:sz w:val="24"/>
          <w:szCs w:val="24"/>
          <w:lang w:val="en-GB"/>
        </w:rPr>
        <w:t xml:space="preserve">financial assets plus </w:t>
      </w:r>
      <w:r w:rsidR="0049410D">
        <w:rPr>
          <w:rFonts w:ascii="Times New Roman" w:hAnsi="Times New Roman" w:cs="Times New Roman"/>
          <w:sz w:val="24"/>
          <w:szCs w:val="24"/>
          <w:lang w:val="en-GB"/>
        </w:rPr>
        <w:t xml:space="preserve">foreign financial </w:t>
      </w:r>
      <w:r w:rsidRPr="000C67F4">
        <w:rPr>
          <w:rFonts w:ascii="Times New Roman" w:hAnsi="Times New Roman" w:cs="Times New Roman"/>
          <w:sz w:val="24"/>
          <w:szCs w:val="24"/>
          <w:lang w:val="en-GB"/>
        </w:rPr>
        <w:t xml:space="preserve">liabilities </w:t>
      </w:r>
      <w:r w:rsidR="0049410D">
        <w:rPr>
          <w:rFonts w:ascii="Times New Roman" w:hAnsi="Times New Roman" w:cs="Times New Roman"/>
          <w:sz w:val="24"/>
          <w:szCs w:val="24"/>
          <w:lang w:val="en-GB"/>
        </w:rPr>
        <w:t xml:space="preserve">as a ratio of </w:t>
      </w:r>
      <w:r w:rsidRPr="000C67F4">
        <w:rPr>
          <w:rFonts w:ascii="Times New Roman" w:hAnsi="Times New Roman" w:cs="Times New Roman"/>
          <w:sz w:val="24"/>
          <w:szCs w:val="24"/>
          <w:lang w:val="en-GB"/>
        </w:rPr>
        <w:t>GDP</w:t>
      </w:r>
      <w:r w:rsidR="0049410D">
        <w:rPr>
          <w:rFonts w:ascii="Times New Roman" w:hAnsi="Times New Roman" w:cs="Times New Roman"/>
          <w:sz w:val="24"/>
          <w:szCs w:val="24"/>
          <w:lang w:val="en-GB"/>
        </w:rPr>
        <w:t xml:space="preserve">. We do not have </w:t>
      </w:r>
      <w:r w:rsidR="00EF42A8">
        <w:rPr>
          <w:rFonts w:ascii="Times New Roman" w:hAnsi="Times New Roman" w:cs="Times New Roman"/>
          <w:sz w:val="24"/>
          <w:szCs w:val="24"/>
          <w:lang w:val="en-GB"/>
        </w:rPr>
        <w:t xml:space="preserve">a </w:t>
      </w:r>
      <w:r w:rsidR="0049410D">
        <w:rPr>
          <w:rFonts w:ascii="Times New Roman" w:hAnsi="Times New Roman" w:cs="Times New Roman"/>
          <w:sz w:val="24"/>
          <w:szCs w:val="24"/>
          <w:lang w:val="en-GB"/>
        </w:rPr>
        <w:t xml:space="preserve">strong </w:t>
      </w:r>
      <w:r w:rsidR="0049410D" w:rsidRPr="001A36EB">
        <w:rPr>
          <w:rFonts w:ascii="Times New Roman" w:hAnsi="Times New Roman" w:cs="Times New Roman"/>
          <w:i/>
          <w:sz w:val="24"/>
          <w:szCs w:val="24"/>
          <w:lang w:val="en-GB"/>
        </w:rPr>
        <w:t>a priori</w:t>
      </w:r>
      <w:r w:rsidR="0049410D">
        <w:rPr>
          <w:rFonts w:ascii="Times New Roman" w:hAnsi="Times New Roman" w:cs="Times New Roman"/>
          <w:sz w:val="24"/>
          <w:szCs w:val="24"/>
          <w:lang w:val="en-GB"/>
        </w:rPr>
        <w:t xml:space="preserve"> on the sign of </w:t>
      </w:r>
      <w:r w:rsidR="00EF42A8">
        <w:rPr>
          <w:rFonts w:ascii="Times New Roman" w:hAnsi="Times New Roman" w:cs="Times New Roman"/>
          <w:sz w:val="24"/>
          <w:szCs w:val="24"/>
          <w:lang w:val="en-GB"/>
        </w:rPr>
        <w:t xml:space="preserve">this </w:t>
      </w:r>
      <w:r w:rsidR="0049410D">
        <w:rPr>
          <w:rFonts w:ascii="Times New Roman" w:hAnsi="Times New Roman" w:cs="Times New Roman"/>
          <w:sz w:val="24"/>
          <w:szCs w:val="24"/>
          <w:lang w:val="en-GB"/>
        </w:rPr>
        <w:t>variable.</w:t>
      </w:r>
      <w:r w:rsidR="00EF42A8">
        <w:rPr>
          <w:rFonts w:ascii="Times New Roman" w:hAnsi="Times New Roman" w:cs="Times New Roman"/>
          <w:sz w:val="24"/>
          <w:szCs w:val="24"/>
          <w:lang w:val="en-GB"/>
        </w:rPr>
        <w:t xml:space="preserve"> </w:t>
      </w:r>
      <w:r w:rsidR="00A65EFF">
        <w:rPr>
          <w:rFonts w:ascii="Times New Roman" w:hAnsi="Times New Roman" w:cs="Times New Roman"/>
          <w:sz w:val="24"/>
          <w:szCs w:val="24"/>
          <w:lang w:val="en-GB"/>
        </w:rPr>
        <w:t xml:space="preserve">It is difficult to select the effects of a </w:t>
      </w:r>
      <w:r w:rsidR="00EF42A8">
        <w:rPr>
          <w:rFonts w:ascii="Times New Roman" w:hAnsi="Times New Roman" w:cs="Times New Roman"/>
          <w:sz w:val="24"/>
          <w:szCs w:val="24"/>
          <w:lang w:val="en-GB"/>
        </w:rPr>
        <w:t xml:space="preserve">greater financial openness </w:t>
      </w:r>
      <w:r w:rsidR="00A65EFF">
        <w:rPr>
          <w:rFonts w:ascii="Times New Roman" w:hAnsi="Times New Roman" w:cs="Times New Roman"/>
          <w:sz w:val="24"/>
          <w:szCs w:val="24"/>
          <w:lang w:val="en-GB"/>
        </w:rPr>
        <w:t xml:space="preserve">on </w:t>
      </w:r>
      <w:r w:rsidR="00EF42A8">
        <w:rPr>
          <w:rFonts w:ascii="Times New Roman" w:hAnsi="Times New Roman" w:cs="Times New Roman"/>
          <w:sz w:val="24"/>
          <w:szCs w:val="24"/>
          <w:lang w:val="en-GB"/>
        </w:rPr>
        <w:t>net flows of financial assets and financial liabilities</w:t>
      </w:r>
      <w:r w:rsidR="00A65EFF">
        <w:rPr>
          <w:rFonts w:ascii="Times New Roman" w:hAnsi="Times New Roman" w:cs="Times New Roman"/>
          <w:sz w:val="24"/>
          <w:szCs w:val="24"/>
          <w:lang w:val="en-GB"/>
        </w:rPr>
        <w:t xml:space="preserve">. </w:t>
      </w:r>
    </w:p>
    <w:p w:rsidR="00A00788" w:rsidRPr="00A97B04" w:rsidRDefault="00A00788" w:rsidP="00431160">
      <w:pPr>
        <w:pStyle w:val="Paragrafoelenco"/>
        <w:autoSpaceDE w:val="0"/>
        <w:autoSpaceDN w:val="0"/>
        <w:adjustRightInd w:val="0"/>
        <w:spacing w:after="0" w:line="360" w:lineRule="auto"/>
        <w:ind w:left="0"/>
        <w:jc w:val="both"/>
        <w:rPr>
          <w:b/>
          <w:lang w:val="en-US"/>
        </w:rPr>
      </w:pPr>
      <w:r>
        <w:rPr>
          <w:rFonts w:ascii="Times New Roman" w:hAnsi="Times New Roman" w:cs="Times New Roman"/>
          <w:b/>
          <w:iCs/>
          <w:sz w:val="24"/>
          <w:szCs w:val="24"/>
          <w:lang w:val="en-GB"/>
        </w:rPr>
        <w:t xml:space="preserve">Trade </w:t>
      </w:r>
      <w:r w:rsidR="0049410D">
        <w:rPr>
          <w:rFonts w:ascii="Times New Roman" w:hAnsi="Times New Roman" w:cs="Times New Roman"/>
          <w:b/>
          <w:iCs/>
          <w:sz w:val="24"/>
          <w:szCs w:val="24"/>
          <w:lang w:val="en-GB"/>
        </w:rPr>
        <w:t xml:space="preserve">openness. </w:t>
      </w:r>
      <w:r w:rsidR="003F5888" w:rsidRPr="0054650B">
        <w:rPr>
          <w:rFonts w:ascii="Times New Roman" w:hAnsi="Times New Roman" w:cs="Times New Roman"/>
          <w:iCs/>
          <w:sz w:val="24"/>
          <w:szCs w:val="24"/>
          <w:lang w:val="en-GB"/>
        </w:rPr>
        <w:t>This indicator i</w:t>
      </w:r>
      <w:r w:rsidR="0054650B" w:rsidRPr="0054650B">
        <w:rPr>
          <w:rFonts w:ascii="Times New Roman" w:hAnsi="Times New Roman" w:cs="Times New Roman"/>
          <w:iCs/>
          <w:sz w:val="24"/>
          <w:szCs w:val="24"/>
          <w:lang w:val="en-GB"/>
        </w:rPr>
        <w:t>s the sum of exports plus impor</w:t>
      </w:r>
      <w:r w:rsidR="003F5888" w:rsidRPr="0054650B">
        <w:rPr>
          <w:rFonts w:ascii="Times New Roman" w:hAnsi="Times New Roman" w:cs="Times New Roman"/>
          <w:iCs/>
          <w:sz w:val="24"/>
          <w:szCs w:val="24"/>
          <w:lang w:val="en-GB"/>
        </w:rPr>
        <w:t>t as a ratio of GDP.</w:t>
      </w:r>
      <w:r w:rsidR="001A36EB">
        <w:rPr>
          <w:rFonts w:ascii="Times New Roman" w:hAnsi="Times New Roman" w:cs="Times New Roman"/>
          <w:iCs/>
          <w:sz w:val="24"/>
          <w:szCs w:val="24"/>
          <w:lang w:val="en-GB"/>
        </w:rPr>
        <w:t xml:space="preserve"> We do not have an </w:t>
      </w:r>
      <w:r w:rsidR="001A36EB" w:rsidRPr="001A36EB">
        <w:rPr>
          <w:rFonts w:ascii="Times New Roman" w:hAnsi="Times New Roman" w:cs="Times New Roman"/>
          <w:i/>
          <w:iCs/>
          <w:sz w:val="24"/>
          <w:szCs w:val="24"/>
          <w:lang w:val="en-GB"/>
        </w:rPr>
        <w:t>a priori</w:t>
      </w:r>
      <w:r w:rsidR="001A36EB">
        <w:rPr>
          <w:rFonts w:ascii="Times New Roman" w:hAnsi="Times New Roman" w:cs="Times New Roman"/>
          <w:iCs/>
          <w:sz w:val="24"/>
          <w:szCs w:val="24"/>
          <w:lang w:val="en-GB"/>
        </w:rPr>
        <w:t xml:space="preserve"> on the effect of this indicator.  </w:t>
      </w:r>
      <w:r w:rsidR="003F5888" w:rsidRPr="0054650B">
        <w:rPr>
          <w:rFonts w:ascii="Times New Roman" w:hAnsi="Times New Roman" w:cs="Times New Roman"/>
          <w:iCs/>
          <w:sz w:val="24"/>
          <w:szCs w:val="24"/>
          <w:lang w:val="en-GB"/>
        </w:rPr>
        <w:t xml:space="preserve"> </w:t>
      </w:r>
    </w:p>
    <w:p w:rsidR="00A65EFF" w:rsidRPr="001A36EB" w:rsidRDefault="00A65EFF" w:rsidP="00A11BD1">
      <w:pPr>
        <w:pStyle w:val="Paragrafoelenco"/>
        <w:autoSpaceDE w:val="0"/>
        <w:autoSpaceDN w:val="0"/>
        <w:adjustRightInd w:val="0"/>
        <w:spacing w:line="360" w:lineRule="auto"/>
        <w:ind w:left="0"/>
        <w:jc w:val="both"/>
        <w:rPr>
          <w:rFonts w:ascii="Times New Roman" w:hAnsi="Times New Roman" w:cs="Times New Roman"/>
          <w:iCs/>
          <w:sz w:val="24"/>
          <w:szCs w:val="24"/>
          <w:lang w:val="en-US"/>
        </w:rPr>
      </w:pPr>
    </w:p>
    <w:p w:rsidR="000650C1" w:rsidRPr="00A11BD1" w:rsidRDefault="0054650B" w:rsidP="00A11BD1">
      <w:pPr>
        <w:pStyle w:val="Paragrafoelenco"/>
        <w:autoSpaceDE w:val="0"/>
        <w:autoSpaceDN w:val="0"/>
        <w:adjustRightInd w:val="0"/>
        <w:spacing w:line="360" w:lineRule="auto"/>
        <w:ind w:left="0"/>
        <w:jc w:val="both"/>
        <w:rPr>
          <w:rFonts w:ascii="Times New Roman" w:hAnsi="Times New Roman" w:cs="Times New Roman"/>
          <w:sz w:val="24"/>
          <w:szCs w:val="24"/>
          <w:lang w:val="en-GB"/>
        </w:rPr>
      </w:pPr>
      <w:r>
        <w:rPr>
          <w:rFonts w:ascii="Times New Roman" w:hAnsi="Times New Roman" w:cs="Times New Roman"/>
          <w:iCs/>
          <w:sz w:val="24"/>
          <w:szCs w:val="24"/>
          <w:lang w:val="en-GB"/>
        </w:rPr>
        <w:t xml:space="preserve">All </w:t>
      </w:r>
      <w:r w:rsidR="00A65EFF">
        <w:rPr>
          <w:rFonts w:ascii="Times New Roman" w:hAnsi="Times New Roman" w:cs="Times New Roman"/>
          <w:iCs/>
          <w:sz w:val="24"/>
          <w:szCs w:val="24"/>
          <w:lang w:val="en-GB"/>
        </w:rPr>
        <w:t xml:space="preserve">our </w:t>
      </w:r>
      <w:r>
        <w:rPr>
          <w:rFonts w:ascii="Times New Roman" w:hAnsi="Times New Roman" w:cs="Times New Roman"/>
          <w:iCs/>
          <w:sz w:val="24"/>
          <w:szCs w:val="24"/>
          <w:lang w:val="en-GB"/>
        </w:rPr>
        <w:t xml:space="preserve">variables are expressed in US dollars. </w:t>
      </w:r>
      <w:r w:rsidR="003F5888" w:rsidRPr="003F5888">
        <w:rPr>
          <w:rFonts w:ascii="Times New Roman" w:hAnsi="Times New Roman" w:cs="Times New Roman"/>
          <w:iCs/>
          <w:sz w:val="24"/>
          <w:szCs w:val="24"/>
          <w:lang w:val="en-GB"/>
        </w:rPr>
        <w:t>We also included country dummies</w:t>
      </w:r>
      <w:r w:rsidR="001A36EB">
        <w:rPr>
          <w:rFonts w:ascii="Times New Roman" w:hAnsi="Times New Roman" w:cs="Times New Roman"/>
          <w:iCs/>
          <w:sz w:val="24"/>
          <w:szCs w:val="24"/>
          <w:lang w:val="en-GB"/>
        </w:rPr>
        <w:t xml:space="preserve"> in the regressions</w:t>
      </w:r>
      <w:r w:rsidR="00A65EFF">
        <w:rPr>
          <w:rFonts w:ascii="Times New Roman" w:hAnsi="Times New Roman" w:cs="Times New Roman"/>
          <w:iCs/>
          <w:sz w:val="24"/>
          <w:szCs w:val="24"/>
          <w:lang w:val="en-GB"/>
        </w:rPr>
        <w:t>.</w:t>
      </w:r>
      <w:r w:rsidR="003F5888" w:rsidRPr="003F5888">
        <w:rPr>
          <w:rFonts w:ascii="Times New Roman" w:hAnsi="Times New Roman" w:cs="Times New Roman"/>
          <w:iCs/>
          <w:sz w:val="24"/>
          <w:szCs w:val="24"/>
          <w:lang w:val="en-GB"/>
        </w:rPr>
        <w:t xml:space="preserve"> </w:t>
      </w:r>
      <w:r w:rsidR="001A36EB">
        <w:rPr>
          <w:rFonts w:ascii="Times New Roman" w:hAnsi="Times New Roman" w:cs="Times New Roman"/>
          <w:iCs/>
          <w:sz w:val="24"/>
          <w:szCs w:val="24"/>
          <w:lang w:val="en-GB"/>
        </w:rPr>
        <w:t xml:space="preserve">Most of the independent variables are lagged one period to manage issues of </w:t>
      </w:r>
      <w:proofErr w:type="spellStart"/>
      <w:r w:rsidR="001A36EB">
        <w:rPr>
          <w:rFonts w:ascii="Times New Roman" w:hAnsi="Times New Roman" w:cs="Times New Roman"/>
          <w:iCs/>
          <w:sz w:val="24"/>
          <w:szCs w:val="24"/>
          <w:lang w:val="en-GB"/>
        </w:rPr>
        <w:t>endogeneity</w:t>
      </w:r>
      <w:proofErr w:type="spellEnd"/>
      <w:r w:rsidR="001A36EB">
        <w:rPr>
          <w:rFonts w:ascii="Times New Roman" w:hAnsi="Times New Roman" w:cs="Times New Roman"/>
          <w:iCs/>
          <w:sz w:val="24"/>
          <w:szCs w:val="24"/>
          <w:lang w:val="en-GB"/>
        </w:rPr>
        <w:t xml:space="preserve">. </w:t>
      </w:r>
    </w:p>
    <w:p w:rsidR="00A11BD1" w:rsidRDefault="00A11BD1" w:rsidP="006F035D">
      <w:pPr>
        <w:spacing w:after="0" w:line="360" w:lineRule="auto"/>
        <w:rPr>
          <w:rFonts w:ascii="Times New Roman" w:hAnsi="Times New Roman" w:cs="Times New Roman"/>
          <w:b/>
          <w:sz w:val="24"/>
          <w:szCs w:val="24"/>
          <w:lang w:val="en-US"/>
        </w:rPr>
      </w:pPr>
    </w:p>
    <w:p w:rsidR="0054650B" w:rsidRPr="0028673A" w:rsidRDefault="00F92959" w:rsidP="0028673A">
      <w:pPr>
        <w:spacing w:after="0" w:line="360" w:lineRule="auto"/>
        <w:rPr>
          <w:rFonts w:ascii="Times New Roman" w:hAnsi="Times New Roman" w:cs="Times New Roman"/>
          <w:b/>
          <w:sz w:val="24"/>
          <w:szCs w:val="24"/>
          <w:lang w:val="en-US"/>
        </w:rPr>
      </w:pPr>
      <w:r w:rsidRPr="00956417">
        <w:rPr>
          <w:rFonts w:ascii="Times New Roman" w:hAnsi="Times New Roman" w:cs="Times New Roman"/>
          <w:b/>
          <w:sz w:val="24"/>
          <w:szCs w:val="24"/>
          <w:lang w:val="en-US"/>
        </w:rPr>
        <w:t>4</w:t>
      </w:r>
      <w:r w:rsidR="00B537BE">
        <w:rPr>
          <w:rFonts w:ascii="Times New Roman" w:hAnsi="Times New Roman" w:cs="Times New Roman"/>
          <w:b/>
          <w:sz w:val="24"/>
          <w:szCs w:val="24"/>
          <w:lang w:val="en-US"/>
        </w:rPr>
        <w:t>.</w:t>
      </w:r>
      <w:r w:rsidRPr="00956417">
        <w:rPr>
          <w:rFonts w:ascii="Times New Roman" w:hAnsi="Times New Roman" w:cs="Times New Roman"/>
          <w:b/>
          <w:sz w:val="24"/>
          <w:szCs w:val="24"/>
          <w:lang w:val="en-US"/>
        </w:rPr>
        <w:t xml:space="preserve"> Empirical results</w:t>
      </w:r>
    </w:p>
    <w:p w:rsidR="00B537BE" w:rsidRDefault="00B537BE" w:rsidP="00F92959">
      <w:pPr>
        <w:spacing w:after="0" w:line="360" w:lineRule="auto"/>
        <w:ind w:firstLine="708"/>
        <w:jc w:val="both"/>
        <w:rPr>
          <w:rFonts w:ascii="Times New Roman" w:hAnsi="Times New Roman" w:cs="Times New Roman"/>
          <w:sz w:val="24"/>
          <w:szCs w:val="24"/>
          <w:lang w:val="en-US"/>
        </w:rPr>
      </w:pPr>
    </w:p>
    <w:p w:rsidR="00F92959" w:rsidRDefault="00F92959" w:rsidP="00F92959">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To analyze the determinants of firms</w:t>
      </w:r>
      <w:r w:rsidR="0054650B">
        <w:rPr>
          <w:rFonts w:ascii="Times New Roman" w:hAnsi="Times New Roman" w:cs="Times New Roman"/>
          <w:sz w:val="24"/>
          <w:szCs w:val="24"/>
          <w:lang w:val="en-US"/>
        </w:rPr>
        <w:t>’</w:t>
      </w:r>
      <w:r>
        <w:rPr>
          <w:rFonts w:ascii="Times New Roman" w:hAnsi="Times New Roman" w:cs="Times New Roman"/>
          <w:sz w:val="24"/>
          <w:szCs w:val="24"/>
          <w:lang w:val="en-US"/>
        </w:rPr>
        <w:t xml:space="preserve"> surpluses and deficits, w</w:t>
      </w:r>
      <w:r w:rsidRPr="00956417">
        <w:rPr>
          <w:rFonts w:ascii="Times New Roman" w:hAnsi="Times New Roman" w:cs="Times New Roman"/>
          <w:sz w:val="24"/>
          <w:szCs w:val="24"/>
          <w:lang w:val="en-US"/>
        </w:rPr>
        <w:t xml:space="preserve">e estimate a panel fixed effects model for the </w:t>
      </w:r>
      <w:r>
        <w:rPr>
          <w:rFonts w:ascii="Times New Roman" w:hAnsi="Times New Roman" w:cs="Times New Roman"/>
          <w:sz w:val="24"/>
          <w:szCs w:val="24"/>
          <w:lang w:val="en-US"/>
        </w:rPr>
        <w:t xml:space="preserve">17 </w:t>
      </w:r>
      <w:r w:rsidRPr="00956417">
        <w:rPr>
          <w:rFonts w:ascii="Times New Roman" w:hAnsi="Times New Roman" w:cs="Times New Roman"/>
          <w:sz w:val="24"/>
          <w:szCs w:val="24"/>
          <w:lang w:val="en-US"/>
        </w:rPr>
        <w:t>countries considered</w:t>
      </w:r>
      <w:r>
        <w:rPr>
          <w:rFonts w:ascii="Times New Roman" w:hAnsi="Times New Roman" w:cs="Times New Roman"/>
          <w:sz w:val="24"/>
          <w:szCs w:val="24"/>
          <w:lang w:val="en-US"/>
        </w:rPr>
        <w:t xml:space="preserve"> over the period 1995-2014</w:t>
      </w:r>
      <w:r w:rsidRPr="00956417">
        <w:rPr>
          <w:rFonts w:ascii="Times New Roman" w:hAnsi="Times New Roman" w:cs="Times New Roman"/>
          <w:sz w:val="24"/>
          <w:szCs w:val="24"/>
          <w:lang w:val="en-US"/>
        </w:rPr>
        <w:t xml:space="preserve">. Our </w:t>
      </w:r>
      <w:r>
        <w:rPr>
          <w:rFonts w:ascii="Times New Roman" w:hAnsi="Times New Roman" w:cs="Times New Roman"/>
          <w:sz w:val="24"/>
          <w:szCs w:val="24"/>
          <w:lang w:val="en-US"/>
        </w:rPr>
        <w:t>b</w:t>
      </w:r>
      <w:r w:rsidRPr="00956417">
        <w:rPr>
          <w:rFonts w:ascii="Times New Roman" w:hAnsi="Times New Roman" w:cs="Times New Roman"/>
          <w:sz w:val="24"/>
          <w:szCs w:val="24"/>
          <w:lang w:val="en-US"/>
        </w:rPr>
        <w:t>aseline equation takes the form:</w:t>
      </w:r>
    </w:p>
    <w:p w:rsidR="00F92959" w:rsidRDefault="00F92959" w:rsidP="00F92959">
      <w:pPr>
        <w:spacing w:after="0" w:line="360" w:lineRule="auto"/>
        <w:ind w:firstLine="708"/>
        <w:jc w:val="both"/>
        <w:rPr>
          <w:rFonts w:ascii="Times New Roman" w:hAnsi="Times New Roman" w:cs="Times New Roman"/>
          <w:sz w:val="24"/>
          <w:szCs w:val="24"/>
          <w:lang w:val="en-US"/>
        </w:rPr>
      </w:pPr>
    </w:p>
    <w:p w:rsidR="00F92959" w:rsidRPr="00D234DA" w:rsidRDefault="00451674" w:rsidP="00D234DA">
      <w:pPr>
        <w:jc w:val="center"/>
        <w:rPr>
          <w:rFonts w:ascii="Times New Roman" w:eastAsiaTheme="minorEastAsia" w:hAnsi="Times New Roman" w:cs="Times New Roman"/>
          <w:sz w:val="20"/>
          <w:szCs w:val="20"/>
          <w:lang w:val="en-GB"/>
        </w:rPr>
      </w:pPr>
      <m:oMathPara>
        <m:oMath>
          <m:sSub>
            <m:sSubPr>
              <m:ctrlPr>
                <w:rPr>
                  <w:rFonts w:ascii="Cambria Math" w:hAnsi="Cambria Math" w:cs="Times New Roman"/>
                  <w:i/>
                  <w:iCs/>
                  <w:sz w:val="20"/>
                  <w:szCs w:val="20"/>
                  <w:lang w:val="en-GB"/>
                </w:rPr>
              </m:ctrlPr>
            </m:sSubPr>
            <m:e>
              <m:sSub>
                <m:sSubPr>
                  <m:ctrlPr>
                    <w:rPr>
                      <w:rFonts w:ascii="Cambria Math" w:hAnsi="Cambria Math" w:cs="Times New Roman"/>
                      <w:i/>
                      <w:iCs/>
                      <w:sz w:val="20"/>
                      <w:szCs w:val="20"/>
                      <w:lang w:val="en-GB"/>
                    </w:rPr>
                  </m:ctrlPr>
                </m:sSubPr>
                <m:e>
                  <m:r>
                    <w:rPr>
                      <w:rFonts w:ascii="Cambria Math" w:hAnsi="Cambria Math" w:cs="Times New Roman"/>
                      <w:sz w:val="20"/>
                      <w:szCs w:val="20"/>
                      <w:lang w:val="en-GB"/>
                    </w:rPr>
                    <m:t>Y</m:t>
                  </m:r>
                </m:e>
                <m:sub>
                  <m:r>
                    <w:rPr>
                      <w:rFonts w:ascii="Cambria Math" w:hAnsi="Cambria Math" w:cs="Times New Roman"/>
                      <w:sz w:val="20"/>
                      <w:szCs w:val="20"/>
                      <w:lang w:val="en-GB"/>
                    </w:rPr>
                    <m:t>it</m:t>
                  </m:r>
                </m:sub>
              </m:sSub>
              <m:r>
                <w:rPr>
                  <w:rFonts w:ascii="Cambria Math" w:hAnsi="Cambria Math" w:cs="Times New Roman"/>
                  <w:sz w:val="20"/>
                  <w:szCs w:val="20"/>
                  <w:lang w:val="en-GB"/>
                </w:rPr>
                <m:t>=</m:t>
              </m:r>
              <m:sSub>
                <m:sSubPr>
                  <m:ctrlPr>
                    <w:rPr>
                      <w:rFonts w:ascii="Cambria Math" w:hAnsi="Cambria Math" w:cs="Times New Roman"/>
                      <w:i/>
                      <w:iCs/>
                      <w:sz w:val="20"/>
                      <w:szCs w:val="20"/>
                      <w:lang w:val="en-GB"/>
                    </w:rPr>
                  </m:ctrlPr>
                </m:sSubPr>
                <m:e>
                  <m:r>
                    <w:rPr>
                      <w:rFonts w:ascii="Cambria Math" w:hAnsi="Cambria Math" w:cs="Times New Roman"/>
                      <w:sz w:val="20"/>
                      <w:szCs w:val="20"/>
                      <w:lang w:val="en-GB"/>
                    </w:rPr>
                    <m:t>β</m:t>
                  </m:r>
                </m:e>
                <m:sub>
                  <m:r>
                    <w:rPr>
                      <w:rFonts w:ascii="Cambria Math" w:hAnsi="Cambria Math" w:cs="Times New Roman"/>
                      <w:sz w:val="20"/>
                      <w:szCs w:val="20"/>
                      <w:lang w:val="en-GB"/>
                    </w:rPr>
                    <m:t>i</m:t>
                  </m:r>
                </m:sub>
              </m:sSub>
              <m:r>
                <w:rPr>
                  <w:rFonts w:ascii="Cambria Math" w:hAnsi="Cambria Math" w:cs="Times New Roman"/>
                  <w:sz w:val="20"/>
                  <w:szCs w:val="20"/>
                  <w:lang w:val="en-GB"/>
                </w:rPr>
                <m:t>+</m:t>
              </m:r>
              <m:sSub>
                <m:sSubPr>
                  <m:ctrlPr>
                    <w:rPr>
                      <w:rFonts w:ascii="Cambria Math" w:hAnsi="Cambria Math" w:cs="Times New Roman"/>
                      <w:i/>
                      <w:iCs/>
                      <w:sz w:val="20"/>
                      <w:szCs w:val="20"/>
                      <w:lang w:val="en-GB"/>
                    </w:rPr>
                  </m:ctrlPr>
                </m:sSubPr>
                <m:e>
                  <m:r>
                    <w:rPr>
                      <w:rFonts w:ascii="Cambria Math" w:hAnsi="Cambria Math" w:cs="Times New Roman"/>
                      <w:sz w:val="20"/>
                      <w:szCs w:val="20"/>
                      <w:lang w:val="en-GB"/>
                    </w:rPr>
                    <m:t>β</m:t>
                  </m:r>
                </m:e>
                <m:sub>
                  <m:r>
                    <w:rPr>
                      <w:rFonts w:ascii="Cambria Math" w:hAnsi="Cambria Math" w:cs="Times New Roman"/>
                      <w:sz w:val="20"/>
                      <w:szCs w:val="20"/>
                      <w:lang w:val="en-GB"/>
                    </w:rPr>
                    <m:t>0</m:t>
                  </m:r>
                </m:sub>
              </m:sSub>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gap</m:t>
                  </m:r>
                </m:e>
                <m:sub>
                  <m:r>
                    <w:rPr>
                      <w:rFonts w:ascii="Cambria Math" w:hAnsi="Cambria Math" w:cs="Times New Roman"/>
                      <w:sz w:val="20"/>
                      <w:szCs w:val="20"/>
                      <w:lang w:val="en-GB"/>
                    </w:rPr>
                    <m:t>it</m:t>
                  </m:r>
                </m:sub>
              </m:sSub>
              <m:r>
                <w:rPr>
                  <w:rFonts w:ascii="Cambria Math" w:hAnsi="Cambria Math" w:cs="Times New Roman"/>
                  <w:sz w:val="20"/>
                  <w:szCs w:val="20"/>
                  <w:lang w:val="en-GB"/>
                </w:rPr>
                <m:t>+</m:t>
              </m:r>
              <m:sSub>
                <m:sSubPr>
                  <m:ctrlPr>
                    <w:rPr>
                      <w:rFonts w:ascii="Cambria Math" w:hAnsi="Cambria Math" w:cs="Times New Roman"/>
                      <w:i/>
                      <w:iCs/>
                      <w:sz w:val="20"/>
                      <w:szCs w:val="20"/>
                      <w:lang w:val="en-GB"/>
                    </w:rPr>
                  </m:ctrlPr>
                </m:sSubPr>
                <m:e>
                  <m:r>
                    <w:rPr>
                      <w:rFonts w:ascii="Cambria Math" w:hAnsi="Cambria Math" w:cs="Times New Roman"/>
                      <w:sz w:val="20"/>
                      <w:szCs w:val="20"/>
                      <w:lang w:val="en-GB"/>
                    </w:rPr>
                    <m:t>β</m:t>
                  </m:r>
                </m:e>
                <m:sub>
                  <m:r>
                    <w:rPr>
                      <w:rFonts w:ascii="Cambria Math" w:hAnsi="Cambria Math" w:cs="Times New Roman"/>
                      <w:sz w:val="20"/>
                      <w:szCs w:val="20"/>
                      <w:lang w:val="en-GB"/>
                    </w:rPr>
                    <m:t>1</m:t>
                  </m:r>
                </m:sub>
              </m:sSub>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FDI</m:t>
                  </m:r>
                </m:e>
                <m:sub>
                  <m:r>
                    <w:rPr>
                      <w:rFonts w:ascii="Cambria Math" w:hAnsi="Cambria Math" w:cs="Times New Roman"/>
                      <w:sz w:val="20"/>
                      <w:szCs w:val="20"/>
                      <w:lang w:val="en-GB"/>
                    </w:rPr>
                    <m:t>it</m:t>
                  </m:r>
                </m:sub>
              </m:sSub>
              <m:r>
                <w:rPr>
                  <w:rFonts w:ascii="Cambria Math" w:hAnsi="Cambria Math" w:cs="Times New Roman"/>
                  <w:sz w:val="20"/>
                  <w:szCs w:val="20"/>
                  <w:lang w:val="en-GB"/>
                </w:rPr>
                <m:t>+</m:t>
              </m:r>
              <m:sSub>
                <m:sSubPr>
                  <m:ctrlPr>
                    <w:rPr>
                      <w:rFonts w:ascii="Cambria Math" w:hAnsi="Cambria Math" w:cs="Times New Roman"/>
                      <w:i/>
                      <w:iCs/>
                      <w:sz w:val="20"/>
                      <w:szCs w:val="20"/>
                      <w:lang w:val="en-GB"/>
                    </w:rPr>
                  </m:ctrlPr>
                </m:sSubPr>
                <m:e>
                  <m:r>
                    <w:rPr>
                      <w:rFonts w:ascii="Cambria Math" w:hAnsi="Cambria Math" w:cs="Times New Roman"/>
                      <w:sz w:val="20"/>
                      <w:szCs w:val="20"/>
                      <w:lang w:val="en-GB"/>
                    </w:rPr>
                    <m:t>β</m:t>
                  </m:r>
                </m:e>
                <m:sub>
                  <m:r>
                    <w:rPr>
                      <w:rFonts w:ascii="Cambria Math" w:hAnsi="Cambria Math" w:cs="Times New Roman"/>
                      <w:sz w:val="20"/>
                      <w:szCs w:val="20"/>
                      <w:lang w:val="en-GB"/>
                    </w:rPr>
                    <m:t>2</m:t>
                  </m:r>
                </m:sub>
              </m:sSub>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consgdp</m:t>
                  </m:r>
                </m:e>
                <m:sub>
                  <m:r>
                    <w:rPr>
                      <w:rFonts w:ascii="Cambria Math" w:hAnsi="Cambria Math" w:cs="Times New Roman"/>
                      <w:sz w:val="20"/>
                      <w:szCs w:val="20"/>
                      <w:lang w:val="en-GB"/>
                    </w:rPr>
                    <m:t>it</m:t>
                  </m:r>
                </m:sub>
              </m:sSub>
              <m:r>
                <w:rPr>
                  <w:rFonts w:ascii="Cambria Math" w:hAnsi="Cambria Math" w:cs="Times New Roman"/>
                  <w:sz w:val="20"/>
                  <w:szCs w:val="20"/>
                  <w:lang w:val="en-GB"/>
                </w:rPr>
                <m:t>+</m:t>
              </m:r>
              <m:sSub>
                <m:sSubPr>
                  <m:ctrlPr>
                    <w:rPr>
                      <w:rFonts w:ascii="Cambria Math" w:hAnsi="Cambria Math" w:cs="Times New Roman"/>
                      <w:i/>
                      <w:iCs/>
                      <w:sz w:val="20"/>
                      <w:szCs w:val="20"/>
                      <w:lang w:val="en-GB"/>
                    </w:rPr>
                  </m:ctrlPr>
                </m:sSubPr>
                <m:e>
                  <m:r>
                    <w:rPr>
                      <w:rFonts w:ascii="Cambria Math" w:hAnsi="Cambria Math" w:cs="Times New Roman"/>
                      <w:sz w:val="20"/>
                      <w:szCs w:val="20"/>
                      <w:lang w:val="en-GB"/>
                    </w:rPr>
                    <m:t>β</m:t>
                  </m:r>
                </m:e>
                <m:sub>
                  <m:r>
                    <w:rPr>
                      <w:rFonts w:ascii="Cambria Math" w:hAnsi="Cambria Math" w:cs="Times New Roman"/>
                      <w:sz w:val="20"/>
                      <w:szCs w:val="20"/>
                      <w:lang w:val="en-GB"/>
                    </w:rPr>
                    <m:t>3</m:t>
                  </m:r>
                </m:sub>
              </m:sSub>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Igdp</m:t>
                  </m:r>
                </m:e>
                <m:sub>
                  <m:r>
                    <w:rPr>
                      <w:rFonts w:ascii="Cambria Math" w:hAnsi="Cambria Math" w:cs="Times New Roman"/>
                      <w:sz w:val="20"/>
                      <w:szCs w:val="20"/>
                      <w:lang w:val="en-GB"/>
                    </w:rPr>
                    <m:t>it</m:t>
                  </m:r>
                </m:sub>
              </m:sSub>
              <m:r>
                <w:rPr>
                  <w:rFonts w:ascii="Cambria Math" w:hAnsi="Cambria Math" w:cs="Times New Roman"/>
                  <w:sz w:val="20"/>
                  <w:szCs w:val="20"/>
                  <w:lang w:val="en-GB"/>
                </w:rPr>
                <m:t>+</m:t>
              </m:r>
              <m:sSub>
                <m:sSubPr>
                  <m:ctrlPr>
                    <w:rPr>
                      <w:rFonts w:ascii="Cambria Math" w:hAnsi="Cambria Math" w:cs="Times New Roman"/>
                      <w:i/>
                      <w:iCs/>
                      <w:sz w:val="20"/>
                      <w:szCs w:val="20"/>
                      <w:lang w:val="en-GB"/>
                    </w:rPr>
                  </m:ctrlPr>
                </m:sSubPr>
                <m:e>
                  <m:r>
                    <w:rPr>
                      <w:rFonts w:ascii="Cambria Math" w:hAnsi="Cambria Math" w:cs="Times New Roman"/>
                      <w:sz w:val="20"/>
                      <w:szCs w:val="20"/>
                      <w:lang w:val="en-GB"/>
                    </w:rPr>
                    <m:t>β</m:t>
                  </m:r>
                </m:e>
                <m:sub>
                  <m:r>
                    <w:rPr>
                      <w:rFonts w:ascii="Cambria Math" w:hAnsi="Cambria Math" w:cs="Times New Roman"/>
                      <w:sz w:val="20"/>
                      <w:szCs w:val="20"/>
                      <w:lang w:val="en-GB"/>
                    </w:rPr>
                    <m:t>4</m:t>
                  </m:r>
                </m:sub>
              </m:sSub>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control</m:t>
                  </m:r>
                </m:e>
                <m:sub>
                  <m:r>
                    <w:rPr>
                      <w:rFonts w:ascii="Cambria Math" w:hAnsi="Cambria Math" w:cs="Times New Roman"/>
                      <w:sz w:val="20"/>
                      <w:szCs w:val="20"/>
                      <w:lang w:val="en-GB"/>
                    </w:rPr>
                    <m:t>it</m:t>
                  </m:r>
                </m:sub>
              </m:sSub>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e</m:t>
                  </m:r>
                </m:e>
                <m:sub>
                  <m:r>
                    <w:rPr>
                      <w:rFonts w:ascii="Cambria Math" w:hAnsi="Cambria Math" w:cs="Times New Roman"/>
                      <w:sz w:val="20"/>
                      <w:szCs w:val="20"/>
                      <w:lang w:val="en-GB"/>
                    </w:rPr>
                    <m:t>it</m:t>
                  </m:r>
                </m:sub>
              </m:sSub>
            </m:e>
            <m:sub/>
          </m:sSub>
        </m:oMath>
      </m:oMathPara>
    </w:p>
    <w:p w:rsidR="0054650B" w:rsidRDefault="0054650B" w:rsidP="00D234DA">
      <w:pPr>
        <w:spacing w:after="0" w:line="360" w:lineRule="auto"/>
        <w:jc w:val="both"/>
        <w:rPr>
          <w:rFonts w:ascii="Times New Roman" w:hAnsi="Times New Roman" w:cs="Times New Roman"/>
          <w:sz w:val="24"/>
          <w:szCs w:val="24"/>
          <w:lang w:val="en-US"/>
        </w:rPr>
      </w:pPr>
    </w:p>
    <w:p w:rsidR="00F92959" w:rsidRDefault="00F92959" w:rsidP="00D234DA">
      <w:pPr>
        <w:spacing w:after="0" w:line="360" w:lineRule="auto"/>
        <w:jc w:val="both"/>
        <w:rPr>
          <w:rFonts w:ascii="Times New Roman" w:hAnsi="Times New Roman" w:cs="Times New Roman"/>
          <w:sz w:val="24"/>
          <w:szCs w:val="24"/>
          <w:lang w:val="en-US"/>
        </w:rPr>
      </w:pPr>
      <w:r w:rsidRPr="00956417">
        <w:rPr>
          <w:rFonts w:ascii="Times New Roman" w:hAnsi="Times New Roman" w:cs="Times New Roman"/>
          <w:sz w:val="24"/>
          <w:szCs w:val="24"/>
          <w:lang w:val="en-US"/>
        </w:rPr>
        <w:t xml:space="preserve">where the dependent variable </w:t>
      </w:r>
      <w:r w:rsidRPr="00074404">
        <w:rPr>
          <w:rFonts w:ascii="Times New Roman" w:hAnsi="Times New Roman" w:cs="Times New Roman"/>
          <w:i/>
          <w:sz w:val="24"/>
          <w:szCs w:val="24"/>
          <w:lang w:val="en-US"/>
        </w:rPr>
        <w:t>y</w:t>
      </w:r>
      <w:r>
        <w:rPr>
          <w:rFonts w:ascii="Times New Roman" w:hAnsi="Times New Roman" w:cs="Times New Roman"/>
          <w:sz w:val="24"/>
          <w:szCs w:val="24"/>
          <w:lang w:val="en-US"/>
        </w:rPr>
        <w:t xml:space="preserve"> </w:t>
      </w:r>
      <w:r w:rsidRPr="00956417">
        <w:rPr>
          <w:rFonts w:ascii="Times New Roman" w:hAnsi="Times New Roman" w:cs="Times New Roman"/>
          <w:sz w:val="24"/>
          <w:szCs w:val="24"/>
          <w:lang w:val="en-US"/>
        </w:rPr>
        <w:t xml:space="preserve">is </w:t>
      </w:r>
      <w:r w:rsidR="0054650B">
        <w:rPr>
          <w:rFonts w:ascii="Times New Roman" w:hAnsi="Times New Roman" w:cs="Times New Roman"/>
          <w:sz w:val="24"/>
          <w:szCs w:val="24"/>
          <w:lang w:val="en-US"/>
        </w:rPr>
        <w:t xml:space="preserve">firms’ net </w:t>
      </w:r>
      <w:r>
        <w:rPr>
          <w:rFonts w:ascii="Times New Roman" w:hAnsi="Times New Roman" w:cs="Times New Roman"/>
          <w:sz w:val="24"/>
          <w:szCs w:val="24"/>
          <w:lang w:val="en-US"/>
        </w:rPr>
        <w:t xml:space="preserve">lending/borrowing </w:t>
      </w:r>
      <w:r w:rsidR="0054650B">
        <w:rPr>
          <w:rFonts w:ascii="Times New Roman" w:hAnsi="Times New Roman" w:cs="Times New Roman"/>
          <w:sz w:val="24"/>
          <w:szCs w:val="24"/>
          <w:lang w:val="en-US"/>
        </w:rPr>
        <w:t xml:space="preserve">as a ratio of </w:t>
      </w:r>
      <w:r w:rsidRPr="00956417">
        <w:rPr>
          <w:rFonts w:ascii="Times New Roman" w:hAnsi="Times New Roman" w:cs="Times New Roman"/>
          <w:sz w:val="24"/>
          <w:szCs w:val="24"/>
          <w:lang w:val="en-US"/>
        </w:rPr>
        <w:t>GDP</w:t>
      </w:r>
      <w:r w:rsidR="0054650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w:t>
      </w:r>
      <w:r w:rsidR="001A36EB">
        <w:rPr>
          <w:rFonts w:ascii="Times New Roman" w:hAnsi="Times New Roman" w:cs="Times New Roman"/>
          <w:sz w:val="24"/>
          <w:szCs w:val="24"/>
          <w:lang w:val="en-US"/>
        </w:rPr>
        <w:t>ut</w:t>
      </w:r>
      <w:r>
        <w:rPr>
          <w:rFonts w:ascii="Times New Roman" w:hAnsi="Times New Roman" w:cs="Times New Roman"/>
          <w:sz w:val="24"/>
          <w:szCs w:val="24"/>
          <w:lang w:val="en-US"/>
        </w:rPr>
        <w:t>gap</w:t>
      </w:r>
      <w:proofErr w:type="spellEnd"/>
      <w:r>
        <w:rPr>
          <w:rFonts w:ascii="Times New Roman" w:hAnsi="Times New Roman" w:cs="Times New Roman"/>
          <w:sz w:val="24"/>
          <w:szCs w:val="24"/>
          <w:lang w:val="en-US"/>
        </w:rPr>
        <w:t xml:space="preserve"> is the output gap</w:t>
      </w:r>
      <w:r w:rsidR="0054650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FDI is the </w:t>
      </w:r>
      <w:r w:rsidR="0054650B">
        <w:rPr>
          <w:rFonts w:ascii="Times New Roman" w:hAnsi="Times New Roman" w:cs="Times New Roman"/>
          <w:sz w:val="24"/>
          <w:szCs w:val="24"/>
          <w:lang w:val="en-US"/>
        </w:rPr>
        <w:t xml:space="preserve">ratio of net </w:t>
      </w:r>
      <w:r>
        <w:rPr>
          <w:rFonts w:ascii="Times New Roman" w:hAnsi="Times New Roman" w:cs="Times New Roman"/>
          <w:sz w:val="24"/>
          <w:szCs w:val="24"/>
          <w:lang w:val="en-US"/>
        </w:rPr>
        <w:t>foreign direct investment to GDP</w:t>
      </w:r>
      <w:r w:rsidR="001A36E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consgdp</w:t>
      </w:r>
      <w:proofErr w:type="spellEnd"/>
      <w:r>
        <w:rPr>
          <w:rFonts w:ascii="Times New Roman" w:hAnsi="Times New Roman" w:cs="Times New Roman"/>
          <w:sz w:val="24"/>
          <w:szCs w:val="24"/>
          <w:lang w:val="en-US"/>
        </w:rPr>
        <w:t xml:space="preserve"> is the </w:t>
      </w:r>
      <w:r w:rsidR="0054650B">
        <w:rPr>
          <w:rFonts w:ascii="Times New Roman" w:hAnsi="Times New Roman" w:cs="Times New Roman"/>
          <w:sz w:val="24"/>
          <w:szCs w:val="24"/>
          <w:lang w:val="en-US"/>
        </w:rPr>
        <w:t xml:space="preserve">ratio of </w:t>
      </w:r>
      <w:r>
        <w:rPr>
          <w:rFonts w:ascii="Times New Roman" w:hAnsi="Times New Roman" w:cs="Times New Roman"/>
          <w:sz w:val="24"/>
          <w:szCs w:val="24"/>
          <w:lang w:val="en-US"/>
        </w:rPr>
        <w:t>private consumption to GDP</w:t>
      </w:r>
      <w:r w:rsidR="001A36E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Igdp</w:t>
      </w:r>
      <w:proofErr w:type="spellEnd"/>
      <w:r>
        <w:rPr>
          <w:rFonts w:ascii="Times New Roman" w:hAnsi="Times New Roman" w:cs="Times New Roman"/>
          <w:sz w:val="24"/>
          <w:szCs w:val="24"/>
          <w:lang w:val="en-US"/>
        </w:rPr>
        <w:t xml:space="preserve"> </w:t>
      </w:r>
      <w:r w:rsidR="0054650B">
        <w:rPr>
          <w:rFonts w:ascii="Times New Roman" w:hAnsi="Times New Roman" w:cs="Times New Roman"/>
          <w:sz w:val="24"/>
          <w:szCs w:val="24"/>
          <w:lang w:val="en-US"/>
        </w:rPr>
        <w:t xml:space="preserve">is the ratio of corporate </w:t>
      </w:r>
      <w:r>
        <w:rPr>
          <w:rFonts w:ascii="Times New Roman" w:hAnsi="Times New Roman" w:cs="Times New Roman"/>
          <w:sz w:val="24"/>
          <w:szCs w:val="24"/>
          <w:lang w:val="en-US"/>
        </w:rPr>
        <w:t>investment to GDP</w:t>
      </w:r>
      <w:r w:rsidR="00230A65">
        <w:rPr>
          <w:rFonts w:ascii="Times New Roman" w:hAnsi="Times New Roman" w:cs="Times New Roman"/>
          <w:sz w:val="24"/>
          <w:szCs w:val="24"/>
          <w:lang w:val="en-US"/>
        </w:rPr>
        <w:t xml:space="preserve">. </w:t>
      </w:r>
      <w:r w:rsidR="00230A65" w:rsidRPr="00230A65">
        <w:rPr>
          <w:rFonts w:ascii="Times New Roman" w:hAnsi="Times New Roman" w:cs="Times New Roman"/>
          <w:i/>
          <w:sz w:val="24"/>
          <w:szCs w:val="24"/>
          <w:lang w:val="en-US"/>
        </w:rPr>
        <w:t>C</w:t>
      </w:r>
      <w:r w:rsidRPr="001C2B8B">
        <w:rPr>
          <w:rFonts w:ascii="Times New Roman" w:hAnsi="Times New Roman" w:cs="Times New Roman"/>
          <w:i/>
          <w:sz w:val="24"/>
          <w:szCs w:val="24"/>
          <w:lang w:val="en-US"/>
        </w:rPr>
        <w:t>ontrol</w:t>
      </w:r>
      <w:r>
        <w:rPr>
          <w:rFonts w:ascii="Times New Roman" w:hAnsi="Times New Roman" w:cs="Times New Roman"/>
          <w:sz w:val="24"/>
          <w:szCs w:val="24"/>
          <w:lang w:val="en-US"/>
        </w:rPr>
        <w:t xml:space="preserve"> is a group of control variables </w:t>
      </w:r>
      <w:r w:rsidR="00230A65">
        <w:rPr>
          <w:rFonts w:ascii="Times New Roman" w:hAnsi="Times New Roman" w:cs="Times New Roman"/>
          <w:sz w:val="24"/>
          <w:szCs w:val="24"/>
          <w:lang w:val="en-US"/>
        </w:rPr>
        <w:t xml:space="preserve">such as </w:t>
      </w:r>
      <w:r>
        <w:rPr>
          <w:rFonts w:ascii="Times New Roman" w:hAnsi="Times New Roman" w:cs="Times New Roman"/>
          <w:sz w:val="24"/>
          <w:szCs w:val="24"/>
          <w:lang w:val="en-US"/>
        </w:rPr>
        <w:t>oil price, interest rate</w:t>
      </w:r>
      <w:r w:rsidR="001A36EB">
        <w:rPr>
          <w:rFonts w:ascii="Times New Roman" w:hAnsi="Times New Roman" w:cs="Times New Roman"/>
          <w:sz w:val="24"/>
          <w:szCs w:val="24"/>
          <w:lang w:val="en-US"/>
        </w:rPr>
        <w:t xml:space="preserve"> spread</w:t>
      </w:r>
      <w:r>
        <w:rPr>
          <w:rFonts w:ascii="Times New Roman" w:hAnsi="Times New Roman" w:cs="Times New Roman"/>
          <w:sz w:val="24"/>
          <w:szCs w:val="24"/>
          <w:lang w:val="en-US"/>
        </w:rPr>
        <w:t xml:space="preserve">, leverage, </w:t>
      </w:r>
      <w:r w:rsidR="006C1AC2">
        <w:rPr>
          <w:rFonts w:ascii="Times New Roman" w:hAnsi="Times New Roman" w:cs="Times New Roman"/>
          <w:sz w:val="24"/>
          <w:szCs w:val="24"/>
          <w:lang w:val="en-US"/>
        </w:rPr>
        <w:t>financial openness</w:t>
      </w:r>
      <w:r w:rsidR="001A36EB">
        <w:rPr>
          <w:rFonts w:ascii="Times New Roman" w:hAnsi="Times New Roman" w:cs="Times New Roman"/>
          <w:sz w:val="24"/>
          <w:szCs w:val="24"/>
          <w:lang w:val="en-US"/>
        </w:rPr>
        <w:t xml:space="preserve">, and </w:t>
      </w:r>
      <w:r w:rsidR="006C1AC2">
        <w:rPr>
          <w:rFonts w:ascii="Times New Roman" w:hAnsi="Times New Roman" w:cs="Times New Roman"/>
          <w:sz w:val="24"/>
          <w:szCs w:val="24"/>
          <w:lang w:val="en-US"/>
        </w:rPr>
        <w:t xml:space="preserve">trade </w:t>
      </w:r>
      <w:proofErr w:type="spellStart"/>
      <w:r w:rsidR="006C1AC2">
        <w:rPr>
          <w:rFonts w:ascii="Times New Roman" w:hAnsi="Times New Roman" w:cs="Times New Roman"/>
          <w:sz w:val="24"/>
          <w:szCs w:val="24"/>
          <w:lang w:val="en-US"/>
        </w:rPr>
        <w:t>openess</w:t>
      </w:r>
      <w:proofErr w:type="spellEnd"/>
      <w:r>
        <w:rPr>
          <w:rFonts w:ascii="Times New Roman" w:hAnsi="Times New Roman" w:cs="Times New Roman"/>
          <w:sz w:val="24"/>
          <w:szCs w:val="24"/>
          <w:lang w:val="en-US"/>
        </w:rPr>
        <w:t xml:space="preserve">. </w:t>
      </w:r>
      <w:r w:rsidR="00230A65">
        <w:rPr>
          <w:rFonts w:ascii="Times New Roman" w:hAnsi="Times New Roman" w:cs="Times New Roman"/>
          <w:sz w:val="24"/>
          <w:szCs w:val="24"/>
          <w:lang w:val="en-US"/>
        </w:rPr>
        <w:t>T</w:t>
      </w:r>
      <w:r w:rsidRPr="00452726">
        <w:rPr>
          <w:rFonts w:ascii="Times New Roman" w:hAnsi="Times New Roman" w:cs="Times New Roman"/>
          <w:sz w:val="24"/>
          <w:szCs w:val="24"/>
          <w:lang w:val="en-US"/>
        </w:rPr>
        <w:t xml:space="preserve">able </w:t>
      </w:r>
      <w:r w:rsidR="009A321E">
        <w:rPr>
          <w:rFonts w:ascii="Times New Roman" w:hAnsi="Times New Roman" w:cs="Times New Roman"/>
          <w:sz w:val="24"/>
          <w:szCs w:val="24"/>
          <w:lang w:val="en-US"/>
        </w:rPr>
        <w:t>3</w:t>
      </w:r>
      <w:r w:rsidRPr="00452726">
        <w:rPr>
          <w:rFonts w:ascii="Times New Roman" w:hAnsi="Times New Roman" w:cs="Times New Roman"/>
          <w:sz w:val="24"/>
          <w:szCs w:val="24"/>
          <w:lang w:val="en-US"/>
        </w:rPr>
        <w:t xml:space="preserve"> reports the results of </w:t>
      </w:r>
      <w:r w:rsidR="00B943C4">
        <w:rPr>
          <w:rFonts w:ascii="Times New Roman" w:hAnsi="Times New Roman" w:cs="Times New Roman"/>
          <w:sz w:val="24"/>
          <w:szCs w:val="24"/>
          <w:lang w:val="en-US"/>
        </w:rPr>
        <w:t xml:space="preserve">our </w:t>
      </w:r>
      <w:r w:rsidRPr="00452726">
        <w:rPr>
          <w:rFonts w:ascii="Times New Roman" w:hAnsi="Times New Roman" w:cs="Times New Roman"/>
          <w:sz w:val="24"/>
          <w:szCs w:val="24"/>
          <w:lang w:val="en-US"/>
        </w:rPr>
        <w:t>regressions</w:t>
      </w:r>
      <w:r w:rsidR="00B943C4">
        <w:rPr>
          <w:rFonts w:ascii="Times New Roman" w:hAnsi="Times New Roman" w:cs="Times New Roman"/>
          <w:sz w:val="24"/>
          <w:szCs w:val="24"/>
          <w:lang w:val="en-US"/>
        </w:rPr>
        <w:t xml:space="preserve">. We used six different models. </w:t>
      </w:r>
    </w:p>
    <w:p w:rsidR="00D234DA" w:rsidRDefault="00D234DA" w:rsidP="00D234DA">
      <w:pPr>
        <w:spacing w:after="0" w:line="360" w:lineRule="auto"/>
        <w:jc w:val="both"/>
        <w:rPr>
          <w:rFonts w:ascii="Times New Roman" w:hAnsi="Times New Roman" w:cs="Times New Roman"/>
          <w:sz w:val="24"/>
          <w:szCs w:val="24"/>
          <w:lang w:val="en-US"/>
        </w:rPr>
      </w:pPr>
    </w:p>
    <w:p w:rsidR="001A36EB" w:rsidRDefault="001A36EB" w:rsidP="00D234DA">
      <w:pPr>
        <w:spacing w:after="0" w:line="360" w:lineRule="auto"/>
        <w:jc w:val="both"/>
        <w:rPr>
          <w:rFonts w:ascii="Times New Roman" w:hAnsi="Times New Roman" w:cs="Times New Roman"/>
          <w:sz w:val="24"/>
          <w:szCs w:val="24"/>
          <w:lang w:val="en-US"/>
        </w:rPr>
      </w:pPr>
    </w:p>
    <w:p w:rsidR="001A36EB" w:rsidRDefault="001A36EB" w:rsidP="00D234DA">
      <w:pPr>
        <w:spacing w:after="0" w:line="360" w:lineRule="auto"/>
        <w:jc w:val="both"/>
        <w:rPr>
          <w:rFonts w:ascii="Times New Roman" w:hAnsi="Times New Roman" w:cs="Times New Roman"/>
          <w:sz w:val="24"/>
          <w:szCs w:val="24"/>
          <w:lang w:val="en-US"/>
        </w:rPr>
      </w:pPr>
    </w:p>
    <w:p w:rsidR="00F92959" w:rsidRDefault="00F92959" w:rsidP="00700B80">
      <w:pPr>
        <w:spacing w:after="0" w:line="240" w:lineRule="auto"/>
        <w:jc w:val="both"/>
        <w:rPr>
          <w:rFonts w:ascii="Times New Roman" w:hAnsi="Times New Roman" w:cs="Times New Roman"/>
          <w:b/>
          <w:sz w:val="24"/>
          <w:szCs w:val="24"/>
          <w:lang w:val="en-US"/>
        </w:rPr>
      </w:pPr>
      <w:r w:rsidRPr="00C742AD">
        <w:rPr>
          <w:rFonts w:ascii="Times New Roman" w:hAnsi="Times New Roman" w:cs="Times New Roman"/>
          <w:b/>
          <w:sz w:val="24"/>
          <w:szCs w:val="24"/>
          <w:lang w:val="en-US"/>
        </w:rPr>
        <w:t xml:space="preserve">Table </w:t>
      </w:r>
      <w:r w:rsidR="009A321E">
        <w:rPr>
          <w:rFonts w:ascii="Times New Roman" w:hAnsi="Times New Roman" w:cs="Times New Roman"/>
          <w:b/>
          <w:sz w:val="24"/>
          <w:szCs w:val="24"/>
          <w:lang w:val="en-US"/>
        </w:rPr>
        <w:t>3</w:t>
      </w:r>
      <w:r>
        <w:rPr>
          <w:rFonts w:ascii="Times New Roman" w:hAnsi="Times New Roman" w:cs="Times New Roman"/>
          <w:b/>
          <w:sz w:val="24"/>
          <w:szCs w:val="24"/>
          <w:lang w:val="en-US"/>
        </w:rPr>
        <w:t xml:space="preserve"> Fixed effects estimator</w:t>
      </w:r>
      <w:r w:rsidR="00B943C4">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1995-2014. </w:t>
      </w:r>
      <w:r w:rsidR="00700B80">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The dependent variable is firm net surplus or net deficit. </w:t>
      </w:r>
    </w:p>
    <w:tbl>
      <w:tblPr>
        <w:tblStyle w:val="Grigliatabella"/>
        <w:tblW w:w="5000" w:type="pct"/>
        <w:tblLook w:val="04A0" w:firstRow="1" w:lastRow="0" w:firstColumn="1" w:lastColumn="0" w:noHBand="0" w:noVBand="1"/>
      </w:tblPr>
      <w:tblGrid>
        <w:gridCol w:w="2187"/>
        <w:gridCol w:w="1393"/>
        <w:gridCol w:w="1332"/>
        <w:gridCol w:w="1251"/>
        <w:gridCol w:w="1251"/>
        <w:gridCol w:w="1066"/>
        <w:gridCol w:w="1374"/>
      </w:tblGrid>
      <w:tr w:rsidR="00527214" w:rsidRPr="009A321E" w:rsidTr="00527214">
        <w:tc>
          <w:tcPr>
            <w:tcW w:w="1109" w:type="pct"/>
            <w:tcBorders>
              <w:top w:val="single" w:sz="12" w:space="0" w:color="auto"/>
              <w:left w:val="nil"/>
              <w:bottom w:val="single" w:sz="12" w:space="0" w:color="auto"/>
              <w:right w:val="single" w:sz="2" w:space="0" w:color="auto"/>
            </w:tcBorders>
          </w:tcPr>
          <w:p w:rsidR="00527214" w:rsidRPr="00074404" w:rsidRDefault="00527214" w:rsidP="0059780C">
            <w:pPr>
              <w:rPr>
                <w:rFonts w:ascii="Times New Roman" w:hAnsi="Times New Roman" w:cs="Times New Roman"/>
                <w:sz w:val="24"/>
                <w:szCs w:val="24"/>
                <w:lang w:val="en-US"/>
              </w:rPr>
            </w:pPr>
          </w:p>
        </w:tc>
        <w:tc>
          <w:tcPr>
            <w:tcW w:w="707" w:type="pct"/>
            <w:tcBorders>
              <w:top w:val="single" w:sz="12" w:space="0" w:color="auto"/>
              <w:left w:val="single" w:sz="2" w:space="0" w:color="auto"/>
              <w:bottom w:val="single" w:sz="12" w:space="0" w:color="auto"/>
              <w:right w:val="single" w:sz="2" w:space="0" w:color="auto"/>
            </w:tcBorders>
          </w:tcPr>
          <w:p w:rsidR="00527214" w:rsidRPr="007B1CE8" w:rsidRDefault="00527214" w:rsidP="0059780C">
            <w:pPr>
              <w:rPr>
                <w:rFonts w:ascii="Times New Roman" w:hAnsi="Times New Roman" w:cs="Times New Roman"/>
                <w:i/>
                <w:sz w:val="24"/>
                <w:szCs w:val="24"/>
                <w:lang w:val="en-US"/>
              </w:rPr>
            </w:pPr>
            <w:r w:rsidRPr="007B1CE8">
              <w:rPr>
                <w:rFonts w:ascii="Times New Roman" w:hAnsi="Times New Roman" w:cs="Times New Roman"/>
                <w:i/>
                <w:sz w:val="24"/>
                <w:szCs w:val="24"/>
                <w:lang w:val="en-US"/>
              </w:rPr>
              <w:t>Model 1 Baseline</w:t>
            </w:r>
          </w:p>
        </w:tc>
        <w:tc>
          <w:tcPr>
            <w:tcW w:w="676" w:type="pct"/>
            <w:tcBorders>
              <w:top w:val="single" w:sz="12" w:space="0" w:color="auto"/>
              <w:left w:val="single" w:sz="2" w:space="0" w:color="auto"/>
              <w:bottom w:val="single" w:sz="12" w:space="0" w:color="auto"/>
              <w:right w:val="single" w:sz="2" w:space="0" w:color="auto"/>
            </w:tcBorders>
          </w:tcPr>
          <w:p w:rsidR="00527214" w:rsidRPr="007B1CE8" w:rsidRDefault="00527214" w:rsidP="0059780C">
            <w:pPr>
              <w:rPr>
                <w:rFonts w:ascii="Times New Roman" w:hAnsi="Times New Roman" w:cs="Times New Roman"/>
                <w:i/>
                <w:sz w:val="24"/>
                <w:szCs w:val="24"/>
                <w:lang w:val="en-US"/>
              </w:rPr>
            </w:pPr>
            <w:r w:rsidRPr="007B1CE8">
              <w:rPr>
                <w:rFonts w:ascii="Times New Roman" w:hAnsi="Times New Roman" w:cs="Times New Roman"/>
                <w:i/>
                <w:sz w:val="24"/>
                <w:szCs w:val="24"/>
                <w:lang w:val="en-US"/>
              </w:rPr>
              <w:t>Model 2</w:t>
            </w:r>
            <w:r>
              <w:rPr>
                <w:rFonts w:ascii="Times New Roman" w:hAnsi="Times New Roman" w:cs="Times New Roman"/>
                <w:i/>
                <w:sz w:val="24"/>
                <w:szCs w:val="24"/>
                <w:lang w:val="en-US"/>
              </w:rPr>
              <w:t>*</w:t>
            </w:r>
          </w:p>
        </w:tc>
        <w:tc>
          <w:tcPr>
            <w:tcW w:w="635" w:type="pct"/>
            <w:tcBorders>
              <w:top w:val="single" w:sz="12" w:space="0" w:color="auto"/>
              <w:left w:val="single" w:sz="2" w:space="0" w:color="auto"/>
              <w:bottom w:val="single" w:sz="12" w:space="0" w:color="auto"/>
              <w:right w:val="single" w:sz="2" w:space="0" w:color="auto"/>
            </w:tcBorders>
          </w:tcPr>
          <w:p w:rsidR="00527214" w:rsidRPr="007B1CE8" w:rsidRDefault="00527214" w:rsidP="0059780C">
            <w:pPr>
              <w:rPr>
                <w:rFonts w:ascii="Times New Roman" w:hAnsi="Times New Roman" w:cs="Times New Roman"/>
                <w:i/>
                <w:sz w:val="24"/>
                <w:szCs w:val="24"/>
                <w:lang w:val="en-US"/>
              </w:rPr>
            </w:pPr>
            <w:r>
              <w:rPr>
                <w:rFonts w:ascii="Times New Roman" w:hAnsi="Times New Roman" w:cs="Times New Roman"/>
                <w:i/>
                <w:sz w:val="24"/>
                <w:szCs w:val="24"/>
                <w:lang w:val="en-US"/>
              </w:rPr>
              <w:t>Model 3</w:t>
            </w:r>
          </w:p>
        </w:tc>
        <w:tc>
          <w:tcPr>
            <w:tcW w:w="635" w:type="pct"/>
            <w:tcBorders>
              <w:top w:val="single" w:sz="12" w:space="0" w:color="auto"/>
              <w:left w:val="single" w:sz="2" w:space="0" w:color="auto"/>
              <w:bottom w:val="single" w:sz="12" w:space="0" w:color="auto"/>
              <w:right w:val="single" w:sz="2" w:space="0" w:color="auto"/>
            </w:tcBorders>
          </w:tcPr>
          <w:p w:rsidR="00527214" w:rsidRPr="007B1CE8" w:rsidRDefault="00527214" w:rsidP="0059780C">
            <w:pPr>
              <w:rPr>
                <w:rFonts w:ascii="Times New Roman" w:hAnsi="Times New Roman" w:cs="Times New Roman"/>
                <w:i/>
                <w:sz w:val="24"/>
                <w:szCs w:val="24"/>
                <w:lang w:val="en-US"/>
              </w:rPr>
            </w:pPr>
            <w:r>
              <w:rPr>
                <w:rFonts w:ascii="Times New Roman" w:hAnsi="Times New Roman" w:cs="Times New Roman"/>
                <w:i/>
                <w:sz w:val="24"/>
                <w:szCs w:val="24"/>
                <w:lang w:val="en-US"/>
              </w:rPr>
              <w:t>Model 4</w:t>
            </w:r>
          </w:p>
        </w:tc>
        <w:tc>
          <w:tcPr>
            <w:tcW w:w="541" w:type="pct"/>
            <w:tcBorders>
              <w:top w:val="single" w:sz="12" w:space="0" w:color="auto"/>
              <w:left w:val="single" w:sz="2" w:space="0" w:color="auto"/>
              <w:bottom w:val="single" w:sz="12" w:space="0" w:color="auto"/>
              <w:right w:val="nil"/>
            </w:tcBorders>
          </w:tcPr>
          <w:p w:rsidR="00527214" w:rsidRPr="007B1CE8" w:rsidRDefault="00527214" w:rsidP="0059780C">
            <w:pPr>
              <w:rPr>
                <w:rFonts w:ascii="Times New Roman" w:hAnsi="Times New Roman" w:cs="Times New Roman"/>
                <w:i/>
                <w:sz w:val="24"/>
                <w:szCs w:val="24"/>
                <w:lang w:val="en-US"/>
              </w:rPr>
            </w:pPr>
            <w:r>
              <w:rPr>
                <w:rFonts w:ascii="Times New Roman" w:hAnsi="Times New Roman" w:cs="Times New Roman"/>
                <w:i/>
                <w:sz w:val="24"/>
                <w:szCs w:val="24"/>
                <w:lang w:val="en-US"/>
              </w:rPr>
              <w:t>Model 5</w:t>
            </w:r>
          </w:p>
        </w:tc>
        <w:tc>
          <w:tcPr>
            <w:tcW w:w="698" w:type="pct"/>
            <w:tcBorders>
              <w:top w:val="single" w:sz="12" w:space="0" w:color="auto"/>
              <w:left w:val="single" w:sz="2" w:space="0" w:color="auto"/>
              <w:bottom w:val="single" w:sz="12" w:space="0" w:color="auto"/>
              <w:right w:val="nil"/>
            </w:tcBorders>
          </w:tcPr>
          <w:p w:rsidR="00527214" w:rsidRDefault="00527214" w:rsidP="0059780C">
            <w:pPr>
              <w:rPr>
                <w:rFonts w:ascii="Times New Roman" w:hAnsi="Times New Roman" w:cs="Times New Roman"/>
                <w:i/>
                <w:sz w:val="24"/>
                <w:szCs w:val="24"/>
                <w:lang w:val="en-US"/>
              </w:rPr>
            </w:pPr>
            <w:r>
              <w:rPr>
                <w:rFonts w:ascii="Times New Roman" w:hAnsi="Times New Roman" w:cs="Times New Roman"/>
                <w:i/>
                <w:sz w:val="24"/>
                <w:szCs w:val="24"/>
                <w:lang w:val="en-US"/>
              </w:rPr>
              <w:t>Model 6</w:t>
            </w:r>
          </w:p>
        </w:tc>
      </w:tr>
      <w:tr w:rsidR="00527214" w:rsidRPr="009A321E" w:rsidTr="00527214">
        <w:tc>
          <w:tcPr>
            <w:tcW w:w="1109" w:type="pct"/>
            <w:tcBorders>
              <w:top w:val="single" w:sz="12" w:space="0" w:color="auto"/>
              <w:left w:val="nil"/>
            </w:tcBorders>
          </w:tcPr>
          <w:p w:rsidR="00527214" w:rsidRPr="008749AF" w:rsidRDefault="00527214" w:rsidP="0059780C">
            <w:pPr>
              <w:rPr>
                <w:rFonts w:ascii="Times New Roman" w:hAnsi="Times New Roman" w:cs="Times New Roman"/>
                <w:lang w:val="en-US"/>
              </w:rPr>
            </w:pPr>
            <w:proofErr w:type="spellStart"/>
            <w:r w:rsidRPr="008749AF">
              <w:rPr>
                <w:rFonts w:ascii="Times New Roman" w:hAnsi="Times New Roman" w:cs="Times New Roman"/>
                <w:lang w:val="en-US"/>
              </w:rPr>
              <w:t>Const</w:t>
            </w:r>
            <w:proofErr w:type="spellEnd"/>
          </w:p>
        </w:tc>
        <w:tc>
          <w:tcPr>
            <w:tcW w:w="707" w:type="pct"/>
            <w:tcBorders>
              <w:top w:val="single" w:sz="12" w:space="0" w:color="auto"/>
            </w:tcBorders>
          </w:tcPr>
          <w:p w:rsidR="00527214" w:rsidRPr="00E82E73" w:rsidRDefault="00527214" w:rsidP="0059780C">
            <w:pPr>
              <w:rPr>
                <w:rFonts w:ascii="Times New Roman" w:hAnsi="Times New Roman" w:cs="Times New Roman"/>
                <w:sz w:val="20"/>
                <w:szCs w:val="20"/>
                <w:lang w:val="en-US"/>
              </w:rPr>
            </w:pPr>
            <w:r w:rsidRPr="00E82E73">
              <w:rPr>
                <w:rFonts w:ascii="Times New Roman" w:hAnsi="Times New Roman" w:cs="Times New Roman"/>
                <w:sz w:val="20"/>
                <w:szCs w:val="20"/>
                <w:lang w:val="en-US"/>
              </w:rPr>
              <w:t xml:space="preserve">   0.19***</w:t>
            </w:r>
          </w:p>
        </w:tc>
        <w:tc>
          <w:tcPr>
            <w:tcW w:w="676" w:type="pct"/>
            <w:tcBorders>
              <w:top w:val="single" w:sz="12" w:space="0" w:color="auto"/>
            </w:tcBorders>
          </w:tcPr>
          <w:p w:rsidR="00527214" w:rsidRPr="00E82E73" w:rsidRDefault="00527214" w:rsidP="0059780C">
            <w:pPr>
              <w:rPr>
                <w:rFonts w:ascii="Times New Roman" w:hAnsi="Times New Roman" w:cs="Times New Roman"/>
                <w:sz w:val="20"/>
                <w:szCs w:val="20"/>
                <w:lang w:val="en-US"/>
              </w:rPr>
            </w:pPr>
            <w:r w:rsidRPr="00E82E73">
              <w:rPr>
                <w:rFonts w:ascii="Times New Roman" w:hAnsi="Times New Roman" w:cs="Times New Roman"/>
                <w:sz w:val="20"/>
                <w:szCs w:val="20"/>
                <w:lang w:val="en-US"/>
              </w:rPr>
              <w:t>0.19***</w:t>
            </w:r>
          </w:p>
        </w:tc>
        <w:tc>
          <w:tcPr>
            <w:tcW w:w="635" w:type="pct"/>
            <w:tcBorders>
              <w:top w:val="single" w:sz="12" w:space="0" w:color="auto"/>
            </w:tcBorders>
          </w:tcPr>
          <w:p w:rsidR="00527214" w:rsidRPr="00E82E73" w:rsidRDefault="00527214" w:rsidP="0059780C">
            <w:pPr>
              <w:rPr>
                <w:rFonts w:ascii="Times New Roman" w:hAnsi="Times New Roman" w:cs="Times New Roman"/>
                <w:sz w:val="20"/>
                <w:szCs w:val="20"/>
                <w:lang w:val="en-US"/>
              </w:rPr>
            </w:pPr>
            <w:r>
              <w:rPr>
                <w:rFonts w:ascii="Times New Roman" w:hAnsi="Times New Roman" w:cs="Times New Roman"/>
                <w:sz w:val="20"/>
                <w:szCs w:val="20"/>
                <w:lang w:val="en-US"/>
              </w:rPr>
              <w:t xml:space="preserve"> 0.204***</w:t>
            </w:r>
          </w:p>
        </w:tc>
        <w:tc>
          <w:tcPr>
            <w:tcW w:w="635" w:type="pct"/>
            <w:tcBorders>
              <w:top w:val="single" w:sz="12" w:space="0" w:color="auto"/>
            </w:tcBorders>
          </w:tcPr>
          <w:p w:rsidR="00527214" w:rsidRPr="00E82E73" w:rsidRDefault="00527214" w:rsidP="0059780C">
            <w:pPr>
              <w:rPr>
                <w:rFonts w:ascii="Times New Roman" w:hAnsi="Times New Roman" w:cs="Times New Roman"/>
                <w:sz w:val="20"/>
                <w:szCs w:val="20"/>
                <w:lang w:val="en-US"/>
              </w:rPr>
            </w:pPr>
            <w:r>
              <w:rPr>
                <w:rFonts w:ascii="Times New Roman" w:hAnsi="Times New Roman" w:cs="Times New Roman"/>
                <w:sz w:val="20"/>
                <w:szCs w:val="20"/>
                <w:lang w:val="en-US"/>
              </w:rPr>
              <w:t>0.17**</w:t>
            </w:r>
          </w:p>
        </w:tc>
        <w:tc>
          <w:tcPr>
            <w:tcW w:w="541" w:type="pct"/>
            <w:tcBorders>
              <w:top w:val="single" w:sz="12" w:space="0" w:color="auto"/>
              <w:right w:val="nil"/>
            </w:tcBorders>
          </w:tcPr>
          <w:p w:rsidR="00527214" w:rsidRPr="00E82E73" w:rsidRDefault="00527214" w:rsidP="0059780C">
            <w:pPr>
              <w:rPr>
                <w:rFonts w:ascii="Times New Roman" w:hAnsi="Times New Roman" w:cs="Times New Roman"/>
                <w:sz w:val="20"/>
                <w:szCs w:val="20"/>
                <w:lang w:val="en-US"/>
              </w:rPr>
            </w:pPr>
            <w:r>
              <w:rPr>
                <w:rFonts w:ascii="Times New Roman" w:hAnsi="Times New Roman" w:cs="Times New Roman"/>
                <w:sz w:val="20"/>
                <w:szCs w:val="20"/>
                <w:lang w:val="en-US"/>
              </w:rPr>
              <w:t>0.19***</w:t>
            </w:r>
          </w:p>
        </w:tc>
        <w:tc>
          <w:tcPr>
            <w:tcW w:w="698" w:type="pct"/>
            <w:tcBorders>
              <w:top w:val="single" w:sz="12" w:space="0" w:color="auto"/>
              <w:right w:val="nil"/>
            </w:tcBorders>
          </w:tcPr>
          <w:p w:rsidR="00527214" w:rsidRDefault="00527214" w:rsidP="0059780C">
            <w:pPr>
              <w:rPr>
                <w:rFonts w:ascii="Times New Roman" w:hAnsi="Times New Roman" w:cs="Times New Roman"/>
                <w:sz w:val="20"/>
                <w:szCs w:val="20"/>
                <w:lang w:val="en-US"/>
              </w:rPr>
            </w:pPr>
          </w:p>
        </w:tc>
      </w:tr>
      <w:tr w:rsidR="00527214" w:rsidTr="00527214">
        <w:tc>
          <w:tcPr>
            <w:tcW w:w="1109" w:type="pct"/>
            <w:tcBorders>
              <w:left w:val="nil"/>
            </w:tcBorders>
          </w:tcPr>
          <w:p w:rsidR="00527214" w:rsidRPr="008749AF" w:rsidRDefault="00527214" w:rsidP="0059780C">
            <w:pPr>
              <w:rPr>
                <w:rFonts w:ascii="Times New Roman" w:hAnsi="Times New Roman" w:cs="Times New Roman"/>
                <w:lang w:val="en-US"/>
              </w:rPr>
            </w:pPr>
            <w:r>
              <w:rPr>
                <w:rFonts w:ascii="Times New Roman" w:hAnsi="Times New Roman" w:cs="Times New Roman"/>
                <w:lang w:val="en-US"/>
              </w:rPr>
              <w:t>Outgap_</w:t>
            </w:r>
            <w:r w:rsidRPr="008749AF">
              <w:rPr>
                <w:rFonts w:ascii="Times New Roman" w:hAnsi="Times New Roman" w:cs="Times New Roman"/>
                <w:lang w:val="en-US"/>
              </w:rPr>
              <w:t>1</w:t>
            </w:r>
          </w:p>
        </w:tc>
        <w:tc>
          <w:tcPr>
            <w:tcW w:w="707" w:type="pct"/>
          </w:tcPr>
          <w:p w:rsidR="00527214" w:rsidRPr="00E82E73" w:rsidRDefault="00527214" w:rsidP="0059780C">
            <w:pPr>
              <w:rPr>
                <w:rFonts w:ascii="Times New Roman" w:hAnsi="Times New Roman" w:cs="Times New Roman"/>
                <w:sz w:val="20"/>
                <w:szCs w:val="20"/>
                <w:lang w:val="en-US"/>
              </w:rPr>
            </w:pPr>
            <w:r w:rsidRPr="00E82E73">
              <w:rPr>
                <w:rFonts w:ascii="Times New Roman" w:hAnsi="Times New Roman" w:cs="Times New Roman"/>
                <w:sz w:val="20"/>
                <w:szCs w:val="20"/>
                <w:lang w:val="en-US"/>
              </w:rPr>
              <w:t xml:space="preserve"> -0.0014***</w:t>
            </w:r>
          </w:p>
        </w:tc>
        <w:tc>
          <w:tcPr>
            <w:tcW w:w="676" w:type="pct"/>
          </w:tcPr>
          <w:p w:rsidR="00527214" w:rsidRPr="00E82E73" w:rsidRDefault="00527214" w:rsidP="0059780C">
            <w:pPr>
              <w:rPr>
                <w:rFonts w:ascii="Times New Roman" w:hAnsi="Times New Roman" w:cs="Times New Roman"/>
                <w:sz w:val="20"/>
                <w:szCs w:val="20"/>
                <w:lang w:val="en-US"/>
              </w:rPr>
            </w:pPr>
          </w:p>
        </w:tc>
        <w:tc>
          <w:tcPr>
            <w:tcW w:w="635" w:type="pct"/>
          </w:tcPr>
          <w:p w:rsidR="00527214" w:rsidRPr="00E82E73" w:rsidRDefault="00527214" w:rsidP="0059780C">
            <w:pPr>
              <w:rPr>
                <w:rFonts w:ascii="Times New Roman" w:hAnsi="Times New Roman" w:cs="Times New Roman"/>
                <w:sz w:val="20"/>
                <w:szCs w:val="20"/>
                <w:lang w:val="en-US"/>
              </w:rPr>
            </w:pPr>
            <w:r>
              <w:rPr>
                <w:rFonts w:ascii="Times New Roman" w:hAnsi="Times New Roman" w:cs="Times New Roman"/>
                <w:sz w:val="20"/>
                <w:szCs w:val="20"/>
                <w:lang w:val="en-US"/>
              </w:rPr>
              <w:t>-0.0016**</w:t>
            </w:r>
          </w:p>
        </w:tc>
        <w:tc>
          <w:tcPr>
            <w:tcW w:w="635" w:type="pct"/>
          </w:tcPr>
          <w:p w:rsidR="00527214" w:rsidRPr="00E82E73" w:rsidRDefault="00527214" w:rsidP="0059780C">
            <w:pPr>
              <w:rPr>
                <w:rFonts w:ascii="Times New Roman" w:hAnsi="Times New Roman" w:cs="Times New Roman"/>
                <w:sz w:val="20"/>
                <w:szCs w:val="20"/>
                <w:lang w:val="en-US"/>
              </w:rPr>
            </w:pPr>
            <w:r>
              <w:rPr>
                <w:rFonts w:ascii="Times New Roman" w:hAnsi="Times New Roman" w:cs="Times New Roman"/>
                <w:sz w:val="20"/>
                <w:szCs w:val="20"/>
                <w:lang w:val="en-US"/>
              </w:rPr>
              <w:t>-0.0014**</w:t>
            </w:r>
          </w:p>
        </w:tc>
        <w:tc>
          <w:tcPr>
            <w:tcW w:w="541" w:type="pct"/>
            <w:tcBorders>
              <w:right w:val="nil"/>
            </w:tcBorders>
          </w:tcPr>
          <w:p w:rsidR="00527214" w:rsidRPr="00E82E73" w:rsidRDefault="00527214" w:rsidP="0059780C">
            <w:pPr>
              <w:rPr>
                <w:rFonts w:ascii="Times New Roman" w:hAnsi="Times New Roman" w:cs="Times New Roman"/>
                <w:sz w:val="20"/>
                <w:szCs w:val="20"/>
                <w:lang w:val="en-US"/>
              </w:rPr>
            </w:pPr>
            <w:r>
              <w:rPr>
                <w:rFonts w:ascii="Times New Roman" w:hAnsi="Times New Roman" w:cs="Times New Roman"/>
                <w:sz w:val="20"/>
                <w:szCs w:val="20"/>
                <w:lang w:val="en-US"/>
              </w:rPr>
              <w:t>-0.0022***</w:t>
            </w:r>
          </w:p>
        </w:tc>
        <w:tc>
          <w:tcPr>
            <w:tcW w:w="698" w:type="pct"/>
            <w:tcBorders>
              <w:right w:val="nil"/>
            </w:tcBorders>
          </w:tcPr>
          <w:p w:rsidR="00527214" w:rsidRPr="00B27432" w:rsidRDefault="00527214" w:rsidP="00E61254">
            <w:pPr>
              <w:rPr>
                <w:rFonts w:ascii="Times New Roman" w:hAnsi="Times New Roman" w:cs="Times New Roman"/>
                <w:lang w:val="en-US"/>
              </w:rPr>
            </w:pPr>
            <w:r w:rsidRPr="00B27432">
              <w:rPr>
                <w:rFonts w:ascii="Times New Roman" w:hAnsi="Times New Roman" w:cs="Times New Roman"/>
                <w:lang w:val="en-US"/>
              </w:rPr>
              <w:t>-0.003***</w:t>
            </w:r>
          </w:p>
        </w:tc>
      </w:tr>
      <w:tr w:rsidR="00527214" w:rsidTr="00527214">
        <w:tc>
          <w:tcPr>
            <w:tcW w:w="1109" w:type="pct"/>
            <w:tcBorders>
              <w:left w:val="nil"/>
            </w:tcBorders>
          </w:tcPr>
          <w:p w:rsidR="00527214" w:rsidRPr="008749AF" w:rsidRDefault="00527214" w:rsidP="009B0A32">
            <w:pPr>
              <w:rPr>
                <w:rFonts w:ascii="Times New Roman" w:hAnsi="Times New Roman" w:cs="Times New Roman"/>
                <w:lang w:val="en-US"/>
              </w:rPr>
            </w:pPr>
            <w:proofErr w:type="spellStart"/>
            <w:r>
              <w:rPr>
                <w:rFonts w:ascii="Times New Roman" w:hAnsi="Times New Roman" w:cs="Times New Roman"/>
                <w:lang w:val="en-US"/>
              </w:rPr>
              <w:t>Net_FDI</w:t>
            </w:r>
            <w:proofErr w:type="spellEnd"/>
            <w:r>
              <w:rPr>
                <w:rFonts w:ascii="Times New Roman" w:hAnsi="Times New Roman" w:cs="Times New Roman"/>
                <w:lang w:val="en-US"/>
              </w:rPr>
              <w:t>/</w:t>
            </w:r>
            <w:proofErr w:type="spellStart"/>
            <w:r>
              <w:rPr>
                <w:rFonts w:ascii="Times New Roman" w:hAnsi="Times New Roman" w:cs="Times New Roman"/>
                <w:lang w:val="en-US"/>
              </w:rPr>
              <w:t>G</w:t>
            </w:r>
            <w:r w:rsidRPr="008749AF">
              <w:rPr>
                <w:rFonts w:ascii="Times New Roman" w:hAnsi="Times New Roman" w:cs="Times New Roman"/>
                <w:lang w:val="en-US"/>
              </w:rPr>
              <w:t>dp</w:t>
            </w:r>
            <w:proofErr w:type="spellEnd"/>
          </w:p>
        </w:tc>
        <w:tc>
          <w:tcPr>
            <w:tcW w:w="707" w:type="pct"/>
          </w:tcPr>
          <w:p w:rsidR="00527214" w:rsidRPr="00E82E73" w:rsidRDefault="00527214" w:rsidP="0059780C">
            <w:pPr>
              <w:rPr>
                <w:rFonts w:ascii="Times New Roman" w:hAnsi="Times New Roman" w:cs="Times New Roman"/>
                <w:sz w:val="20"/>
                <w:szCs w:val="20"/>
                <w:lang w:val="en-US"/>
              </w:rPr>
            </w:pPr>
            <w:r w:rsidRPr="00E82E73">
              <w:rPr>
                <w:rFonts w:ascii="Times New Roman" w:hAnsi="Times New Roman" w:cs="Times New Roman"/>
                <w:sz w:val="20"/>
                <w:szCs w:val="20"/>
                <w:lang w:val="en-US"/>
              </w:rPr>
              <w:t xml:space="preserve">   0.038***</w:t>
            </w:r>
          </w:p>
        </w:tc>
        <w:tc>
          <w:tcPr>
            <w:tcW w:w="676" w:type="pct"/>
          </w:tcPr>
          <w:p w:rsidR="00527214" w:rsidRPr="00E82E73" w:rsidRDefault="00527214" w:rsidP="0059780C">
            <w:pPr>
              <w:rPr>
                <w:rFonts w:ascii="Times New Roman" w:hAnsi="Times New Roman" w:cs="Times New Roman"/>
                <w:sz w:val="20"/>
                <w:szCs w:val="20"/>
                <w:lang w:val="en-US"/>
              </w:rPr>
            </w:pPr>
            <w:r w:rsidRPr="00E82E73">
              <w:rPr>
                <w:rFonts w:ascii="Times New Roman" w:hAnsi="Times New Roman" w:cs="Times New Roman"/>
                <w:sz w:val="20"/>
                <w:szCs w:val="20"/>
                <w:lang w:val="en-US"/>
              </w:rPr>
              <w:t xml:space="preserve">    0.045***</w:t>
            </w:r>
          </w:p>
        </w:tc>
        <w:tc>
          <w:tcPr>
            <w:tcW w:w="635" w:type="pct"/>
          </w:tcPr>
          <w:p w:rsidR="00527214" w:rsidRPr="00E82E73" w:rsidRDefault="00527214" w:rsidP="0059780C">
            <w:pPr>
              <w:rPr>
                <w:rFonts w:ascii="Times New Roman" w:hAnsi="Times New Roman" w:cs="Times New Roman"/>
                <w:sz w:val="20"/>
                <w:szCs w:val="20"/>
                <w:lang w:val="en-US"/>
              </w:rPr>
            </w:pPr>
            <w:r>
              <w:rPr>
                <w:rFonts w:ascii="Times New Roman" w:hAnsi="Times New Roman" w:cs="Times New Roman"/>
                <w:sz w:val="20"/>
                <w:szCs w:val="20"/>
                <w:lang w:val="en-US"/>
              </w:rPr>
              <w:t xml:space="preserve"> 0.0453***</w:t>
            </w:r>
          </w:p>
        </w:tc>
        <w:tc>
          <w:tcPr>
            <w:tcW w:w="635" w:type="pct"/>
          </w:tcPr>
          <w:p w:rsidR="00527214" w:rsidRPr="00E82E73" w:rsidRDefault="00527214" w:rsidP="0059780C">
            <w:pPr>
              <w:rPr>
                <w:rFonts w:ascii="Times New Roman" w:hAnsi="Times New Roman" w:cs="Times New Roman"/>
                <w:sz w:val="20"/>
                <w:szCs w:val="20"/>
                <w:lang w:val="en-US"/>
              </w:rPr>
            </w:pPr>
            <w:r>
              <w:rPr>
                <w:rFonts w:ascii="Times New Roman" w:hAnsi="Times New Roman" w:cs="Times New Roman"/>
                <w:sz w:val="20"/>
                <w:szCs w:val="20"/>
                <w:lang w:val="en-US"/>
              </w:rPr>
              <w:t>0.027**</w:t>
            </w:r>
          </w:p>
        </w:tc>
        <w:tc>
          <w:tcPr>
            <w:tcW w:w="541" w:type="pct"/>
            <w:tcBorders>
              <w:right w:val="nil"/>
            </w:tcBorders>
          </w:tcPr>
          <w:p w:rsidR="00527214" w:rsidRPr="00E82E73" w:rsidRDefault="00527214" w:rsidP="0059780C">
            <w:pPr>
              <w:rPr>
                <w:rFonts w:ascii="Times New Roman" w:hAnsi="Times New Roman" w:cs="Times New Roman"/>
                <w:sz w:val="20"/>
                <w:szCs w:val="20"/>
                <w:lang w:val="en-US"/>
              </w:rPr>
            </w:pPr>
          </w:p>
        </w:tc>
        <w:tc>
          <w:tcPr>
            <w:tcW w:w="698" w:type="pct"/>
            <w:tcBorders>
              <w:right w:val="nil"/>
            </w:tcBorders>
          </w:tcPr>
          <w:p w:rsidR="00527214" w:rsidRPr="00B27432" w:rsidRDefault="00527214" w:rsidP="00E61254">
            <w:pPr>
              <w:rPr>
                <w:rFonts w:ascii="Times New Roman" w:hAnsi="Times New Roman" w:cs="Times New Roman"/>
                <w:lang w:val="en-US"/>
              </w:rPr>
            </w:pPr>
            <w:r w:rsidRPr="00B27432">
              <w:rPr>
                <w:rFonts w:ascii="Times New Roman" w:hAnsi="Times New Roman" w:cs="Times New Roman"/>
                <w:lang w:val="en-US"/>
              </w:rPr>
              <w:t>0.017</w:t>
            </w:r>
          </w:p>
        </w:tc>
      </w:tr>
      <w:tr w:rsidR="00527214" w:rsidTr="00527214">
        <w:tc>
          <w:tcPr>
            <w:tcW w:w="1109" w:type="pct"/>
            <w:tcBorders>
              <w:left w:val="nil"/>
            </w:tcBorders>
          </w:tcPr>
          <w:p w:rsidR="00527214" w:rsidRPr="00D41C55" w:rsidRDefault="00527214" w:rsidP="0017404F">
            <w:pPr>
              <w:rPr>
                <w:rFonts w:ascii="Times New Roman" w:hAnsi="Times New Roman" w:cs="Times New Roman"/>
              </w:rPr>
            </w:pPr>
            <w:r w:rsidRPr="00D41C55">
              <w:rPr>
                <w:rFonts w:ascii="Times New Roman" w:hAnsi="Times New Roman" w:cs="Times New Roman"/>
              </w:rPr>
              <w:t xml:space="preserve">Corporate </w:t>
            </w:r>
            <w:proofErr w:type="spellStart"/>
            <w:r w:rsidRPr="00D41C55">
              <w:rPr>
                <w:rFonts w:ascii="Times New Roman" w:hAnsi="Times New Roman" w:cs="Times New Roman"/>
              </w:rPr>
              <w:t>Inv</w:t>
            </w:r>
            <w:proofErr w:type="spellEnd"/>
            <w:r w:rsidRPr="00D41C55">
              <w:rPr>
                <w:rFonts w:ascii="Times New Roman" w:hAnsi="Times New Roman" w:cs="Times New Roman"/>
              </w:rPr>
              <w:t>/GDP_1</w:t>
            </w:r>
          </w:p>
        </w:tc>
        <w:tc>
          <w:tcPr>
            <w:tcW w:w="707" w:type="pct"/>
          </w:tcPr>
          <w:p w:rsidR="00527214" w:rsidRPr="00D41C55" w:rsidRDefault="00527214" w:rsidP="0017404F">
            <w:pPr>
              <w:rPr>
                <w:rFonts w:ascii="Times New Roman" w:hAnsi="Times New Roman" w:cs="Times New Roman"/>
              </w:rPr>
            </w:pPr>
            <w:r w:rsidRPr="00D41C55">
              <w:rPr>
                <w:rFonts w:ascii="Times New Roman" w:hAnsi="Times New Roman" w:cs="Times New Roman"/>
              </w:rPr>
              <w:t xml:space="preserve"> -0.9***</w:t>
            </w:r>
          </w:p>
        </w:tc>
        <w:tc>
          <w:tcPr>
            <w:tcW w:w="676" w:type="pct"/>
          </w:tcPr>
          <w:p w:rsidR="00527214" w:rsidRPr="00D41C55" w:rsidRDefault="00527214" w:rsidP="0017404F">
            <w:pPr>
              <w:rPr>
                <w:rFonts w:ascii="Times New Roman" w:hAnsi="Times New Roman" w:cs="Times New Roman"/>
              </w:rPr>
            </w:pPr>
            <w:r w:rsidRPr="00D41C55">
              <w:rPr>
                <w:rFonts w:ascii="Times New Roman" w:hAnsi="Times New Roman" w:cs="Times New Roman"/>
              </w:rPr>
              <w:t xml:space="preserve"> -0.98***</w:t>
            </w:r>
          </w:p>
        </w:tc>
        <w:tc>
          <w:tcPr>
            <w:tcW w:w="635" w:type="pct"/>
          </w:tcPr>
          <w:p w:rsidR="00527214" w:rsidRPr="00D41C55" w:rsidRDefault="00527214" w:rsidP="0017404F">
            <w:pPr>
              <w:rPr>
                <w:rFonts w:ascii="Times New Roman" w:hAnsi="Times New Roman" w:cs="Times New Roman"/>
              </w:rPr>
            </w:pPr>
            <w:r w:rsidRPr="00D41C55">
              <w:rPr>
                <w:rFonts w:ascii="Times New Roman" w:hAnsi="Times New Roman" w:cs="Times New Roman"/>
              </w:rPr>
              <w:t>-0.74***</w:t>
            </w:r>
          </w:p>
        </w:tc>
        <w:tc>
          <w:tcPr>
            <w:tcW w:w="635" w:type="pct"/>
          </w:tcPr>
          <w:p w:rsidR="00527214" w:rsidRPr="00D41C55" w:rsidRDefault="00527214" w:rsidP="0017404F">
            <w:pPr>
              <w:rPr>
                <w:rFonts w:ascii="Times New Roman" w:hAnsi="Times New Roman" w:cs="Times New Roman"/>
              </w:rPr>
            </w:pPr>
            <w:r w:rsidRPr="00D41C55">
              <w:rPr>
                <w:rFonts w:ascii="Times New Roman" w:hAnsi="Times New Roman" w:cs="Times New Roman"/>
              </w:rPr>
              <w:t>-0.91***</w:t>
            </w:r>
          </w:p>
        </w:tc>
        <w:tc>
          <w:tcPr>
            <w:tcW w:w="541" w:type="pct"/>
            <w:tcBorders>
              <w:right w:val="nil"/>
            </w:tcBorders>
          </w:tcPr>
          <w:p w:rsidR="00527214" w:rsidRPr="00D41C55" w:rsidRDefault="00527214" w:rsidP="0017404F">
            <w:pPr>
              <w:rPr>
                <w:rFonts w:ascii="Times New Roman" w:hAnsi="Times New Roman" w:cs="Times New Roman"/>
              </w:rPr>
            </w:pPr>
          </w:p>
        </w:tc>
        <w:tc>
          <w:tcPr>
            <w:tcW w:w="698" w:type="pct"/>
            <w:tcBorders>
              <w:right w:val="nil"/>
            </w:tcBorders>
          </w:tcPr>
          <w:p w:rsidR="00527214" w:rsidRPr="00B27432" w:rsidRDefault="00527214" w:rsidP="00E61254">
            <w:pPr>
              <w:rPr>
                <w:rFonts w:ascii="Times New Roman" w:hAnsi="Times New Roman" w:cs="Times New Roman"/>
                <w:lang w:val="en-US"/>
              </w:rPr>
            </w:pPr>
          </w:p>
        </w:tc>
      </w:tr>
      <w:tr w:rsidR="00527214" w:rsidTr="00527214">
        <w:tc>
          <w:tcPr>
            <w:tcW w:w="1109" w:type="pct"/>
            <w:tcBorders>
              <w:left w:val="nil"/>
            </w:tcBorders>
          </w:tcPr>
          <w:p w:rsidR="00527214" w:rsidRPr="008749AF" w:rsidRDefault="00527214" w:rsidP="00230A65">
            <w:pPr>
              <w:rPr>
                <w:rFonts w:ascii="Times New Roman" w:hAnsi="Times New Roman" w:cs="Times New Roman"/>
                <w:lang w:val="en-US"/>
              </w:rPr>
            </w:pPr>
            <w:r>
              <w:rPr>
                <w:rFonts w:ascii="Times New Roman" w:hAnsi="Times New Roman" w:cs="Times New Roman"/>
                <w:lang w:val="en-US"/>
              </w:rPr>
              <w:t>Consumption/GDP_</w:t>
            </w:r>
            <w:r w:rsidRPr="008749AF">
              <w:rPr>
                <w:rFonts w:ascii="Times New Roman" w:hAnsi="Times New Roman" w:cs="Times New Roman"/>
                <w:lang w:val="en-US"/>
              </w:rPr>
              <w:t>1</w:t>
            </w:r>
          </w:p>
        </w:tc>
        <w:tc>
          <w:tcPr>
            <w:tcW w:w="707" w:type="pct"/>
          </w:tcPr>
          <w:p w:rsidR="00527214" w:rsidRPr="00E82E73" w:rsidRDefault="00527214" w:rsidP="0059780C">
            <w:pPr>
              <w:rPr>
                <w:rFonts w:ascii="Times New Roman" w:hAnsi="Times New Roman" w:cs="Times New Roman"/>
                <w:sz w:val="20"/>
                <w:szCs w:val="20"/>
                <w:highlight w:val="lightGray"/>
                <w:lang w:val="en-US"/>
              </w:rPr>
            </w:pPr>
            <w:r w:rsidRPr="00E82E73">
              <w:rPr>
                <w:rFonts w:ascii="Times New Roman" w:hAnsi="Times New Roman" w:cs="Times New Roman"/>
                <w:sz w:val="20"/>
                <w:szCs w:val="20"/>
                <w:lang w:val="en-US"/>
              </w:rPr>
              <w:t xml:space="preserve">  </w:t>
            </w:r>
            <w:r w:rsidRPr="00F2434E">
              <w:rPr>
                <w:rFonts w:ascii="Times New Roman" w:hAnsi="Times New Roman" w:cs="Times New Roman"/>
                <w:sz w:val="20"/>
                <w:szCs w:val="20"/>
                <w:lang w:val="en-US"/>
              </w:rPr>
              <w:t>-0.15</w:t>
            </w:r>
          </w:p>
        </w:tc>
        <w:tc>
          <w:tcPr>
            <w:tcW w:w="676" w:type="pct"/>
          </w:tcPr>
          <w:p w:rsidR="00527214" w:rsidRPr="00F2434E" w:rsidRDefault="00527214" w:rsidP="0059780C">
            <w:pPr>
              <w:rPr>
                <w:rFonts w:ascii="Times New Roman" w:hAnsi="Times New Roman" w:cs="Times New Roman"/>
                <w:sz w:val="20"/>
                <w:szCs w:val="20"/>
                <w:lang w:val="en-US"/>
              </w:rPr>
            </w:pPr>
            <w:r w:rsidRPr="00F2434E">
              <w:rPr>
                <w:rFonts w:ascii="Times New Roman" w:hAnsi="Times New Roman" w:cs="Times New Roman"/>
                <w:sz w:val="20"/>
                <w:szCs w:val="20"/>
                <w:lang w:val="en-US"/>
              </w:rPr>
              <w:t>-0.15</w:t>
            </w:r>
          </w:p>
        </w:tc>
        <w:tc>
          <w:tcPr>
            <w:tcW w:w="635" w:type="pct"/>
          </w:tcPr>
          <w:p w:rsidR="00527214" w:rsidRPr="00F2434E" w:rsidRDefault="00527214" w:rsidP="0059780C">
            <w:pPr>
              <w:rPr>
                <w:rFonts w:ascii="Times New Roman" w:hAnsi="Times New Roman" w:cs="Times New Roman"/>
                <w:sz w:val="20"/>
                <w:szCs w:val="20"/>
                <w:lang w:val="en-US"/>
              </w:rPr>
            </w:pPr>
            <w:r w:rsidRPr="00F2434E">
              <w:rPr>
                <w:rFonts w:ascii="Times New Roman" w:hAnsi="Times New Roman" w:cs="Times New Roman"/>
                <w:sz w:val="20"/>
                <w:szCs w:val="20"/>
                <w:lang w:val="en-US"/>
              </w:rPr>
              <w:t>-0.17***</w:t>
            </w:r>
          </w:p>
        </w:tc>
        <w:tc>
          <w:tcPr>
            <w:tcW w:w="635" w:type="pct"/>
          </w:tcPr>
          <w:p w:rsidR="00527214" w:rsidRPr="00F2434E" w:rsidRDefault="00527214" w:rsidP="0059780C">
            <w:pPr>
              <w:rPr>
                <w:rFonts w:ascii="Times New Roman" w:hAnsi="Times New Roman" w:cs="Times New Roman"/>
                <w:sz w:val="20"/>
                <w:szCs w:val="20"/>
                <w:lang w:val="en-US"/>
              </w:rPr>
            </w:pPr>
            <w:r w:rsidRPr="00F2434E">
              <w:rPr>
                <w:rFonts w:ascii="Times New Roman" w:hAnsi="Times New Roman" w:cs="Times New Roman"/>
                <w:sz w:val="20"/>
                <w:szCs w:val="20"/>
                <w:lang w:val="en-US"/>
              </w:rPr>
              <w:t>-0.12</w:t>
            </w:r>
          </w:p>
        </w:tc>
        <w:tc>
          <w:tcPr>
            <w:tcW w:w="541" w:type="pct"/>
            <w:tcBorders>
              <w:right w:val="nil"/>
            </w:tcBorders>
          </w:tcPr>
          <w:p w:rsidR="00527214" w:rsidRPr="00E82E73" w:rsidRDefault="00527214" w:rsidP="0059780C">
            <w:pPr>
              <w:rPr>
                <w:rFonts w:ascii="Times New Roman" w:hAnsi="Times New Roman" w:cs="Times New Roman"/>
                <w:sz w:val="20"/>
                <w:szCs w:val="20"/>
                <w:lang w:val="en-US"/>
              </w:rPr>
            </w:pPr>
            <w:r>
              <w:rPr>
                <w:rFonts w:ascii="Times New Roman" w:hAnsi="Times New Roman" w:cs="Times New Roman"/>
                <w:sz w:val="20"/>
                <w:szCs w:val="20"/>
                <w:lang w:val="en-US"/>
              </w:rPr>
              <w:t>-0.22**</w:t>
            </w:r>
          </w:p>
        </w:tc>
        <w:tc>
          <w:tcPr>
            <w:tcW w:w="698" w:type="pct"/>
            <w:tcBorders>
              <w:right w:val="nil"/>
            </w:tcBorders>
          </w:tcPr>
          <w:p w:rsidR="00527214" w:rsidRPr="00B27432" w:rsidRDefault="00527214" w:rsidP="00E61254">
            <w:pPr>
              <w:rPr>
                <w:rFonts w:ascii="Times New Roman" w:hAnsi="Times New Roman" w:cs="Times New Roman"/>
                <w:lang w:val="en-US"/>
              </w:rPr>
            </w:pPr>
            <w:r w:rsidRPr="00B27432">
              <w:rPr>
                <w:rFonts w:ascii="Times New Roman" w:hAnsi="Times New Roman" w:cs="Times New Roman"/>
                <w:lang w:val="en-US"/>
              </w:rPr>
              <w:t>-0.00018**</w:t>
            </w:r>
          </w:p>
        </w:tc>
      </w:tr>
      <w:tr w:rsidR="00527214" w:rsidRPr="00230A65" w:rsidTr="00527214">
        <w:tc>
          <w:tcPr>
            <w:tcW w:w="1109" w:type="pct"/>
            <w:tcBorders>
              <w:left w:val="nil"/>
            </w:tcBorders>
          </w:tcPr>
          <w:p w:rsidR="00527214" w:rsidRPr="008749AF" w:rsidRDefault="00527214" w:rsidP="00230A65">
            <w:pPr>
              <w:rPr>
                <w:rFonts w:ascii="Times New Roman" w:hAnsi="Times New Roman" w:cs="Times New Roman"/>
                <w:lang w:val="en-US"/>
              </w:rPr>
            </w:pPr>
          </w:p>
        </w:tc>
        <w:tc>
          <w:tcPr>
            <w:tcW w:w="707" w:type="pct"/>
          </w:tcPr>
          <w:p w:rsidR="00527214" w:rsidRPr="00E82E73" w:rsidRDefault="00527214" w:rsidP="0059780C">
            <w:pPr>
              <w:rPr>
                <w:rFonts w:ascii="Times New Roman" w:hAnsi="Times New Roman" w:cs="Times New Roman"/>
                <w:sz w:val="20"/>
                <w:szCs w:val="20"/>
                <w:lang w:val="en-US"/>
              </w:rPr>
            </w:pPr>
          </w:p>
        </w:tc>
        <w:tc>
          <w:tcPr>
            <w:tcW w:w="676" w:type="pct"/>
          </w:tcPr>
          <w:p w:rsidR="00527214" w:rsidRPr="00E82E73" w:rsidRDefault="00527214" w:rsidP="0059780C">
            <w:pPr>
              <w:rPr>
                <w:rFonts w:ascii="Times New Roman" w:hAnsi="Times New Roman" w:cs="Times New Roman"/>
                <w:sz w:val="20"/>
                <w:szCs w:val="20"/>
                <w:lang w:val="en-US"/>
              </w:rPr>
            </w:pPr>
          </w:p>
        </w:tc>
        <w:tc>
          <w:tcPr>
            <w:tcW w:w="635" w:type="pct"/>
          </w:tcPr>
          <w:p w:rsidR="00527214" w:rsidRPr="00E82E73" w:rsidRDefault="00527214" w:rsidP="0059780C">
            <w:pPr>
              <w:rPr>
                <w:rFonts w:ascii="Times New Roman" w:hAnsi="Times New Roman" w:cs="Times New Roman"/>
                <w:sz w:val="20"/>
                <w:szCs w:val="20"/>
                <w:lang w:val="en-US"/>
              </w:rPr>
            </w:pPr>
          </w:p>
        </w:tc>
        <w:tc>
          <w:tcPr>
            <w:tcW w:w="635" w:type="pct"/>
          </w:tcPr>
          <w:p w:rsidR="00527214" w:rsidRPr="00E82E73" w:rsidRDefault="00527214" w:rsidP="0059780C">
            <w:pPr>
              <w:rPr>
                <w:rFonts w:ascii="Times New Roman" w:hAnsi="Times New Roman" w:cs="Times New Roman"/>
                <w:sz w:val="20"/>
                <w:szCs w:val="20"/>
                <w:lang w:val="en-US"/>
              </w:rPr>
            </w:pPr>
          </w:p>
        </w:tc>
        <w:tc>
          <w:tcPr>
            <w:tcW w:w="541" w:type="pct"/>
            <w:tcBorders>
              <w:right w:val="nil"/>
            </w:tcBorders>
          </w:tcPr>
          <w:p w:rsidR="00527214" w:rsidRPr="00E82E73" w:rsidRDefault="00527214" w:rsidP="0059780C">
            <w:pPr>
              <w:rPr>
                <w:rFonts w:ascii="Times New Roman" w:hAnsi="Times New Roman" w:cs="Times New Roman"/>
                <w:sz w:val="20"/>
                <w:szCs w:val="20"/>
                <w:lang w:val="en-US"/>
              </w:rPr>
            </w:pPr>
          </w:p>
        </w:tc>
        <w:tc>
          <w:tcPr>
            <w:tcW w:w="698" w:type="pct"/>
            <w:tcBorders>
              <w:right w:val="nil"/>
            </w:tcBorders>
          </w:tcPr>
          <w:p w:rsidR="00527214" w:rsidRPr="00B27432" w:rsidRDefault="00527214" w:rsidP="00E61254">
            <w:pPr>
              <w:rPr>
                <w:rFonts w:ascii="Times New Roman" w:hAnsi="Times New Roman" w:cs="Times New Roman"/>
                <w:lang w:val="en-US"/>
              </w:rPr>
            </w:pPr>
            <w:r w:rsidRPr="00B27432">
              <w:rPr>
                <w:rFonts w:ascii="Times New Roman" w:hAnsi="Times New Roman" w:cs="Times New Roman"/>
                <w:lang w:val="en-US"/>
              </w:rPr>
              <w:t>-0.15</w:t>
            </w:r>
          </w:p>
        </w:tc>
      </w:tr>
      <w:tr w:rsidR="00527214" w:rsidRPr="00230A65" w:rsidTr="00527214">
        <w:tc>
          <w:tcPr>
            <w:tcW w:w="1109" w:type="pct"/>
            <w:tcBorders>
              <w:left w:val="nil"/>
            </w:tcBorders>
          </w:tcPr>
          <w:p w:rsidR="00527214" w:rsidRPr="008749AF" w:rsidRDefault="00527214" w:rsidP="0059780C">
            <w:pPr>
              <w:rPr>
                <w:rFonts w:ascii="Times New Roman" w:hAnsi="Times New Roman" w:cs="Times New Roman"/>
                <w:lang w:val="en-US"/>
              </w:rPr>
            </w:pPr>
            <w:r w:rsidRPr="008749AF">
              <w:rPr>
                <w:rFonts w:ascii="Times New Roman" w:hAnsi="Times New Roman" w:cs="Times New Roman"/>
                <w:lang w:val="en-US"/>
              </w:rPr>
              <w:t xml:space="preserve">Brent </w:t>
            </w:r>
          </w:p>
        </w:tc>
        <w:tc>
          <w:tcPr>
            <w:tcW w:w="707" w:type="pct"/>
          </w:tcPr>
          <w:p w:rsidR="00527214" w:rsidRPr="00E82E73" w:rsidRDefault="00527214" w:rsidP="0059780C">
            <w:pPr>
              <w:rPr>
                <w:rFonts w:ascii="Times New Roman" w:hAnsi="Times New Roman" w:cs="Times New Roman"/>
                <w:sz w:val="20"/>
                <w:szCs w:val="20"/>
                <w:lang w:val="en-US"/>
              </w:rPr>
            </w:pPr>
            <w:r w:rsidRPr="00E82E73">
              <w:rPr>
                <w:rFonts w:ascii="Times New Roman" w:hAnsi="Times New Roman" w:cs="Times New Roman"/>
                <w:sz w:val="20"/>
                <w:szCs w:val="20"/>
                <w:lang w:val="en-US"/>
              </w:rPr>
              <w:t xml:space="preserve"> -0.00012***</w:t>
            </w:r>
          </w:p>
        </w:tc>
        <w:tc>
          <w:tcPr>
            <w:tcW w:w="676" w:type="pct"/>
          </w:tcPr>
          <w:p w:rsidR="00527214" w:rsidRPr="00E82E73" w:rsidRDefault="00527214" w:rsidP="0059780C">
            <w:pPr>
              <w:rPr>
                <w:rFonts w:ascii="Times New Roman" w:hAnsi="Times New Roman" w:cs="Times New Roman"/>
                <w:sz w:val="20"/>
                <w:szCs w:val="20"/>
                <w:lang w:val="en-US"/>
              </w:rPr>
            </w:pPr>
            <w:r w:rsidRPr="00E82E73">
              <w:rPr>
                <w:rFonts w:ascii="Times New Roman" w:hAnsi="Times New Roman" w:cs="Times New Roman"/>
                <w:sz w:val="20"/>
                <w:szCs w:val="20"/>
                <w:lang w:val="en-US"/>
              </w:rPr>
              <w:t>-0.00015***</w:t>
            </w:r>
          </w:p>
        </w:tc>
        <w:tc>
          <w:tcPr>
            <w:tcW w:w="635" w:type="pct"/>
          </w:tcPr>
          <w:p w:rsidR="00527214" w:rsidRPr="00E82E73" w:rsidRDefault="00527214" w:rsidP="0059780C">
            <w:pPr>
              <w:rPr>
                <w:rFonts w:ascii="Times New Roman" w:hAnsi="Times New Roman" w:cs="Times New Roman"/>
                <w:sz w:val="20"/>
                <w:szCs w:val="20"/>
                <w:lang w:val="en-US"/>
              </w:rPr>
            </w:pPr>
            <w:r>
              <w:rPr>
                <w:rFonts w:ascii="Times New Roman" w:hAnsi="Times New Roman" w:cs="Times New Roman"/>
                <w:sz w:val="20"/>
                <w:szCs w:val="20"/>
                <w:lang w:val="en-US"/>
              </w:rPr>
              <w:t>-0.00015***</w:t>
            </w:r>
          </w:p>
        </w:tc>
        <w:tc>
          <w:tcPr>
            <w:tcW w:w="635" w:type="pct"/>
          </w:tcPr>
          <w:p w:rsidR="00527214" w:rsidRPr="00E82E73" w:rsidRDefault="00527214" w:rsidP="0059780C">
            <w:pPr>
              <w:rPr>
                <w:rFonts w:ascii="Times New Roman" w:hAnsi="Times New Roman" w:cs="Times New Roman"/>
                <w:sz w:val="20"/>
                <w:szCs w:val="20"/>
                <w:lang w:val="en-US"/>
              </w:rPr>
            </w:pPr>
          </w:p>
        </w:tc>
        <w:tc>
          <w:tcPr>
            <w:tcW w:w="541" w:type="pct"/>
            <w:tcBorders>
              <w:right w:val="nil"/>
            </w:tcBorders>
          </w:tcPr>
          <w:p w:rsidR="00527214" w:rsidRPr="00E82E73" w:rsidRDefault="00527214" w:rsidP="0059780C">
            <w:pPr>
              <w:rPr>
                <w:rFonts w:ascii="Times New Roman" w:hAnsi="Times New Roman" w:cs="Times New Roman"/>
                <w:sz w:val="20"/>
                <w:szCs w:val="20"/>
                <w:lang w:val="en-US"/>
              </w:rPr>
            </w:pPr>
            <w:r>
              <w:rPr>
                <w:rFonts w:ascii="Times New Roman" w:hAnsi="Times New Roman" w:cs="Times New Roman"/>
                <w:sz w:val="20"/>
                <w:szCs w:val="20"/>
                <w:lang w:val="en-US"/>
              </w:rPr>
              <w:t>-0.0017**</w:t>
            </w:r>
          </w:p>
        </w:tc>
        <w:tc>
          <w:tcPr>
            <w:tcW w:w="698" w:type="pct"/>
            <w:tcBorders>
              <w:right w:val="nil"/>
            </w:tcBorders>
          </w:tcPr>
          <w:p w:rsidR="00527214" w:rsidRDefault="00527214" w:rsidP="0059780C">
            <w:pPr>
              <w:rPr>
                <w:rFonts w:ascii="Times New Roman" w:hAnsi="Times New Roman" w:cs="Times New Roman"/>
                <w:sz w:val="20"/>
                <w:szCs w:val="20"/>
                <w:lang w:val="en-US"/>
              </w:rPr>
            </w:pPr>
          </w:p>
        </w:tc>
      </w:tr>
      <w:tr w:rsidR="00527214" w:rsidTr="00527214">
        <w:tc>
          <w:tcPr>
            <w:tcW w:w="1109" w:type="pct"/>
            <w:tcBorders>
              <w:left w:val="nil"/>
            </w:tcBorders>
          </w:tcPr>
          <w:p w:rsidR="00527214" w:rsidRPr="008749AF" w:rsidRDefault="00527214" w:rsidP="0059780C">
            <w:pPr>
              <w:rPr>
                <w:rFonts w:ascii="Times New Roman" w:hAnsi="Times New Roman" w:cs="Times New Roman"/>
                <w:lang w:val="en-US"/>
              </w:rPr>
            </w:pPr>
            <w:r w:rsidRPr="008749AF">
              <w:rPr>
                <w:rFonts w:ascii="Times New Roman" w:hAnsi="Times New Roman" w:cs="Times New Roman"/>
                <w:lang w:val="en-US"/>
              </w:rPr>
              <w:t>Spreads</w:t>
            </w:r>
          </w:p>
        </w:tc>
        <w:tc>
          <w:tcPr>
            <w:tcW w:w="707" w:type="pct"/>
          </w:tcPr>
          <w:p w:rsidR="00527214" w:rsidRPr="00E82E73" w:rsidRDefault="00527214" w:rsidP="0059780C">
            <w:pPr>
              <w:rPr>
                <w:rFonts w:ascii="Times New Roman" w:hAnsi="Times New Roman" w:cs="Times New Roman"/>
                <w:sz w:val="20"/>
                <w:szCs w:val="20"/>
                <w:lang w:val="en-US"/>
              </w:rPr>
            </w:pPr>
          </w:p>
        </w:tc>
        <w:tc>
          <w:tcPr>
            <w:tcW w:w="676" w:type="pct"/>
          </w:tcPr>
          <w:p w:rsidR="00527214" w:rsidRPr="00E82E73" w:rsidRDefault="00527214" w:rsidP="0059780C">
            <w:pPr>
              <w:rPr>
                <w:rFonts w:ascii="Times New Roman" w:hAnsi="Times New Roman" w:cs="Times New Roman"/>
                <w:sz w:val="20"/>
                <w:szCs w:val="20"/>
                <w:lang w:val="en-US"/>
              </w:rPr>
            </w:pPr>
            <w:r w:rsidRPr="00E82E73">
              <w:rPr>
                <w:rFonts w:ascii="Times New Roman" w:hAnsi="Times New Roman" w:cs="Times New Roman"/>
                <w:sz w:val="20"/>
                <w:szCs w:val="20"/>
                <w:lang w:val="en-US"/>
              </w:rPr>
              <w:t xml:space="preserve">   0.0035***</w:t>
            </w:r>
          </w:p>
        </w:tc>
        <w:tc>
          <w:tcPr>
            <w:tcW w:w="635" w:type="pct"/>
          </w:tcPr>
          <w:p w:rsidR="00527214" w:rsidRPr="00E82E73" w:rsidRDefault="00527214" w:rsidP="0059780C">
            <w:pPr>
              <w:rPr>
                <w:rFonts w:ascii="Times New Roman" w:hAnsi="Times New Roman" w:cs="Times New Roman"/>
                <w:sz w:val="20"/>
                <w:szCs w:val="20"/>
                <w:lang w:val="en-US"/>
              </w:rPr>
            </w:pPr>
          </w:p>
        </w:tc>
        <w:tc>
          <w:tcPr>
            <w:tcW w:w="635" w:type="pct"/>
          </w:tcPr>
          <w:p w:rsidR="00527214" w:rsidRPr="00E82E73" w:rsidRDefault="00527214" w:rsidP="0059780C">
            <w:pPr>
              <w:rPr>
                <w:rFonts w:ascii="Times New Roman" w:hAnsi="Times New Roman" w:cs="Times New Roman"/>
                <w:sz w:val="20"/>
                <w:szCs w:val="20"/>
                <w:lang w:val="en-US"/>
              </w:rPr>
            </w:pPr>
          </w:p>
        </w:tc>
        <w:tc>
          <w:tcPr>
            <w:tcW w:w="541" w:type="pct"/>
            <w:tcBorders>
              <w:right w:val="nil"/>
            </w:tcBorders>
          </w:tcPr>
          <w:p w:rsidR="00527214" w:rsidRPr="00E82E73" w:rsidRDefault="00527214" w:rsidP="0059780C">
            <w:pPr>
              <w:rPr>
                <w:rFonts w:ascii="Times New Roman" w:hAnsi="Times New Roman" w:cs="Times New Roman"/>
                <w:sz w:val="20"/>
                <w:szCs w:val="20"/>
                <w:lang w:val="en-US"/>
              </w:rPr>
            </w:pPr>
          </w:p>
        </w:tc>
        <w:tc>
          <w:tcPr>
            <w:tcW w:w="698" w:type="pct"/>
            <w:tcBorders>
              <w:right w:val="nil"/>
            </w:tcBorders>
          </w:tcPr>
          <w:p w:rsidR="00527214" w:rsidRPr="00E82E73" w:rsidRDefault="00527214" w:rsidP="0059780C">
            <w:pPr>
              <w:rPr>
                <w:rFonts w:ascii="Times New Roman" w:hAnsi="Times New Roman" w:cs="Times New Roman"/>
                <w:sz w:val="20"/>
                <w:szCs w:val="20"/>
                <w:lang w:val="en-US"/>
              </w:rPr>
            </w:pPr>
          </w:p>
        </w:tc>
      </w:tr>
      <w:tr w:rsidR="00527214" w:rsidTr="00527214">
        <w:tc>
          <w:tcPr>
            <w:tcW w:w="1109" w:type="pct"/>
            <w:tcBorders>
              <w:left w:val="nil"/>
            </w:tcBorders>
          </w:tcPr>
          <w:p w:rsidR="00527214" w:rsidRPr="008749AF" w:rsidRDefault="00527214" w:rsidP="0059780C">
            <w:pPr>
              <w:rPr>
                <w:rFonts w:ascii="Times New Roman" w:hAnsi="Times New Roman" w:cs="Times New Roman"/>
                <w:lang w:val="en-US"/>
              </w:rPr>
            </w:pPr>
            <w:r>
              <w:rPr>
                <w:rFonts w:ascii="Times New Roman" w:hAnsi="Times New Roman" w:cs="Times New Roman"/>
                <w:lang w:val="en-US"/>
              </w:rPr>
              <w:t>Leverage</w:t>
            </w:r>
          </w:p>
        </w:tc>
        <w:tc>
          <w:tcPr>
            <w:tcW w:w="707" w:type="pct"/>
          </w:tcPr>
          <w:p w:rsidR="00527214" w:rsidRPr="00E82E73" w:rsidRDefault="00527214" w:rsidP="0059780C">
            <w:pPr>
              <w:rPr>
                <w:rFonts w:ascii="Times New Roman" w:hAnsi="Times New Roman" w:cs="Times New Roman"/>
                <w:sz w:val="20"/>
                <w:szCs w:val="20"/>
                <w:lang w:val="en-US"/>
              </w:rPr>
            </w:pPr>
          </w:p>
        </w:tc>
        <w:tc>
          <w:tcPr>
            <w:tcW w:w="676" w:type="pct"/>
          </w:tcPr>
          <w:p w:rsidR="00527214" w:rsidRPr="00E82E73" w:rsidRDefault="00527214" w:rsidP="0059780C">
            <w:pPr>
              <w:rPr>
                <w:rFonts w:ascii="Times New Roman" w:hAnsi="Times New Roman" w:cs="Times New Roman"/>
                <w:sz w:val="20"/>
                <w:szCs w:val="20"/>
                <w:lang w:val="en-US"/>
              </w:rPr>
            </w:pPr>
          </w:p>
        </w:tc>
        <w:tc>
          <w:tcPr>
            <w:tcW w:w="635" w:type="pct"/>
          </w:tcPr>
          <w:p w:rsidR="00527214" w:rsidRPr="00E82E73" w:rsidRDefault="00527214" w:rsidP="0059780C">
            <w:pPr>
              <w:rPr>
                <w:rFonts w:ascii="Times New Roman" w:hAnsi="Times New Roman" w:cs="Times New Roman"/>
                <w:sz w:val="20"/>
                <w:szCs w:val="20"/>
                <w:lang w:val="en-US"/>
              </w:rPr>
            </w:pPr>
            <w:r>
              <w:rPr>
                <w:rFonts w:ascii="Times New Roman" w:hAnsi="Times New Roman" w:cs="Times New Roman"/>
                <w:sz w:val="20"/>
                <w:szCs w:val="20"/>
                <w:lang w:val="en-US"/>
              </w:rPr>
              <w:t>-0.027**</w:t>
            </w:r>
          </w:p>
        </w:tc>
        <w:tc>
          <w:tcPr>
            <w:tcW w:w="635" w:type="pct"/>
          </w:tcPr>
          <w:p w:rsidR="00527214" w:rsidRPr="00E82E73" w:rsidRDefault="00527214" w:rsidP="0059780C">
            <w:pPr>
              <w:rPr>
                <w:rFonts w:ascii="Times New Roman" w:hAnsi="Times New Roman" w:cs="Times New Roman"/>
                <w:sz w:val="20"/>
                <w:szCs w:val="20"/>
                <w:lang w:val="en-US"/>
              </w:rPr>
            </w:pPr>
          </w:p>
        </w:tc>
        <w:tc>
          <w:tcPr>
            <w:tcW w:w="541" w:type="pct"/>
            <w:tcBorders>
              <w:right w:val="nil"/>
            </w:tcBorders>
          </w:tcPr>
          <w:p w:rsidR="00527214" w:rsidRPr="00E82E73" w:rsidRDefault="00527214" w:rsidP="0059780C">
            <w:pPr>
              <w:rPr>
                <w:rFonts w:ascii="Times New Roman" w:hAnsi="Times New Roman" w:cs="Times New Roman"/>
                <w:sz w:val="20"/>
                <w:szCs w:val="20"/>
                <w:lang w:val="en-US"/>
              </w:rPr>
            </w:pPr>
          </w:p>
        </w:tc>
        <w:tc>
          <w:tcPr>
            <w:tcW w:w="698" w:type="pct"/>
            <w:tcBorders>
              <w:right w:val="nil"/>
            </w:tcBorders>
          </w:tcPr>
          <w:p w:rsidR="00527214" w:rsidRPr="00B27432" w:rsidRDefault="00527214" w:rsidP="00E61254">
            <w:pPr>
              <w:rPr>
                <w:rFonts w:ascii="Times New Roman" w:hAnsi="Times New Roman" w:cs="Times New Roman"/>
                <w:lang w:val="en-US"/>
              </w:rPr>
            </w:pPr>
            <w:r w:rsidRPr="00B27432">
              <w:rPr>
                <w:rFonts w:ascii="Times New Roman" w:hAnsi="Times New Roman" w:cs="Times New Roman"/>
                <w:lang w:val="en-US"/>
              </w:rPr>
              <w:t>-0.06***</w:t>
            </w:r>
          </w:p>
        </w:tc>
      </w:tr>
      <w:tr w:rsidR="00527214" w:rsidTr="00527214">
        <w:tc>
          <w:tcPr>
            <w:tcW w:w="1109" w:type="pct"/>
            <w:tcBorders>
              <w:left w:val="nil"/>
            </w:tcBorders>
          </w:tcPr>
          <w:p w:rsidR="00527214" w:rsidRDefault="001A36EB" w:rsidP="0059780C">
            <w:pPr>
              <w:rPr>
                <w:rFonts w:ascii="Times New Roman" w:hAnsi="Times New Roman" w:cs="Times New Roman"/>
                <w:lang w:val="en-US"/>
              </w:rPr>
            </w:pPr>
            <w:r>
              <w:rPr>
                <w:rFonts w:ascii="Times New Roman" w:hAnsi="Times New Roman" w:cs="Times New Roman"/>
                <w:lang w:val="en-US"/>
              </w:rPr>
              <w:t>C</w:t>
            </w:r>
            <w:r w:rsidR="00527214">
              <w:rPr>
                <w:rFonts w:ascii="Times New Roman" w:hAnsi="Times New Roman" w:cs="Times New Roman"/>
                <w:lang w:val="en-US"/>
              </w:rPr>
              <w:t>risis</w:t>
            </w:r>
          </w:p>
        </w:tc>
        <w:tc>
          <w:tcPr>
            <w:tcW w:w="707" w:type="pct"/>
          </w:tcPr>
          <w:p w:rsidR="00527214" w:rsidRPr="00E82E73" w:rsidRDefault="00527214" w:rsidP="0059780C">
            <w:pPr>
              <w:rPr>
                <w:rFonts w:ascii="Times New Roman" w:hAnsi="Times New Roman" w:cs="Times New Roman"/>
                <w:sz w:val="20"/>
                <w:szCs w:val="20"/>
                <w:lang w:val="en-US"/>
              </w:rPr>
            </w:pPr>
          </w:p>
        </w:tc>
        <w:tc>
          <w:tcPr>
            <w:tcW w:w="676" w:type="pct"/>
          </w:tcPr>
          <w:p w:rsidR="00527214" w:rsidRPr="00E82E73" w:rsidRDefault="00527214" w:rsidP="0059780C">
            <w:pPr>
              <w:rPr>
                <w:rFonts w:ascii="Times New Roman" w:hAnsi="Times New Roman" w:cs="Times New Roman"/>
                <w:sz w:val="20"/>
                <w:szCs w:val="20"/>
                <w:lang w:val="en-US"/>
              </w:rPr>
            </w:pPr>
          </w:p>
        </w:tc>
        <w:tc>
          <w:tcPr>
            <w:tcW w:w="635" w:type="pct"/>
          </w:tcPr>
          <w:p w:rsidR="00527214" w:rsidRDefault="00527214" w:rsidP="0059780C">
            <w:pPr>
              <w:rPr>
                <w:rFonts w:ascii="Times New Roman" w:hAnsi="Times New Roman" w:cs="Times New Roman"/>
                <w:sz w:val="20"/>
                <w:szCs w:val="20"/>
                <w:lang w:val="en-US"/>
              </w:rPr>
            </w:pPr>
          </w:p>
        </w:tc>
        <w:tc>
          <w:tcPr>
            <w:tcW w:w="635" w:type="pct"/>
          </w:tcPr>
          <w:p w:rsidR="00527214" w:rsidRPr="00E82E73" w:rsidRDefault="00527214" w:rsidP="0059780C">
            <w:pPr>
              <w:rPr>
                <w:rFonts w:ascii="Times New Roman" w:hAnsi="Times New Roman" w:cs="Times New Roman"/>
                <w:sz w:val="20"/>
                <w:szCs w:val="20"/>
                <w:lang w:val="en-US"/>
              </w:rPr>
            </w:pPr>
          </w:p>
        </w:tc>
        <w:tc>
          <w:tcPr>
            <w:tcW w:w="541" w:type="pct"/>
            <w:tcBorders>
              <w:right w:val="nil"/>
            </w:tcBorders>
          </w:tcPr>
          <w:p w:rsidR="00527214" w:rsidRPr="00E82E73" w:rsidRDefault="00527214" w:rsidP="0059780C">
            <w:pPr>
              <w:rPr>
                <w:rFonts w:ascii="Times New Roman" w:hAnsi="Times New Roman" w:cs="Times New Roman"/>
                <w:sz w:val="20"/>
                <w:szCs w:val="20"/>
                <w:lang w:val="en-US"/>
              </w:rPr>
            </w:pPr>
          </w:p>
        </w:tc>
        <w:tc>
          <w:tcPr>
            <w:tcW w:w="698" w:type="pct"/>
            <w:tcBorders>
              <w:right w:val="nil"/>
            </w:tcBorders>
          </w:tcPr>
          <w:p w:rsidR="00527214" w:rsidRPr="00B27432" w:rsidRDefault="00527214" w:rsidP="00E61254">
            <w:pPr>
              <w:rPr>
                <w:rFonts w:ascii="Times New Roman" w:hAnsi="Times New Roman" w:cs="Times New Roman"/>
                <w:lang w:val="en-US"/>
              </w:rPr>
            </w:pPr>
            <w:r w:rsidRPr="00B27432">
              <w:rPr>
                <w:rFonts w:ascii="Times New Roman" w:hAnsi="Times New Roman" w:cs="Times New Roman"/>
                <w:lang w:val="en-US"/>
              </w:rPr>
              <w:t>-0.05***</w:t>
            </w:r>
          </w:p>
        </w:tc>
      </w:tr>
      <w:tr w:rsidR="00527214" w:rsidTr="00527214">
        <w:tc>
          <w:tcPr>
            <w:tcW w:w="1109" w:type="pct"/>
            <w:tcBorders>
              <w:left w:val="nil"/>
            </w:tcBorders>
          </w:tcPr>
          <w:p w:rsidR="00527214" w:rsidRDefault="00527214" w:rsidP="0059780C">
            <w:pPr>
              <w:rPr>
                <w:rFonts w:ascii="Times New Roman" w:hAnsi="Times New Roman" w:cs="Times New Roman"/>
                <w:lang w:val="en-US"/>
              </w:rPr>
            </w:pPr>
            <w:r>
              <w:rPr>
                <w:rFonts w:ascii="Times New Roman" w:hAnsi="Times New Roman" w:cs="Times New Roman"/>
                <w:lang w:val="en-US"/>
              </w:rPr>
              <w:t>Leverage *crisis</w:t>
            </w:r>
          </w:p>
        </w:tc>
        <w:tc>
          <w:tcPr>
            <w:tcW w:w="707" w:type="pct"/>
          </w:tcPr>
          <w:p w:rsidR="00527214" w:rsidRPr="00E82E73" w:rsidRDefault="00527214" w:rsidP="0059780C">
            <w:pPr>
              <w:rPr>
                <w:rFonts w:ascii="Times New Roman" w:hAnsi="Times New Roman" w:cs="Times New Roman"/>
                <w:sz w:val="20"/>
                <w:szCs w:val="20"/>
                <w:lang w:val="en-US"/>
              </w:rPr>
            </w:pPr>
          </w:p>
        </w:tc>
        <w:tc>
          <w:tcPr>
            <w:tcW w:w="676" w:type="pct"/>
          </w:tcPr>
          <w:p w:rsidR="00527214" w:rsidRPr="00E82E73" w:rsidRDefault="00527214" w:rsidP="0059780C">
            <w:pPr>
              <w:rPr>
                <w:rFonts w:ascii="Times New Roman" w:hAnsi="Times New Roman" w:cs="Times New Roman"/>
                <w:sz w:val="20"/>
                <w:szCs w:val="20"/>
                <w:lang w:val="en-US"/>
              </w:rPr>
            </w:pPr>
          </w:p>
        </w:tc>
        <w:tc>
          <w:tcPr>
            <w:tcW w:w="635" w:type="pct"/>
          </w:tcPr>
          <w:p w:rsidR="00527214" w:rsidRDefault="00527214" w:rsidP="0059780C">
            <w:pPr>
              <w:rPr>
                <w:rFonts w:ascii="Times New Roman" w:hAnsi="Times New Roman" w:cs="Times New Roman"/>
                <w:sz w:val="20"/>
                <w:szCs w:val="20"/>
                <w:lang w:val="en-US"/>
              </w:rPr>
            </w:pPr>
          </w:p>
        </w:tc>
        <w:tc>
          <w:tcPr>
            <w:tcW w:w="635" w:type="pct"/>
          </w:tcPr>
          <w:p w:rsidR="00527214" w:rsidRPr="00E82E73" w:rsidRDefault="00527214" w:rsidP="0059780C">
            <w:pPr>
              <w:rPr>
                <w:rFonts w:ascii="Times New Roman" w:hAnsi="Times New Roman" w:cs="Times New Roman"/>
                <w:sz w:val="20"/>
                <w:szCs w:val="20"/>
                <w:lang w:val="en-US"/>
              </w:rPr>
            </w:pPr>
          </w:p>
        </w:tc>
        <w:tc>
          <w:tcPr>
            <w:tcW w:w="541" w:type="pct"/>
            <w:tcBorders>
              <w:right w:val="nil"/>
            </w:tcBorders>
          </w:tcPr>
          <w:p w:rsidR="00527214" w:rsidRPr="00E82E73" w:rsidRDefault="00527214" w:rsidP="0059780C">
            <w:pPr>
              <w:rPr>
                <w:rFonts w:ascii="Times New Roman" w:hAnsi="Times New Roman" w:cs="Times New Roman"/>
                <w:sz w:val="20"/>
                <w:szCs w:val="20"/>
                <w:lang w:val="en-US"/>
              </w:rPr>
            </w:pPr>
          </w:p>
        </w:tc>
        <w:tc>
          <w:tcPr>
            <w:tcW w:w="698" w:type="pct"/>
            <w:tcBorders>
              <w:right w:val="nil"/>
            </w:tcBorders>
          </w:tcPr>
          <w:p w:rsidR="00527214" w:rsidRPr="00B27432" w:rsidRDefault="00527214" w:rsidP="00E61254">
            <w:pPr>
              <w:rPr>
                <w:rFonts w:ascii="Times New Roman" w:hAnsi="Times New Roman" w:cs="Times New Roman"/>
                <w:lang w:val="en-US"/>
              </w:rPr>
            </w:pPr>
            <w:r w:rsidRPr="00B27432">
              <w:rPr>
                <w:rFonts w:ascii="Times New Roman" w:hAnsi="Times New Roman" w:cs="Times New Roman"/>
                <w:lang w:val="en-US"/>
              </w:rPr>
              <w:t>0.09***</w:t>
            </w:r>
          </w:p>
        </w:tc>
      </w:tr>
      <w:tr w:rsidR="00527214" w:rsidTr="00527214">
        <w:tc>
          <w:tcPr>
            <w:tcW w:w="1109" w:type="pct"/>
            <w:tcBorders>
              <w:left w:val="nil"/>
            </w:tcBorders>
          </w:tcPr>
          <w:p w:rsidR="00527214" w:rsidRPr="008749AF" w:rsidRDefault="00527214" w:rsidP="004F5BB1">
            <w:pPr>
              <w:rPr>
                <w:rFonts w:ascii="Times New Roman" w:hAnsi="Times New Roman" w:cs="Times New Roman"/>
                <w:lang w:val="en-US"/>
              </w:rPr>
            </w:pPr>
            <w:r>
              <w:rPr>
                <w:rFonts w:ascii="Times New Roman" w:hAnsi="Times New Roman" w:cs="Times New Roman"/>
                <w:lang w:val="en-US"/>
              </w:rPr>
              <w:t>Fin _openess_l1</w:t>
            </w:r>
          </w:p>
        </w:tc>
        <w:tc>
          <w:tcPr>
            <w:tcW w:w="707" w:type="pct"/>
          </w:tcPr>
          <w:p w:rsidR="00527214" w:rsidRPr="00E82E73" w:rsidRDefault="00527214" w:rsidP="0059780C">
            <w:pPr>
              <w:rPr>
                <w:rFonts w:ascii="Times New Roman" w:hAnsi="Times New Roman" w:cs="Times New Roman"/>
                <w:sz w:val="20"/>
                <w:szCs w:val="20"/>
                <w:lang w:val="en-US"/>
              </w:rPr>
            </w:pPr>
          </w:p>
        </w:tc>
        <w:tc>
          <w:tcPr>
            <w:tcW w:w="676" w:type="pct"/>
          </w:tcPr>
          <w:p w:rsidR="00527214" w:rsidRPr="00E82E73" w:rsidRDefault="00527214" w:rsidP="0059780C">
            <w:pPr>
              <w:rPr>
                <w:rFonts w:ascii="Times New Roman" w:hAnsi="Times New Roman" w:cs="Times New Roman"/>
                <w:sz w:val="20"/>
                <w:szCs w:val="20"/>
                <w:lang w:val="en-US"/>
              </w:rPr>
            </w:pPr>
          </w:p>
        </w:tc>
        <w:tc>
          <w:tcPr>
            <w:tcW w:w="635" w:type="pct"/>
          </w:tcPr>
          <w:p w:rsidR="00527214" w:rsidRPr="00E82E73" w:rsidRDefault="00527214" w:rsidP="0059780C">
            <w:pPr>
              <w:rPr>
                <w:rFonts w:ascii="Times New Roman" w:hAnsi="Times New Roman" w:cs="Times New Roman"/>
                <w:sz w:val="20"/>
                <w:szCs w:val="20"/>
                <w:lang w:val="en-US"/>
              </w:rPr>
            </w:pPr>
          </w:p>
        </w:tc>
        <w:tc>
          <w:tcPr>
            <w:tcW w:w="635" w:type="pct"/>
          </w:tcPr>
          <w:p w:rsidR="00527214" w:rsidRPr="00E82E73" w:rsidRDefault="00527214" w:rsidP="0059780C">
            <w:pPr>
              <w:rPr>
                <w:rFonts w:ascii="Times New Roman" w:hAnsi="Times New Roman" w:cs="Times New Roman"/>
                <w:sz w:val="20"/>
                <w:szCs w:val="20"/>
                <w:lang w:val="en-US"/>
              </w:rPr>
            </w:pPr>
            <w:r w:rsidRPr="003959B3">
              <w:rPr>
                <w:rFonts w:ascii="Times New Roman" w:hAnsi="Times New Roman" w:cs="Times New Roman"/>
                <w:sz w:val="20"/>
                <w:szCs w:val="20"/>
                <w:lang w:val="en-US"/>
              </w:rPr>
              <w:t>0.0012</w:t>
            </w:r>
          </w:p>
        </w:tc>
        <w:tc>
          <w:tcPr>
            <w:tcW w:w="541" w:type="pct"/>
            <w:tcBorders>
              <w:right w:val="nil"/>
            </w:tcBorders>
          </w:tcPr>
          <w:p w:rsidR="00527214" w:rsidRPr="00E82E73" w:rsidRDefault="00527214" w:rsidP="0059780C">
            <w:pPr>
              <w:rPr>
                <w:rFonts w:ascii="Times New Roman" w:hAnsi="Times New Roman" w:cs="Times New Roman"/>
                <w:sz w:val="20"/>
                <w:szCs w:val="20"/>
                <w:lang w:val="en-US"/>
              </w:rPr>
            </w:pPr>
          </w:p>
        </w:tc>
        <w:tc>
          <w:tcPr>
            <w:tcW w:w="698" w:type="pct"/>
            <w:tcBorders>
              <w:right w:val="nil"/>
            </w:tcBorders>
          </w:tcPr>
          <w:p w:rsidR="00527214" w:rsidRPr="00B27432" w:rsidRDefault="00527214" w:rsidP="00E61254">
            <w:pPr>
              <w:rPr>
                <w:rFonts w:ascii="Times New Roman" w:hAnsi="Times New Roman" w:cs="Times New Roman"/>
                <w:lang w:val="en-US"/>
              </w:rPr>
            </w:pPr>
          </w:p>
        </w:tc>
      </w:tr>
      <w:tr w:rsidR="00527214" w:rsidRPr="00543062" w:rsidTr="00527214">
        <w:tc>
          <w:tcPr>
            <w:tcW w:w="1109" w:type="pct"/>
            <w:tcBorders>
              <w:left w:val="nil"/>
            </w:tcBorders>
          </w:tcPr>
          <w:p w:rsidR="00527214" w:rsidRDefault="00527214" w:rsidP="0059780C">
            <w:pPr>
              <w:rPr>
                <w:rFonts w:ascii="Times New Roman" w:hAnsi="Times New Roman" w:cs="Times New Roman"/>
                <w:lang w:val="en-US"/>
              </w:rPr>
            </w:pPr>
            <w:r>
              <w:rPr>
                <w:rFonts w:ascii="Times New Roman" w:hAnsi="Times New Roman" w:cs="Times New Roman"/>
                <w:lang w:val="en-US"/>
              </w:rPr>
              <w:t>Trade openness_l1</w:t>
            </w:r>
          </w:p>
        </w:tc>
        <w:tc>
          <w:tcPr>
            <w:tcW w:w="707" w:type="pct"/>
          </w:tcPr>
          <w:p w:rsidR="00527214" w:rsidRPr="00E82E73" w:rsidRDefault="00527214" w:rsidP="0059780C">
            <w:pPr>
              <w:rPr>
                <w:rFonts w:ascii="Times New Roman" w:hAnsi="Times New Roman" w:cs="Times New Roman"/>
                <w:sz w:val="20"/>
                <w:szCs w:val="20"/>
                <w:lang w:val="en-US"/>
              </w:rPr>
            </w:pPr>
          </w:p>
        </w:tc>
        <w:tc>
          <w:tcPr>
            <w:tcW w:w="676" w:type="pct"/>
          </w:tcPr>
          <w:p w:rsidR="00527214" w:rsidRPr="00E82E73" w:rsidRDefault="00527214" w:rsidP="0059780C">
            <w:pPr>
              <w:rPr>
                <w:rFonts w:ascii="Times New Roman" w:hAnsi="Times New Roman" w:cs="Times New Roman"/>
                <w:sz w:val="20"/>
                <w:szCs w:val="20"/>
                <w:lang w:val="en-US"/>
              </w:rPr>
            </w:pPr>
          </w:p>
        </w:tc>
        <w:tc>
          <w:tcPr>
            <w:tcW w:w="635" w:type="pct"/>
          </w:tcPr>
          <w:p w:rsidR="00527214" w:rsidRPr="00E82E73" w:rsidRDefault="00527214" w:rsidP="0059780C">
            <w:pPr>
              <w:rPr>
                <w:rFonts w:ascii="Times New Roman" w:hAnsi="Times New Roman" w:cs="Times New Roman"/>
                <w:sz w:val="20"/>
                <w:szCs w:val="20"/>
                <w:lang w:val="en-US"/>
              </w:rPr>
            </w:pPr>
          </w:p>
        </w:tc>
        <w:tc>
          <w:tcPr>
            <w:tcW w:w="635" w:type="pct"/>
          </w:tcPr>
          <w:p w:rsidR="00527214" w:rsidRPr="00E82E73" w:rsidRDefault="00527214" w:rsidP="0059780C">
            <w:pPr>
              <w:rPr>
                <w:rFonts w:ascii="Times New Roman" w:hAnsi="Times New Roman" w:cs="Times New Roman"/>
                <w:sz w:val="20"/>
                <w:szCs w:val="20"/>
                <w:lang w:val="en-US"/>
              </w:rPr>
            </w:pPr>
          </w:p>
        </w:tc>
        <w:tc>
          <w:tcPr>
            <w:tcW w:w="541" w:type="pct"/>
            <w:tcBorders>
              <w:right w:val="nil"/>
            </w:tcBorders>
          </w:tcPr>
          <w:p w:rsidR="00527214" w:rsidRPr="00E82E73" w:rsidRDefault="00527214" w:rsidP="0059780C">
            <w:pPr>
              <w:rPr>
                <w:rFonts w:ascii="Times New Roman" w:hAnsi="Times New Roman" w:cs="Times New Roman"/>
                <w:sz w:val="20"/>
                <w:szCs w:val="20"/>
                <w:lang w:val="en-US"/>
              </w:rPr>
            </w:pPr>
            <w:r>
              <w:rPr>
                <w:rFonts w:ascii="Times New Roman" w:hAnsi="Times New Roman" w:cs="Times New Roman"/>
                <w:sz w:val="20"/>
                <w:szCs w:val="20"/>
                <w:lang w:val="en-US"/>
              </w:rPr>
              <w:t>0.0005**</w:t>
            </w:r>
          </w:p>
        </w:tc>
        <w:tc>
          <w:tcPr>
            <w:tcW w:w="698" w:type="pct"/>
            <w:tcBorders>
              <w:right w:val="nil"/>
            </w:tcBorders>
          </w:tcPr>
          <w:p w:rsidR="00527214" w:rsidRPr="00B27432" w:rsidRDefault="00527214" w:rsidP="00E61254">
            <w:pPr>
              <w:rPr>
                <w:rFonts w:ascii="Times New Roman" w:hAnsi="Times New Roman" w:cs="Times New Roman"/>
                <w:lang w:val="en-US"/>
              </w:rPr>
            </w:pPr>
          </w:p>
        </w:tc>
      </w:tr>
      <w:tr w:rsidR="00527214" w:rsidRPr="00543062" w:rsidTr="00527214">
        <w:tc>
          <w:tcPr>
            <w:tcW w:w="1109" w:type="pct"/>
            <w:tcBorders>
              <w:left w:val="nil"/>
            </w:tcBorders>
          </w:tcPr>
          <w:p w:rsidR="00527214" w:rsidRPr="008749AF" w:rsidRDefault="00527214" w:rsidP="0059780C">
            <w:pPr>
              <w:rPr>
                <w:rFonts w:ascii="Times New Roman" w:hAnsi="Times New Roman" w:cs="Times New Roman"/>
                <w:lang w:val="en-US"/>
              </w:rPr>
            </w:pPr>
            <w:r w:rsidRPr="008749AF">
              <w:rPr>
                <w:rFonts w:ascii="Times New Roman" w:hAnsi="Times New Roman" w:cs="Times New Roman"/>
                <w:lang w:val="en-US"/>
              </w:rPr>
              <w:t>R2</w:t>
            </w:r>
          </w:p>
        </w:tc>
        <w:tc>
          <w:tcPr>
            <w:tcW w:w="707" w:type="pct"/>
          </w:tcPr>
          <w:p w:rsidR="00527214" w:rsidRPr="00D7437B" w:rsidRDefault="00527214" w:rsidP="0059780C">
            <w:pPr>
              <w:rPr>
                <w:rFonts w:ascii="Times New Roman" w:hAnsi="Times New Roman" w:cs="Times New Roman"/>
                <w:lang w:val="en-US"/>
              </w:rPr>
            </w:pPr>
            <w:r w:rsidRPr="00D7437B">
              <w:rPr>
                <w:rFonts w:ascii="Times New Roman" w:hAnsi="Times New Roman" w:cs="Times New Roman"/>
                <w:lang w:val="en-US"/>
              </w:rPr>
              <w:t>0.31</w:t>
            </w:r>
          </w:p>
        </w:tc>
        <w:tc>
          <w:tcPr>
            <w:tcW w:w="676" w:type="pct"/>
          </w:tcPr>
          <w:p w:rsidR="00527214" w:rsidRPr="00401C34" w:rsidRDefault="00527214" w:rsidP="0059780C">
            <w:pPr>
              <w:rPr>
                <w:rFonts w:ascii="Times New Roman" w:hAnsi="Times New Roman" w:cs="Times New Roman"/>
                <w:lang w:val="en-US"/>
              </w:rPr>
            </w:pPr>
            <w:r>
              <w:rPr>
                <w:rFonts w:ascii="Times New Roman" w:hAnsi="Times New Roman" w:cs="Times New Roman"/>
                <w:lang w:val="en-US"/>
              </w:rPr>
              <w:t>0.31</w:t>
            </w:r>
          </w:p>
        </w:tc>
        <w:tc>
          <w:tcPr>
            <w:tcW w:w="635" w:type="pct"/>
          </w:tcPr>
          <w:p w:rsidR="00527214" w:rsidRPr="00D7437B" w:rsidRDefault="00527214" w:rsidP="0059780C">
            <w:pPr>
              <w:rPr>
                <w:rFonts w:ascii="Times New Roman" w:hAnsi="Times New Roman" w:cs="Times New Roman"/>
                <w:lang w:val="en-US"/>
              </w:rPr>
            </w:pPr>
            <w:r>
              <w:rPr>
                <w:rFonts w:ascii="Times New Roman" w:hAnsi="Times New Roman" w:cs="Times New Roman"/>
                <w:lang w:val="en-US"/>
              </w:rPr>
              <w:t>0.37</w:t>
            </w:r>
          </w:p>
        </w:tc>
        <w:tc>
          <w:tcPr>
            <w:tcW w:w="635" w:type="pct"/>
          </w:tcPr>
          <w:p w:rsidR="00527214" w:rsidRPr="00D7437B" w:rsidRDefault="00527214" w:rsidP="0059780C">
            <w:pPr>
              <w:rPr>
                <w:rFonts w:ascii="Times New Roman" w:hAnsi="Times New Roman" w:cs="Times New Roman"/>
                <w:lang w:val="en-US"/>
              </w:rPr>
            </w:pPr>
            <w:r>
              <w:rPr>
                <w:rFonts w:ascii="Times New Roman" w:hAnsi="Times New Roman" w:cs="Times New Roman"/>
                <w:lang w:val="en-US"/>
              </w:rPr>
              <w:t>0.30</w:t>
            </w:r>
          </w:p>
        </w:tc>
        <w:tc>
          <w:tcPr>
            <w:tcW w:w="541" w:type="pct"/>
            <w:tcBorders>
              <w:right w:val="nil"/>
            </w:tcBorders>
          </w:tcPr>
          <w:p w:rsidR="00527214" w:rsidRPr="00074404" w:rsidRDefault="00527214" w:rsidP="0059780C">
            <w:pPr>
              <w:rPr>
                <w:rFonts w:ascii="Times New Roman" w:hAnsi="Times New Roman" w:cs="Times New Roman"/>
                <w:sz w:val="24"/>
                <w:szCs w:val="24"/>
                <w:lang w:val="en-US"/>
              </w:rPr>
            </w:pPr>
            <w:r>
              <w:rPr>
                <w:rFonts w:ascii="Times New Roman" w:hAnsi="Times New Roman" w:cs="Times New Roman"/>
                <w:sz w:val="24"/>
                <w:szCs w:val="24"/>
                <w:lang w:val="en-US"/>
              </w:rPr>
              <w:t>0.20</w:t>
            </w:r>
          </w:p>
        </w:tc>
        <w:tc>
          <w:tcPr>
            <w:tcW w:w="698" w:type="pct"/>
            <w:tcBorders>
              <w:right w:val="nil"/>
            </w:tcBorders>
          </w:tcPr>
          <w:p w:rsidR="00527214" w:rsidRPr="006C29B3" w:rsidRDefault="00527214" w:rsidP="00E61254">
            <w:pPr>
              <w:rPr>
                <w:rFonts w:ascii="Times New Roman" w:hAnsi="Times New Roman" w:cs="Times New Roman"/>
                <w:sz w:val="24"/>
                <w:szCs w:val="24"/>
                <w:lang w:val="en-US"/>
              </w:rPr>
            </w:pPr>
            <w:r w:rsidRPr="006C29B3">
              <w:rPr>
                <w:rFonts w:ascii="Times New Roman" w:hAnsi="Times New Roman" w:cs="Times New Roman"/>
                <w:sz w:val="24"/>
                <w:szCs w:val="24"/>
                <w:lang w:val="en-US"/>
              </w:rPr>
              <w:t>0.24</w:t>
            </w:r>
          </w:p>
        </w:tc>
      </w:tr>
      <w:tr w:rsidR="00527214" w:rsidRPr="00543062" w:rsidTr="00527214">
        <w:tc>
          <w:tcPr>
            <w:tcW w:w="1109" w:type="pct"/>
            <w:tcBorders>
              <w:left w:val="nil"/>
              <w:bottom w:val="single" w:sz="4" w:space="0" w:color="auto"/>
            </w:tcBorders>
          </w:tcPr>
          <w:p w:rsidR="00527214" w:rsidRPr="008749AF" w:rsidRDefault="00527214" w:rsidP="0059780C">
            <w:pPr>
              <w:rPr>
                <w:rFonts w:ascii="Times New Roman" w:hAnsi="Times New Roman" w:cs="Times New Roman"/>
                <w:lang w:val="en-US"/>
              </w:rPr>
            </w:pPr>
            <w:r w:rsidRPr="008749AF">
              <w:rPr>
                <w:rFonts w:ascii="Times New Roman" w:hAnsi="Times New Roman" w:cs="Times New Roman"/>
                <w:lang w:val="en-US"/>
              </w:rPr>
              <w:t>Observations</w:t>
            </w:r>
          </w:p>
        </w:tc>
        <w:tc>
          <w:tcPr>
            <w:tcW w:w="707" w:type="pct"/>
            <w:tcBorders>
              <w:bottom w:val="single" w:sz="4" w:space="0" w:color="auto"/>
            </w:tcBorders>
          </w:tcPr>
          <w:p w:rsidR="00527214" w:rsidRPr="00D7437B" w:rsidRDefault="00527214" w:rsidP="0059780C">
            <w:pPr>
              <w:rPr>
                <w:rFonts w:ascii="Times New Roman" w:hAnsi="Times New Roman" w:cs="Times New Roman"/>
                <w:lang w:val="en-US"/>
              </w:rPr>
            </w:pPr>
            <w:r w:rsidRPr="00D7437B">
              <w:rPr>
                <w:rFonts w:ascii="Times New Roman" w:hAnsi="Times New Roman" w:cs="Times New Roman"/>
                <w:lang w:val="en-US"/>
              </w:rPr>
              <w:t>288</w:t>
            </w:r>
          </w:p>
        </w:tc>
        <w:tc>
          <w:tcPr>
            <w:tcW w:w="676" w:type="pct"/>
            <w:tcBorders>
              <w:bottom w:val="single" w:sz="4" w:space="0" w:color="auto"/>
            </w:tcBorders>
          </w:tcPr>
          <w:p w:rsidR="00527214" w:rsidRPr="00D7437B" w:rsidRDefault="00527214" w:rsidP="0059780C">
            <w:pPr>
              <w:rPr>
                <w:rFonts w:ascii="Times New Roman" w:hAnsi="Times New Roman" w:cs="Times New Roman"/>
                <w:lang w:val="en-US"/>
              </w:rPr>
            </w:pPr>
            <w:r w:rsidRPr="00D7437B">
              <w:rPr>
                <w:rFonts w:ascii="Times New Roman" w:hAnsi="Times New Roman" w:cs="Times New Roman"/>
                <w:lang w:val="en-US"/>
              </w:rPr>
              <w:t>269</w:t>
            </w:r>
          </w:p>
        </w:tc>
        <w:tc>
          <w:tcPr>
            <w:tcW w:w="635" w:type="pct"/>
            <w:tcBorders>
              <w:bottom w:val="single" w:sz="4" w:space="0" w:color="auto"/>
            </w:tcBorders>
          </w:tcPr>
          <w:p w:rsidR="00527214" w:rsidRPr="00D7437B" w:rsidRDefault="00527214" w:rsidP="0059780C">
            <w:pPr>
              <w:rPr>
                <w:rFonts w:ascii="Times New Roman" w:hAnsi="Times New Roman" w:cs="Times New Roman"/>
                <w:lang w:val="en-US"/>
              </w:rPr>
            </w:pPr>
            <w:r>
              <w:rPr>
                <w:rFonts w:ascii="Times New Roman" w:hAnsi="Times New Roman" w:cs="Times New Roman"/>
                <w:lang w:val="en-US"/>
              </w:rPr>
              <w:t>288</w:t>
            </w:r>
          </w:p>
        </w:tc>
        <w:tc>
          <w:tcPr>
            <w:tcW w:w="635" w:type="pct"/>
            <w:tcBorders>
              <w:bottom w:val="single" w:sz="4" w:space="0" w:color="auto"/>
            </w:tcBorders>
          </w:tcPr>
          <w:p w:rsidR="00527214" w:rsidRPr="00D7437B" w:rsidRDefault="00527214" w:rsidP="0059780C">
            <w:pPr>
              <w:rPr>
                <w:rFonts w:ascii="Times New Roman" w:hAnsi="Times New Roman" w:cs="Times New Roman"/>
                <w:lang w:val="en-US"/>
              </w:rPr>
            </w:pPr>
            <w:r>
              <w:rPr>
                <w:rFonts w:ascii="Times New Roman" w:hAnsi="Times New Roman" w:cs="Times New Roman"/>
                <w:lang w:val="en-US"/>
              </w:rPr>
              <w:t>288</w:t>
            </w:r>
          </w:p>
        </w:tc>
        <w:tc>
          <w:tcPr>
            <w:tcW w:w="541" w:type="pct"/>
            <w:tcBorders>
              <w:bottom w:val="single" w:sz="4" w:space="0" w:color="auto"/>
              <w:right w:val="nil"/>
            </w:tcBorders>
          </w:tcPr>
          <w:p w:rsidR="00527214" w:rsidRPr="00D7437B" w:rsidRDefault="00527214" w:rsidP="0059780C">
            <w:pPr>
              <w:rPr>
                <w:rFonts w:ascii="Times New Roman" w:hAnsi="Times New Roman" w:cs="Times New Roman"/>
                <w:lang w:val="en-US"/>
              </w:rPr>
            </w:pPr>
            <w:r>
              <w:rPr>
                <w:rFonts w:ascii="Times New Roman" w:hAnsi="Times New Roman" w:cs="Times New Roman"/>
                <w:lang w:val="en-US"/>
              </w:rPr>
              <w:t>288</w:t>
            </w:r>
          </w:p>
        </w:tc>
        <w:tc>
          <w:tcPr>
            <w:tcW w:w="698" w:type="pct"/>
            <w:tcBorders>
              <w:bottom w:val="single" w:sz="4" w:space="0" w:color="auto"/>
              <w:right w:val="nil"/>
            </w:tcBorders>
          </w:tcPr>
          <w:p w:rsidR="00527214" w:rsidRPr="00D7437B" w:rsidRDefault="00527214" w:rsidP="00E61254">
            <w:pPr>
              <w:rPr>
                <w:rFonts w:ascii="Times New Roman" w:hAnsi="Times New Roman" w:cs="Times New Roman"/>
                <w:lang w:val="en-US"/>
              </w:rPr>
            </w:pPr>
            <w:r>
              <w:rPr>
                <w:rFonts w:ascii="Times New Roman" w:hAnsi="Times New Roman" w:cs="Times New Roman"/>
                <w:lang w:val="en-US"/>
              </w:rPr>
              <w:t>288</w:t>
            </w:r>
          </w:p>
        </w:tc>
      </w:tr>
      <w:tr w:rsidR="00527214" w:rsidRPr="00543062" w:rsidTr="00527214">
        <w:tc>
          <w:tcPr>
            <w:tcW w:w="1109" w:type="pct"/>
            <w:tcBorders>
              <w:left w:val="nil"/>
              <w:bottom w:val="single" w:sz="12" w:space="0" w:color="auto"/>
            </w:tcBorders>
          </w:tcPr>
          <w:p w:rsidR="00527214" w:rsidRPr="008749AF" w:rsidRDefault="00527214" w:rsidP="0059780C">
            <w:pPr>
              <w:rPr>
                <w:rFonts w:ascii="Times New Roman" w:hAnsi="Times New Roman" w:cs="Times New Roman"/>
                <w:lang w:val="en-US"/>
              </w:rPr>
            </w:pPr>
            <w:r w:rsidRPr="008749AF">
              <w:rPr>
                <w:rFonts w:ascii="Times New Roman" w:hAnsi="Times New Roman" w:cs="Times New Roman"/>
                <w:lang w:val="en-US"/>
              </w:rPr>
              <w:t>Groups</w:t>
            </w:r>
          </w:p>
        </w:tc>
        <w:tc>
          <w:tcPr>
            <w:tcW w:w="707" w:type="pct"/>
            <w:tcBorders>
              <w:bottom w:val="single" w:sz="12" w:space="0" w:color="auto"/>
            </w:tcBorders>
          </w:tcPr>
          <w:p w:rsidR="00527214" w:rsidRPr="00D7437B" w:rsidRDefault="00527214" w:rsidP="0059780C">
            <w:pPr>
              <w:rPr>
                <w:rFonts w:ascii="Times New Roman" w:hAnsi="Times New Roman" w:cs="Times New Roman"/>
                <w:lang w:val="en-US"/>
              </w:rPr>
            </w:pPr>
            <w:r w:rsidRPr="00D7437B">
              <w:rPr>
                <w:rFonts w:ascii="Times New Roman" w:hAnsi="Times New Roman" w:cs="Times New Roman"/>
                <w:lang w:val="en-US"/>
              </w:rPr>
              <w:t>17</w:t>
            </w:r>
          </w:p>
        </w:tc>
        <w:tc>
          <w:tcPr>
            <w:tcW w:w="676" w:type="pct"/>
            <w:tcBorders>
              <w:bottom w:val="single" w:sz="12" w:space="0" w:color="auto"/>
            </w:tcBorders>
          </w:tcPr>
          <w:p w:rsidR="00527214" w:rsidRPr="00D7437B" w:rsidRDefault="00527214" w:rsidP="0059780C">
            <w:pPr>
              <w:rPr>
                <w:rFonts w:ascii="Times New Roman" w:hAnsi="Times New Roman" w:cs="Times New Roman"/>
                <w:lang w:val="en-US"/>
              </w:rPr>
            </w:pPr>
            <w:r w:rsidRPr="00D7437B">
              <w:rPr>
                <w:rFonts w:ascii="Times New Roman" w:hAnsi="Times New Roman" w:cs="Times New Roman"/>
                <w:lang w:val="en-US"/>
              </w:rPr>
              <w:t>16</w:t>
            </w:r>
          </w:p>
        </w:tc>
        <w:tc>
          <w:tcPr>
            <w:tcW w:w="635" w:type="pct"/>
            <w:tcBorders>
              <w:bottom w:val="single" w:sz="12" w:space="0" w:color="auto"/>
            </w:tcBorders>
          </w:tcPr>
          <w:p w:rsidR="00527214" w:rsidRPr="00D7437B" w:rsidRDefault="00527214" w:rsidP="0059780C">
            <w:pPr>
              <w:rPr>
                <w:rFonts w:ascii="Times New Roman" w:hAnsi="Times New Roman" w:cs="Times New Roman"/>
                <w:lang w:val="en-US"/>
              </w:rPr>
            </w:pPr>
            <w:r>
              <w:rPr>
                <w:rFonts w:ascii="Times New Roman" w:hAnsi="Times New Roman" w:cs="Times New Roman"/>
                <w:lang w:val="en-US"/>
              </w:rPr>
              <w:t>17</w:t>
            </w:r>
          </w:p>
        </w:tc>
        <w:tc>
          <w:tcPr>
            <w:tcW w:w="635" w:type="pct"/>
            <w:tcBorders>
              <w:bottom w:val="single" w:sz="12" w:space="0" w:color="auto"/>
            </w:tcBorders>
          </w:tcPr>
          <w:p w:rsidR="00527214" w:rsidRPr="00D7437B" w:rsidRDefault="00527214" w:rsidP="0059780C">
            <w:pPr>
              <w:rPr>
                <w:rFonts w:ascii="Times New Roman" w:hAnsi="Times New Roman" w:cs="Times New Roman"/>
                <w:lang w:val="en-US"/>
              </w:rPr>
            </w:pPr>
            <w:r>
              <w:rPr>
                <w:rFonts w:ascii="Times New Roman" w:hAnsi="Times New Roman" w:cs="Times New Roman"/>
                <w:lang w:val="en-US"/>
              </w:rPr>
              <w:t>17</w:t>
            </w:r>
          </w:p>
        </w:tc>
        <w:tc>
          <w:tcPr>
            <w:tcW w:w="541" w:type="pct"/>
            <w:tcBorders>
              <w:bottom w:val="single" w:sz="12" w:space="0" w:color="auto"/>
              <w:right w:val="nil"/>
            </w:tcBorders>
          </w:tcPr>
          <w:p w:rsidR="00527214" w:rsidRPr="00D7437B" w:rsidRDefault="00527214" w:rsidP="0059780C">
            <w:pPr>
              <w:rPr>
                <w:rFonts w:ascii="Times New Roman" w:hAnsi="Times New Roman" w:cs="Times New Roman"/>
                <w:lang w:val="en-US"/>
              </w:rPr>
            </w:pPr>
            <w:r>
              <w:rPr>
                <w:rFonts w:ascii="Times New Roman" w:hAnsi="Times New Roman" w:cs="Times New Roman"/>
                <w:lang w:val="en-US"/>
              </w:rPr>
              <w:t>17</w:t>
            </w:r>
          </w:p>
        </w:tc>
        <w:tc>
          <w:tcPr>
            <w:tcW w:w="698" w:type="pct"/>
            <w:tcBorders>
              <w:bottom w:val="single" w:sz="12" w:space="0" w:color="auto"/>
              <w:right w:val="nil"/>
            </w:tcBorders>
          </w:tcPr>
          <w:p w:rsidR="00527214" w:rsidRPr="00D7437B" w:rsidRDefault="00527214" w:rsidP="00E61254">
            <w:pPr>
              <w:rPr>
                <w:rFonts w:ascii="Times New Roman" w:hAnsi="Times New Roman" w:cs="Times New Roman"/>
                <w:lang w:val="en-US"/>
              </w:rPr>
            </w:pPr>
            <w:r>
              <w:rPr>
                <w:rFonts w:ascii="Times New Roman" w:hAnsi="Times New Roman" w:cs="Times New Roman"/>
                <w:lang w:val="en-US"/>
              </w:rPr>
              <w:t>17</w:t>
            </w:r>
          </w:p>
        </w:tc>
      </w:tr>
    </w:tbl>
    <w:p w:rsidR="00CD3190" w:rsidRPr="00107F5B" w:rsidRDefault="00BE3878" w:rsidP="00F92959">
      <w:pPr>
        <w:rPr>
          <w:rFonts w:ascii="Times New Roman" w:hAnsi="Times New Roman" w:cs="Times New Roman"/>
          <w:b/>
          <w:sz w:val="20"/>
          <w:szCs w:val="20"/>
          <w:lang w:val="en-US"/>
        </w:rPr>
      </w:pPr>
      <w:r w:rsidRPr="00107F5B">
        <w:rPr>
          <w:rFonts w:ascii="Times New Roman" w:hAnsi="Times New Roman" w:cs="Times New Roman"/>
          <w:b/>
          <w:sz w:val="20"/>
          <w:szCs w:val="20"/>
          <w:lang w:val="en-US"/>
        </w:rPr>
        <w:t xml:space="preserve">P value significance </w:t>
      </w:r>
      <w:r w:rsidR="00524507" w:rsidRPr="00107F5B">
        <w:rPr>
          <w:rFonts w:ascii="Times New Roman" w:hAnsi="Times New Roman" w:cs="Times New Roman"/>
          <w:b/>
          <w:sz w:val="20"/>
          <w:szCs w:val="20"/>
          <w:lang w:val="en-US"/>
        </w:rPr>
        <w:t>*** 1% **5%*10%</w:t>
      </w:r>
    </w:p>
    <w:p w:rsidR="003F345B" w:rsidRDefault="003F345B" w:rsidP="00F92959">
      <w:pPr>
        <w:rPr>
          <w:rFonts w:ascii="Times New Roman" w:hAnsi="Times New Roman" w:cs="Times New Roman"/>
          <w:b/>
          <w:sz w:val="24"/>
          <w:szCs w:val="24"/>
          <w:lang w:val="en-US"/>
        </w:rPr>
      </w:pPr>
    </w:p>
    <w:p w:rsidR="009B0A32" w:rsidRDefault="00230A65" w:rsidP="008D4B77">
      <w:pPr>
        <w:spacing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first column reports our baseline regression including </w:t>
      </w:r>
      <w:r w:rsidR="003530E8">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four main variables and controlling for oil price. The </w:t>
      </w:r>
      <w:r w:rsidRPr="00230A65">
        <w:rPr>
          <w:rFonts w:ascii="Times New Roman" w:hAnsi="Times New Roman" w:cs="Times New Roman"/>
          <w:sz w:val="24"/>
          <w:szCs w:val="24"/>
          <w:lang w:val="en-US"/>
        </w:rPr>
        <w:t xml:space="preserve">output gap has a negative sign, as expected. The greater the output gap, the smaller firms’ net lending and the greater </w:t>
      </w:r>
      <w:r>
        <w:rPr>
          <w:rFonts w:ascii="Times New Roman" w:hAnsi="Times New Roman" w:cs="Times New Roman"/>
          <w:sz w:val="24"/>
          <w:szCs w:val="24"/>
          <w:lang w:val="en-US"/>
        </w:rPr>
        <w:t xml:space="preserve">their </w:t>
      </w:r>
      <w:r w:rsidRPr="00230A65">
        <w:rPr>
          <w:rFonts w:ascii="Times New Roman" w:hAnsi="Times New Roman" w:cs="Times New Roman"/>
          <w:sz w:val="24"/>
          <w:szCs w:val="24"/>
          <w:lang w:val="en-US"/>
        </w:rPr>
        <w:t>net borrowing.</w:t>
      </w:r>
      <w:r>
        <w:rPr>
          <w:rFonts w:ascii="Times New Roman" w:hAnsi="Times New Roman" w:cs="Times New Roman"/>
          <w:sz w:val="24"/>
          <w:szCs w:val="24"/>
          <w:lang w:val="en-US"/>
        </w:rPr>
        <w:t xml:space="preserve"> The net foreign direct</w:t>
      </w:r>
      <w:r w:rsidR="004241FB">
        <w:rPr>
          <w:rFonts w:ascii="Times New Roman" w:hAnsi="Times New Roman" w:cs="Times New Roman"/>
          <w:sz w:val="24"/>
          <w:szCs w:val="24"/>
          <w:lang w:val="en-US"/>
        </w:rPr>
        <w:t xml:space="preserve"> </w:t>
      </w:r>
      <w:r w:rsidR="003530E8">
        <w:rPr>
          <w:rFonts w:ascii="Times New Roman" w:hAnsi="Times New Roman" w:cs="Times New Roman"/>
          <w:sz w:val="24"/>
          <w:szCs w:val="24"/>
          <w:lang w:val="en-US"/>
        </w:rPr>
        <w:t>i</w:t>
      </w:r>
      <w:r>
        <w:rPr>
          <w:rFonts w:ascii="Times New Roman" w:hAnsi="Times New Roman" w:cs="Times New Roman"/>
          <w:sz w:val="24"/>
          <w:szCs w:val="24"/>
          <w:lang w:val="en-US"/>
        </w:rPr>
        <w:t xml:space="preserve">nvestments are positively associated to net lending/borrowing. </w:t>
      </w:r>
      <w:r w:rsidR="00D41C55">
        <w:rPr>
          <w:rFonts w:ascii="Times New Roman" w:hAnsi="Times New Roman" w:cs="Times New Roman"/>
          <w:sz w:val="24"/>
          <w:szCs w:val="24"/>
          <w:lang w:val="en-US"/>
        </w:rPr>
        <w:t xml:space="preserve">If outward FDIs  investments are larger that inward FDIs, firms will </w:t>
      </w:r>
      <w:r w:rsidR="001A36EB">
        <w:rPr>
          <w:rFonts w:ascii="Times New Roman" w:hAnsi="Times New Roman" w:cs="Times New Roman"/>
          <w:sz w:val="24"/>
          <w:szCs w:val="24"/>
          <w:lang w:val="en-US"/>
        </w:rPr>
        <w:t xml:space="preserve">tend to </w:t>
      </w:r>
      <w:r w:rsidR="00D41C55">
        <w:rPr>
          <w:rFonts w:ascii="Times New Roman" w:hAnsi="Times New Roman" w:cs="Times New Roman"/>
          <w:sz w:val="24"/>
          <w:szCs w:val="24"/>
          <w:lang w:val="en-US"/>
        </w:rPr>
        <w:t xml:space="preserve">register </w:t>
      </w:r>
      <w:r w:rsidR="003530E8">
        <w:rPr>
          <w:rFonts w:ascii="Times New Roman" w:hAnsi="Times New Roman" w:cs="Times New Roman"/>
          <w:sz w:val="24"/>
          <w:szCs w:val="24"/>
          <w:lang w:val="en-US"/>
        </w:rPr>
        <w:t xml:space="preserve">a </w:t>
      </w:r>
      <w:r w:rsidR="00D41C55">
        <w:rPr>
          <w:rFonts w:ascii="Times New Roman" w:hAnsi="Times New Roman" w:cs="Times New Roman"/>
          <w:sz w:val="24"/>
          <w:szCs w:val="24"/>
          <w:lang w:val="en-US"/>
        </w:rPr>
        <w:t>greater net lending</w:t>
      </w:r>
      <w:r w:rsidR="003530E8">
        <w:rPr>
          <w:rFonts w:ascii="Times New Roman" w:hAnsi="Times New Roman" w:cs="Times New Roman"/>
          <w:sz w:val="24"/>
          <w:szCs w:val="24"/>
          <w:lang w:val="en-US"/>
        </w:rPr>
        <w:t xml:space="preserve"> </w:t>
      </w:r>
      <w:r w:rsidR="004241FB" w:rsidRPr="004241FB">
        <w:rPr>
          <w:rFonts w:ascii="Times New Roman" w:hAnsi="Times New Roman" w:cs="Times New Roman"/>
          <w:sz w:val="24"/>
          <w:szCs w:val="24"/>
          <w:lang w:val="en-US"/>
        </w:rPr>
        <w:t xml:space="preserve">(see </w:t>
      </w:r>
      <w:proofErr w:type="spellStart"/>
      <w:r w:rsidR="004241FB" w:rsidRPr="004241FB">
        <w:rPr>
          <w:rFonts w:ascii="Times New Roman" w:hAnsi="Times New Roman" w:cs="Times New Roman"/>
          <w:sz w:val="24"/>
          <w:szCs w:val="24"/>
          <w:lang w:val="en-US"/>
        </w:rPr>
        <w:t>Palenzuela</w:t>
      </w:r>
      <w:proofErr w:type="spellEnd"/>
      <w:r w:rsidR="004241FB" w:rsidRPr="004241FB">
        <w:rPr>
          <w:rFonts w:ascii="Times New Roman" w:hAnsi="Times New Roman" w:cs="Times New Roman"/>
          <w:sz w:val="24"/>
          <w:szCs w:val="24"/>
          <w:lang w:val="en-US"/>
        </w:rPr>
        <w:t xml:space="preserve"> and Dees 2016 for a similar approach).</w:t>
      </w:r>
      <w:r w:rsidR="003530E8">
        <w:rPr>
          <w:rFonts w:ascii="Times New Roman" w:hAnsi="Times New Roman" w:cs="Times New Roman"/>
          <w:sz w:val="24"/>
          <w:szCs w:val="24"/>
          <w:lang w:val="en-US"/>
        </w:rPr>
        <w:t xml:space="preserve"> The ratio of investment to GDP has a negative influence on net lending/borrowing as in Gruber and </w:t>
      </w:r>
      <w:proofErr w:type="spellStart"/>
      <w:r w:rsidR="003530E8">
        <w:rPr>
          <w:rFonts w:ascii="Times New Roman" w:hAnsi="Times New Roman" w:cs="Times New Roman"/>
          <w:sz w:val="24"/>
          <w:szCs w:val="24"/>
          <w:lang w:val="en-US"/>
        </w:rPr>
        <w:t>Kamin</w:t>
      </w:r>
      <w:proofErr w:type="spellEnd"/>
      <w:r w:rsidR="003530E8">
        <w:rPr>
          <w:rFonts w:ascii="Times New Roman" w:hAnsi="Times New Roman" w:cs="Times New Roman"/>
          <w:sz w:val="24"/>
          <w:szCs w:val="24"/>
          <w:lang w:val="en-US"/>
        </w:rPr>
        <w:t xml:space="preserve"> (2015). Consumption also has a negative coefficient, although not statistically significant. Oil price has a negative effect: a higher cost of oil increases firms’ costs, thus leading to a small net lending or to a</w:t>
      </w:r>
      <w:r w:rsidR="00F2434E">
        <w:rPr>
          <w:rFonts w:ascii="Times New Roman" w:hAnsi="Times New Roman" w:cs="Times New Roman"/>
          <w:sz w:val="24"/>
          <w:szCs w:val="24"/>
          <w:lang w:val="en-US"/>
        </w:rPr>
        <w:t xml:space="preserve"> greater net borrowing.</w:t>
      </w:r>
    </w:p>
    <w:p w:rsidR="00F2434E" w:rsidRDefault="00F2434E" w:rsidP="008D4B77">
      <w:pPr>
        <w:spacing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second </w:t>
      </w:r>
      <w:r w:rsidR="0088191A">
        <w:rPr>
          <w:rFonts w:ascii="Times New Roman" w:hAnsi="Times New Roman" w:cs="Times New Roman"/>
          <w:sz w:val="24"/>
          <w:szCs w:val="24"/>
          <w:lang w:val="en-US"/>
        </w:rPr>
        <w:t xml:space="preserve">model </w:t>
      </w:r>
      <w:r>
        <w:rPr>
          <w:rFonts w:ascii="Times New Roman" w:hAnsi="Times New Roman" w:cs="Times New Roman"/>
          <w:sz w:val="24"/>
          <w:szCs w:val="24"/>
          <w:lang w:val="en-US"/>
        </w:rPr>
        <w:t xml:space="preserve">adds the interest rate spread to the previous </w:t>
      </w:r>
      <w:proofErr w:type="spellStart"/>
      <w:r>
        <w:rPr>
          <w:rFonts w:ascii="Times New Roman" w:hAnsi="Times New Roman" w:cs="Times New Roman"/>
          <w:sz w:val="24"/>
          <w:szCs w:val="24"/>
          <w:lang w:val="en-US"/>
        </w:rPr>
        <w:t>regressors</w:t>
      </w:r>
      <w:proofErr w:type="spellEnd"/>
      <w:r>
        <w:rPr>
          <w:rFonts w:ascii="Times New Roman" w:hAnsi="Times New Roman" w:cs="Times New Roman"/>
          <w:sz w:val="24"/>
          <w:szCs w:val="24"/>
          <w:lang w:val="en-US"/>
        </w:rPr>
        <w:t>. The coefficients of the output gap, of foreign direct investment, of corporate investment and</w:t>
      </w:r>
      <w:r w:rsidR="00E83A4B">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private consumption confirm the signs and statistical significance found in column 1. The interest rate spread enters with a positive and statistically significant</w:t>
      </w:r>
      <w:r w:rsidR="00E324E1">
        <w:rPr>
          <w:rFonts w:ascii="Times New Roman" w:hAnsi="Times New Roman" w:cs="Times New Roman"/>
          <w:sz w:val="24"/>
          <w:szCs w:val="24"/>
          <w:lang w:val="en-US"/>
        </w:rPr>
        <w:t xml:space="preserve"> coefficient: an increase of the spread provides incentives to firms for allocating resources towards financial markets. </w:t>
      </w:r>
    </w:p>
    <w:p w:rsidR="009B0A32" w:rsidRPr="00230A65" w:rsidRDefault="00E324E1" w:rsidP="008D4B77">
      <w:pPr>
        <w:spacing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third column adds as independent variable</w:t>
      </w:r>
      <w:r w:rsidR="00B943C4">
        <w:rPr>
          <w:rFonts w:ascii="Times New Roman" w:hAnsi="Times New Roman" w:cs="Times New Roman"/>
          <w:sz w:val="24"/>
          <w:szCs w:val="24"/>
          <w:lang w:val="en-US"/>
        </w:rPr>
        <w:t xml:space="preserve"> firms’ leverage. </w:t>
      </w:r>
      <w:r>
        <w:rPr>
          <w:rFonts w:ascii="Times New Roman" w:hAnsi="Times New Roman" w:cs="Times New Roman"/>
          <w:sz w:val="24"/>
          <w:szCs w:val="24"/>
          <w:lang w:val="en-US"/>
        </w:rPr>
        <w:t>The effect of this variable on net lending/borrowing is negative</w:t>
      </w:r>
      <w:r w:rsidR="00B943C4">
        <w:rPr>
          <w:rFonts w:ascii="Times New Roman" w:hAnsi="Times New Roman" w:cs="Times New Roman"/>
          <w:sz w:val="24"/>
          <w:szCs w:val="24"/>
          <w:lang w:val="en-US"/>
        </w:rPr>
        <w:t>. A higher leverage implies greater flows</w:t>
      </w:r>
      <w:r w:rsidR="00E83A4B">
        <w:rPr>
          <w:rFonts w:ascii="Times New Roman" w:hAnsi="Times New Roman" w:cs="Times New Roman"/>
          <w:sz w:val="24"/>
          <w:szCs w:val="24"/>
          <w:lang w:val="en-US"/>
        </w:rPr>
        <w:t xml:space="preserve"> of financial liabilities</w:t>
      </w:r>
      <w:r w:rsidR="00B943C4">
        <w:rPr>
          <w:rFonts w:ascii="Times New Roman" w:hAnsi="Times New Roman" w:cs="Times New Roman"/>
          <w:sz w:val="24"/>
          <w:szCs w:val="24"/>
          <w:lang w:val="en-US"/>
        </w:rPr>
        <w:t xml:space="preserve">, thus reducing firms’ surpluses or increasing their net borrowing. </w:t>
      </w:r>
      <w:r w:rsidR="00EF42A8">
        <w:rPr>
          <w:rFonts w:ascii="Times New Roman" w:hAnsi="Times New Roman" w:cs="Times New Roman"/>
          <w:sz w:val="24"/>
          <w:szCs w:val="24"/>
          <w:lang w:val="en-US"/>
        </w:rPr>
        <w:t>In this model the coefficient of private consumption is negative and statistically significant. The other variables confirm the previous results.</w:t>
      </w:r>
      <w:r>
        <w:rPr>
          <w:rFonts w:ascii="Times New Roman" w:hAnsi="Times New Roman" w:cs="Times New Roman"/>
          <w:sz w:val="24"/>
          <w:szCs w:val="24"/>
          <w:lang w:val="en-US"/>
        </w:rPr>
        <w:t xml:space="preserve"> </w:t>
      </w:r>
    </w:p>
    <w:p w:rsidR="00EF42A8" w:rsidRDefault="00B943C4" w:rsidP="008D4B77">
      <w:pPr>
        <w:spacing w:line="360" w:lineRule="auto"/>
        <w:ind w:firstLine="567"/>
        <w:jc w:val="both"/>
        <w:rPr>
          <w:rFonts w:ascii="Times New Roman" w:hAnsi="Times New Roman" w:cs="Times New Roman"/>
          <w:sz w:val="24"/>
          <w:szCs w:val="24"/>
          <w:lang w:val="en-US"/>
        </w:rPr>
      </w:pPr>
      <w:r w:rsidRPr="00B943C4">
        <w:rPr>
          <w:rFonts w:ascii="Times New Roman" w:hAnsi="Times New Roman" w:cs="Times New Roman"/>
          <w:sz w:val="24"/>
          <w:szCs w:val="24"/>
          <w:lang w:val="en-US"/>
        </w:rPr>
        <w:t xml:space="preserve">The fourth column </w:t>
      </w:r>
      <w:r w:rsidR="00EF42A8">
        <w:rPr>
          <w:rFonts w:ascii="Times New Roman" w:hAnsi="Times New Roman" w:cs="Times New Roman"/>
          <w:sz w:val="24"/>
          <w:szCs w:val="24"/>
          <w:lang w:val="en-US"/>
        </w:rPr>
        <w:t xml:space="preserve">considers as additional independent variable an indicator of financial openness, following the choice of Caballero et al (2015). This variable is not statistically significant. The other coefficients are in line with those of the previous models. </w:t>
      </w:r>
    </w:p>
    <w:p w:rsidR="0045793A" w:rsidRDefault="00A65EFF" w:rsidP="008D4B77">
      <w:pPr>
        <w:spacing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fifth model reports the same regression substituting financial openness with trade openness. Trade openness has a positive and statistically significant coefficient, suggesting that a greater national exposure to trade is linked to greater net surpluses of firms. </w:t>
      </w:r>
    </w:p>
    <w:p w:rsidR="00A65EFF" w:rsidRDefault="0045793A" w:rsidP="008D4B77">
      <w:pPr>
        <w:spacing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sixth model</w:t>
      </w:r>
      <w:r w:rsidR="0088191A">
        <w:rPr>
          <w:rFonts w:ascii="Times New Roman" w:hAnsi="Times New Roman" w:cs="Times New Roman"/>
          <w:sz w:val="24"/>
          <w:szCs w:val="24"/>
          <w:lang w:val="en-US"/>
        </w:rPr>
        <w:t xml:space="preserve"> takes into account the same variables of model 3 including a dummy for the years 2008-20</w:t>
      </w:r>
      <w:r w:rsidR="00266E8D">
        <w:rPr>
          <w:rFonts w:ascii="Times New Roman" w:hAnsi="Times New Roman" w:cs="Times New Roman"/>
          <w:sz w:val="24"/>
          <w:szCs w:val="24"/>
          <w:lang w:val="en-US"/>
        </w:rPr>
        <w:t>11</w:t>
      </w:r>
      <w:r w:rsidR="0088191A">
        <w:rPr>
          <w:rFonts w:ascii="Times New Roman" w:hAnsi="Times New Roman" w:cs="Times New Roman"/>
          <w:sz w:val="24"/>
          <w:szCs w:val="24"/>
          <w:lang w:val="en-US"/>
        </w:rPr>
        <w:t xml:space="preserve"> and an interaction term between leverage and </w:t>
      </w:r>
      <w:r w:rsidR="00B81D02">
        <w:rPr>
          <w:rFonts w:ascii="Times New Roman" w:hAnsi="Times New Roman" w:cs="Times New Roman"/>
          <w:sz w:val="24"/>
          <w:szCs w:val="24"/>
          <w:lang w:val="en-US"/>
        </w:rPr>
        <w:t xml:space="preserve">the </w:t>
      </w:r>
      <w:r w:rsidR="0088191A">
        <w:rPr>
          <w:rFonts w:ascii="Times New Roman" w:hAnsi="Times New Roman" w:cs="Times New Roman"/>
          <w:sz w:val="24"/>
          <w:szCs w:val="24"/>
          <w:lang w:val="en-US"/>
        </w:rPr>
        <w:t>crisis</w:t>
      </w:r>
      <w:r w:rsidR="00B81D02">
        <w:rPr>
          <w:rFonts w:ascii="Times New Roman" w:hAnsi="Times New Roman" w:cs="Times New Roman"/>
          <w:sz w:val="24"/>
          <w:szCs w:val="24"/>
          <w:lang w:val="en-US"/>
        </w:rPr>
        <w:t xml:space="preserve"> dummy</w:t>
      </w:r>
      <w:r w:rsidR="0088191A">
        <w:rPr>
          <w:rFonts w:ascii="Times New Roman" w:hAnsi="Times New Roman" w:cs="Times New Roman"/>
          <w:sz w:val="24"/>
          <w:szCs w:val="24"/>
          <w:lang w:val="en-US"/>
        </w:rPr>
        <w:t>, accounting for a different effect of leverage during the global financial crisis.</w:t>
      </w:r>
      <w:r w:rsidR="00B81D02">
        <w:rPr>
          <w:rFonts w:ascii="Times New Roman" w:hAnsi="Times New Roman" w:cs="Times New Roman"/>
          <w:sz w:val="24"/>
          <w:szCs w:val="24"/>
          <w:lang w:val="en-US"/>
        </w:rPr>
        <w:t xml:space="preserve"> </w:t>
      </w:r>
      <w:r w:rsidR="00266E8D">
        <w:rPr>
          <w:rFonts w:ascii="Times New Roman" w:hAnsi="Times New Roman" w:cs="Times New Roman"/>
          <w:sz w:val="24"/>
          <w:szCs w:val="24"/>
          <w:lang w:val="en-US"/>
        </w:rPr>
        <w:t xml:space="preserve">According to our result firms with </w:t>
      </w:r>
      <w:r w:rsidR="00E9201C">
        <w:rPr>
          <w:rFonts w:ascii="Times New Roman" w:hAnsi="Times New Roman" w:cs="Times New Roman"/>
          <w:sz w:val="24"/>
          <w:szCs w:val="24"/>
          <w:lang w:val="en-US"/>
        </w:rPr>
        <w:t xml:space="preserve">a </w:t>
      </w:r>
      <w:r w:rsidR="00266E8D">
        <w:rPr>
          <w:rFonts w:ascii="Times New Roman" w:hAnsi="Times New Roman" w:cs="Times New Roman"/>
          <w:sz w:val="24"/>
          <w:szCs w:val="24"/>
          <w:lang w:val="en-US"/>
        </w:rPr>
        <w:t xml:space="preserve">high leverage </w:t>
      </w:r>
      <w:r w:rsidR="00E9201C">
        <w:rPr>
          <w:rFonts w:ascii="Times New Roman" w:hAnsi="Times New Roman" w:cs="Times New Roman"/>
          <w:sz w:val="24"/>
          <w:szCs w:val="24"/>
          <w:lang w:val="en-US"/>
        </w:rPr>
        <w:t xml:space="preserve">ratio, </w:t>
      </w:r>
      <w:r w:rsidR="00266E8D">
        <w:rPr>
          <w:rFonts w:ascii="Times New Roman" w:hAnsi="Times New Roman" w:cs="Times New Roman"/>
          <w:sz w:val="24"/>
          <w:szCs w:val="24"/>
          <w:lang w:val="en-US"/>
        </w:rPr>
        <w:t>in the crisis period</w:t>
      </w:r>
      <w:r w:rsidR="00E9201C">
        <w:rPr>
          <w:rFonts w:ascii="Times New Roman" w:hAnsi="Times New Roman" w:cs="Times New Roman"/>
          <w:sz w:val="24"/>
          <w:szCs w:val="24"/>
          <w:lang w:val="en-US"/>
        </w:rPr>
        <w:t>,</w:t>
      </w:r>
      <w:r w:rsidR="00266E8D">
        <w:rPr>
          <w:rFonts w:ascii="Times New Roman" w:hAnsi="Times New Roman" w:cs="Times New Roman"/>
          <w:sz w:val="24"/>
          <w:szCs w:val="24"/>
          <w:lang w:val="en-US"/>
        </w:rPr>
        <w:t xml:space="preserve"> experience a higher net lending presumably in order to reduce their indebtedness level.</w:t>
      </w:r>
      <w:bookmarkStart w:id="0" w:name="_GoBack"/>
      <w:bookmarkEnd w:id="0"/>
    </w:p>
    <w:p w:rsidR="00B537BE" w:rsidRDefault="00EF42A8" w:rsidP="00B537B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11D7B" w:rsidRPr="00956417" w:rsidRDefault="00C17B79" w:rsidP="00B537BE">
      <w:pPr>
        <w:spacing w:line="360" w:lineRule="auto"/>
        <w:rPr>
          <w:rFonts w:ascii="Times New Roman" w:hAnsi="Times New Roman" w:cs="Times New Roman"/>
          <w:b/>
          <w:sz w:val="24"/>
          <w:szCs w:val="24"/>
          <w:lang w:val="en-US"/>
        </w:rPr>
      </w:pPr>
      <w:r w:rsidRPr="00956417">
        <w:rPr>
          <w:rFonts w:ascii="Times New Roman" w:hAnsi="Times New Roman" w:cs="Times New Roman"/>
          <w:b/>
          <w:sz w:val="24"/>
          <w:szCs w:val="24"/>
          <w:lang w:val="en-US"/>
        </w:rPr>
        <w:t>5</w:t>
      </w:r>
      <w:r w:rsidR="00B537BE">
        <w:rPr>
          <w:rFonts w:ascii="Times New Roman" w:hAnsi="Times New Roman" w:cs="Times New Roman"/>
          <w:b/>
          <w:sz w:val="24"/>
          <w:szCs w:val="24"/>
          <w:lang w:val="en-US"/>
        </w:rPr>
        <w:t>.</w:t>
      </w:r>
      <w:r w:rsidRPr="00956417">
        <w:rPr>
          <w:rFonts w:ascii="Times New Roman" w:hAnsi="Times New Roman" w:cs="Times New Roman"/>
          <w:b/>
          <w:sz w:val="24"/>
          <w:szCs w:val="24"/>
          <w:lang w:val="en-US"/>
        </w:rPr>
        <w:t xml:space="preserve"> Conclusions</w:t>
      </w:r>
    </w:p>
    <w:p w:rsidR="00B537BE" w:rsidRDefault="00B537BE" w:rsidP="005C3739">
      <w:pPr>
        <w:spacing w:after="0" w:line="360" w:lineRule="auto"/>
        <w:ind w:firstLine="708"/>
        <w:jc w:val="both"/>
        <w:rPr>
          <w:rFonts w:ascii="Times New Roman" w:hAnsi="Times New Roman" w:cs="Times New Roman"/>
          <w:sz w:val="24"/>
          <w:szCs w:val="24"/>
          <w:lang w:val="en-US"/>
        </w:rPr>
      </w:pPr>
    </w:p>
    <w:p w:rsidR="00D5032B" w:rsidRPr="00083878" w:rsidRDefault="00FF5C40" w:rsidP="005C3739">
      <w:pPr>
        <w:spacing w:after="0" w:line="360" w:lineRule="auto"/>
        <w:ind w:firstLine="708"/>
        <w:jc w:val="both"/>
        <w:rPr>
          <w:rFonts w:ascii="Times New Roman" w:hAnsi="Times New Roman" w:cs="Times New Roman"/>
          <w:sz w:val="24"/>
          <w:szCs w:val="24"/>
          <w:lang w:val="en-US"/>
        </w:rPr>
      </w:pPr>
      <w:r w:rsidRPr="00D17677">
        <w:rPr>
          <w:rFonts w:ascii="Times New Roman" w:hAnsi="Times New Roman" w:cs="Times New Roman"/>
          <w:sz w:val="24"/>
          <w:szCs w:val="24"/>
          <w:lang w:val="en-US"/>
        </w:rPr>
        <w:t xml:space="preserve">Traditional corporate sector </w:t>
      </w:r>
      <w:r>
        <w:rPr>
          <w:rFonts w:ascii="Times New Roman" w:hAnsi="Times New Roman" w:cs="Times New Roman"/>
          <w:sz w:val="24"/>
          <w:szCs w:val="24"/>
          <w:lang w:val="en-US"/>
        </w:rPr>
        <w:t xml:space="preserve">theories </w:t>
      </w:r>
      <w:r w:rsidRPr="00D17677">
        <w:rPr>
          <w:rFonts w:ascii="Times New Roman" w:hAnsi="Times New Roman" w:cs="Times New Roman"/>
          <w:sz w:val="24"/>
          <w:szCs w:val="24"/>
          <w:lang w:val="en-US"/>
        </w:rPr>
        <w:t>predict that fi</w:t>
      </w:r>
      <w:r>
        <w:rPr>
          <w:rFonts w:ascii="Times New Roman" w:hAnsi="Times New Roman" w:cs="Times New Roman"/>
          <w:sz w:val="24"/>
          <w:szCs w:val="24"/>
          <w:lang w:val="en-US"/>
        </w:rPr>
        <w:t xml:space="preserve">rms </w:t>
      </w:r>
      <w:r w:rsidR="0064305A">
        <w:rPr>
          <w:rFonts w:ascii="Times New Roman" w:hAnsi="Times New Roman" w:cs="Times New Roman"/>
          <w:sz w:val="24"/>
          <w:szCs w:val="24"/>
          <w:lang w:val="en-US"/>
        </w:rPr>
        <w:t xml:space="preserve">run deficits to </w:t>
      </w:r>
      <w:r w:rsidRPr="00D17677">
        <w:rPr>
          <w:rFonts w:ascii="Times New Roman" w:hAnsi="Times New Roman" w:cs="Times New Roman"/>
          <w:sz w:val="24"/>
          <w:szCs w:val="24"/>
          <w:lang w:val="en-US"/>
        </w:rPr>
        <w:t>finance investment projects</w:t>
      </w:r>
      <w:r w:rsidR="0064305A">
        <w:rPr>
          <w:rFonts w:ascii="Times New Roman" w:hAnsi="Times New Roman" w:cs="Times New Roman"/>
          <w:sz w:val="24"/>
          <w:szCs w:val="24"/>
          <w:lang w:val="en-US"/>
        </w:rPr>
        <w:t xml:space="preserve">. </w:t>
      </w:r>
      <w:r w:rsidR="00213E2D">
        <w:rPr>
          <w:rFonts w:ascii="Times New Roman" w:hAnsi="Times New Roman" w:cs="Times New Roman"/>
          <w:sz w:val="24"/>
          <w:szCs w:val="24"/>
          <w:lang w:val="en-US"/>
        </w:rPr>
        <w:t xml:space="preserve">However </w:t>
      </w:r>
      <w:r w:rsidR="00B537BE">
        <w:rPr>
          <w:rFonts w:ascii="Times New Roman" w:hAnsi="Times New Roman" w:cs="Times New Roman"/>
          <w:sz w:val="24"/>
          <w:szCs w:val="24"/>
          <w:lang w:val="en-US"/>
        </w:rPr>
        <w:t xml:space="preserve">since the late 1990s </w:t>
      </w:r>
      <w:r w:rsidR="005C3739">
        <w:rPr>
          <w:rFonts w:ascii="Times New Roman" w:hAnsi="Times New Roman" w:cs="Times New Roman"/>
          <w:sz w:val="24"/>
          <w:szCs w:val="24"/>
          <w:lang w:val="en-US"/>
        </w:rPr>
        <w:t xml:space="preserve">in </w:t>
      </w:r>
      <w:r w:rsidR="00E83A4B">
        <w:rPr>
          <w:rFonts w:ascii="Times New Roman" w:hAnsi="Times New Roman" w:cs="Times New Roman"/>
          <w:sz w:val="24"/>
          <w:szCs w:val="24"/>
          <w:lang w:val="en-US"/>
        </w:rPr>
        <w:t xml:space="preserve">many </w:t>
      </w:r>
      <w:r w:rsidR="005C3739">
        <w:rPr>
          <w:rFonts w:ascii="Times New Roman" w:hAnsi="Times New Roman" w:cs="Times New Roman"/>
          <w:sz w:val="24"/>
          <w:szCs w:val="24"/>
          <w:lang w:val="en-US"/>
        </w:rPr>
        <w:t xml:space="preserve">industrial countries </w:t>
      </w:r>
      <w:r w:rsidR="0064305A">
        <w:rPr>
          <w:rFonts w:ascii="Times New Roman" w:hAnsi="Times New Roman" w:cs="Times New Roman"/>
          <w:sz w:val="24"/>
          <w:szCs w:val="24"/>
          <w:lang w:val="en-US"/>
        </w:rPr>
        <w:t>firms often registered financial surpluses. In other countries firms remained net borrowers.</w:t>
      </w:r>
    </w:p>
    <w:p w:rsidR="00571E25" w:rsidRDefault="003130AA" w:rsidP="005C3739">
      <w:pPr>
        <w:spacing w:after="0" w:line="360" w:lineRule="auto"/>
        <w:ind w:firstLine="708"/>
        <w:jc w:val="both"/>
        <w:rPr>
          <w:rFonts w:ascii="Times New Roman" w:hAnsi="Times New Roman" w:cs="Times New Roman"/>
          <w:sz w:val="24"/>
          <w:szCs w:val="24"/>
          <w:lang w:val="en-US"/>
        </w:rPr>
      </w:pPr>
      <w:r w:rsidRPr="00083878">
        <w:rPr>
          <w:rFonts w:ascii="Times New Roman" w:hAnsi="Times New Roman" w:cs="Times New Roman"/>
          <w:sz w:val="24"/>
          <w:szCs w:val="24"/>
          <w:lang w:val="en-US"/>
        </w:rPr>
        <w:t xml:space="preserve">In this paper we </w:t>
      </w:r>
      <w:r w:rsidR="0064305A">
        <w:rPr>
          <w:rFonts w:ascii="Times New Roman" w:hAnsi="Times New Roman" w:cs="Times New Roman"/>
          <w:sz w:val="24"/>
          <w:szCs w:val="24"/>
          <w:lang w:val="en-US"/>
        </w:rPr>
        <w:t>t</w:t>
      </w:r>
      <w:r w:rsidRPr="00083878">
        <w:rPr>
          <w:rFonts w:ascii="Times New Roman" w:hAnsi="Times New Roman" w:cs="Times New Roman"/>
          <w:sz w:val="24"/>
          <w:szCs w:val="24"/>
          <w:lang w:val="en-US"/>
        </w:rPr>
        <w:t xml:space="preserve">ried to interpret the causes of </w:t>
      </w:r>
      <w:r w:rsidR="0064305A">
        <w:rPr>
          <w:rFonts w:ascii="Times New Roman" w:hAnsi="Times New Roman" w:cs="Times New Roman"/>
          <w:sz w:val="24"/>
          <w:szCs w:val="24"/>
          <w:lang w:val="en-US"/>
        </w:rPr>
        <w:t xml:space="preserve">firms’ surpluses and deficits, focusing on </w:t>
      </w:r>
      <w:r w:rsidR="00D5032B">
        <w:rPr>
          <w:rFonts w:ascii="Times New Roman" w:hAnsi="Times New Roman" w:cs="Times New Roman"/>
          <w:sz w:val="24"/>
          <w:szCs w:val="24"/>
          <w:lang w:val="en-US"/>
        </w:rPr>
        <w:t>the role of aggregate demand components</w:t>
      </w:r>
      <w:r w:rsidR="00571E25">
        <w:rPr>
          <w:rFonts w:ascii="Times New Roman" w:hAnsi="Times New Roman" w:cs="Times New Roman"/>
          <w:sz w:val="24"/>
          <w:szCs w:val="24"/>
          <w:lang w:val="en-US"/>
        </w:rPr>
        <w:t xml:space="preserve"> and net foreign direct investments abroad. </w:t>
      </w:r>
      <w:r w:rsidR="0064305A">
        <w:rPr>
          <w:rFonts w:ascii="Times New Roman" w:hAnsi="Times New Roman" w:cs="Times New Roman"/>
          <w:sz w:val="24"/>
          <w:szCs w:val="24"/>
          <w:lang w:val="en-US"/>
        </w:rPr>
        <w:t xml:space="preserve">In the econometric exercises the dependent variable is the difference between the annual change of firms’ </w:t>
      </w:r>
      <w:r w:rsidR="00903B54">
        <w:rPr>
          <w:rFonts w:ascii="Times New Roman" w:hAnsi="Times New Roman" w:cs="Times New Roman"/>
          <w:sz w:val="24"/>
          <w:szCs w:val="24"/>
          <w:lang w:val="en-US"/>
        </w:rPr>
        <w:t>financial assets and the annual change of financial liabilities.</w:t>
      </w:r>
      <w:r w:rsidR="004603D2">
        <w:rPr>
          <w:rFonts w:ascii="Times New Roman" w:hAnsi="Times New Roman" w:cs="Times New Roman"/>
          <w:sz w:val="24"/>
          <w:szCs w:val="24"/>
          <w:lang w:val="en-US"/>
        </w:rPr>
        <w:t xml:space="preserve"> </w:t>
      </w:r>
    </w:p>
    <w:p w:rsidR="0064305A" w:rsidRDefault="0064305A" w:rsidP="005C3739">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paper reached </w:t>
      </w:r>
      <w:r w:rsidR="00571E25">
        <w:rPr>
          <w:rFonts w:ascii="Times New Roman" w:hAnsi="Times New Roman" w:cs="Times New Roman"/>
          <w:sz w:val="24"/>
          <w:szCs w:val="24"/>
          <w:lang w:val="en-US"/>
        </w:rPr>
        <w:t>fou</w:t>
      </w:r>
      <w:r w:rsidR="00B537BE">
        <w:rPr>
          <w:rFonts w:ascii="Times New Roman" w:hAnsi="Times New Roman" w:cs="Times New Roman"/>
          <w:sz w:val="24"/>
          <w:szCs w:val="24"/>
          <w:lang w:val="en-US"/>
        </w:rPr>
        <w:t>r</w:t>
      </w:r>
      <w:r w:rsidR="00571E25">
        <w:rPr>
          <w:rFonts w:ascii="Times New Roman" w:hAnsi="Times New Roman" w:cs="Times New Roman"/>
          <w:sz w:val="24"/>
          <w:szCs w:val="24"/>
          <w:lang w:val="en-US"/>
        </w:rPr>
        <w:t xml:space="preserve"> </w:t>
      </w:r>
      <w:r>
        <w:rPr>
          <w:rFonts w:ascii="Times New Roman" w:hAnsi="Times New Roman" w:cs="Times New Roman"/>
          <w:sz w:val="24"/>
          <w:szCs w:val="24"/>
          <w:lang w:val="en-US"/>
        </w:rPr>
        <w:t>main conclusions.</w:t>
      </w:r>
    </w:p>
    <w:p w:rsidR="009F04B3" w:rsidRDefault="0064305A" w:rsidP="00F92959">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First, there is a </w:t>
      </w:r>
      <w:r w:rsidR="00903B54">
        <w:rPr>
          <w:rFonts w:ascii="Times New Roman" w:hAnsi="Times New Roman" w:cs="Times New Roman"/>
          <w:sz w:val="24"/>
          <w:szCs w:val="24"/>
          <w:lang w:val="en-US"/>
        </w:rPr>
        <w:t xml:space="preserve">negative </w:t>
      </w:r>
      <w:r>
        <w:rPr>
          <w:rFonts w:ascii="Times New Roman" w:hAnsi="Times New Roman" w:cs="Times New Roman"/>
          <w:sz w:val="24"/>
          <w:szCs w:val="24"/>
          <w:lang w:val="en-US"/>
        </w:rPr>
        <w:t xml:space="preserve">association between the output gaps and </w:t>
      </w:r>
      <w:r w:rsidR="00903B54">
        <w:rPr>
          <w:rFonts w:ascii="Times New Roman" w:hAnsi="Times New Roman" w:cs="Times New Roman"/>
          <w:sz w:val="24"/>
          <w:szCs w:val="24"/>
          <w:lang w:val="en-US"/>
        </w:rPr>
        <w:t>firms’ surpluses and deficits. A higher output</w:t>
      </w:r>
      <w:r w:rsidR="004603D2">
        <w:rPr>
          <w:rFonts w:ascii="Times New Roman" w:hAnsi="Times New Roman" w:cs="Times New Roman"/>
          <w:sz w:val="24"/>
          <w:szCs w:val="24"/>
          <w:lang w:val="en-US"/>
        </w:rPr>
        <w:t xml:space="preserve">-gap is linked to smaller firms’ </w:t>
      </w:r>
      <w:r w:rsidR="009F04B3">
        <w:rPr>
          <w:rFonts w:ascii="Times New Roman" w:hAnsi="Times New Roman" w:cs="Times New Roman"/>
          <w:sz w:val="24"/>
          <w:szCs w:val="24"/>
          <w:lang w:val="en-US"/>
        </w:rPr>
        <w:t>surpluses and greater deficits.</w:t>
      </w:r>
    </w:p>
    <w:p w:rsidR="00213E2D" w:rsidRPr="00E514EC" w:rsidRDefault="009F04B3" w:rsidP="007E66F9">
      <w:pPr>
        <w:spacing w:after="0" w:line="360" w:lineRule="auto"/>
        <w:ind w:firstLine="708"/>
        <w:jc w:val="both"/>
        <w:rPr>
          <w:rFonts w:ascii="Times New Roman" w:hAnsi="Times New Roman" w:cs="Times New Roman"/>
          <w:sz w:val="24"/>
          <w:szCs w:val="24"/>
          <w:lang w:val="en-US"/>
        </w:rPr>
      </w:pPr>
      <w:r w:rsidRPr="00E514EC">
        <w:rPr>
          <w:rFonts w:ascii="Times New Roman" w:hAnsi="Times New Roman" w:cs="Times New Roman"/>
          <w:sz w:val="24"/>
          <w:szCs w:val="24"/>
          <w:lang w:val="en-US"/>
        </w:rPr>
        <w:t xml:space="preserve">Second, </w:t>
      </w:r>
      <w:r w:rsidR="00E514EC" w:rsidRPr="00E514EC">
        <w:rPr>
          <w:rFonts w:ascii="Times New Roman" w:hAnsi="Times New Roman" w:cs="Times New Roman"/>
          <w:sz w:val="24"/>
          <w:szCs w:val="24"/>
          <w:lang w:val="en-US"/>
        </w:rPr>
        <w:t>firms’ greater investments, as a ratio of GDP, are associated to greater deficits and smaller surpluses.</w:t>
      </w:r>
      <w:r w:rsidR="00E83A4B">
        <w:rPr>
          <w:rFonts w:ascii="Times New Roman" w:hAnsi="Times New Roman" w:cs="Times New Roman"/>
          <w:sz w:val="24"/>
          <w:szCs w:val="24"/>
          <w:lang w:val="en-US"/>
        </w:rPr>
        <w:t xml:space="preserve"> This evidence coincides with that found in previous studies.</w:t>
      </w:r>
      <w:r w:rsidR="00E514EC" w:rsidRPr="00E514EC">
        <w:rPr>
          <w:rFonts w:ascii="Times New Roman" w:hAnsi="Times New Roman" w:cs="Times New Roman"/>
          <w:sz w:val="24"/>
          <w:szCs w:val="24"/>
          <w:lang w:val="en-US"/>
        </w:rPr>
        <w:t xml:space="preserve"> </w:t>
      </w:r>
    </w:p>
    <w:p w:rsidR="007E66F9" w:rsidRDefault="007E66F9" w:rsidP="007E66F9">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Third, </w:t>
      </w:r>
      <w:r w:rsidR="00213E2D">
        <w:rPr>
          <w:rFonts w:ascii="Times New Roman" w:hAnsi="Times New Roman" w:cs="Times New Roman"/>
          <w:sz w:val="24"/>
          <w:szCs w:val="24"/>
          <w:lang w:val="en-US"/>
        </w:rPr>
        <w:t xml:space="preserve">private </w:t>
      </w:r>
      <w:r>
        <w:rPr>
          <w:rFonts w:ascii="Times New Roman" w:hAnsi="Times New Roman" w:cs="Times New Roman"/>
          <w:sz w:val="24"/>
          <w:szCs w:val="24"/>
          <w:lang w:val="en-US"/>
        </w:rPr>
        <w:t xml:space="preserve">consumption does not have a </w:t>
      </w:r>
      <w:r w:rsidR="00E83A4B">
        <w:rPr>
          <w:rFonts w:ascii="Times New Roman" w:hAnsi="Times New Roman" w:cs="Times New Roman"/>
          <w:sz w:val="24"/>
          <w:szCs w:val="24"/>
          <w:lang w:val="en-US"/>
        </w:rPr>
        <w:t xml:space="preserve">robust </w:t>
      </w:r>
      <w:r>
        <w:rPr>
          <w:rFonts w:ascii="Times New Roman" w:hAnsi="Times New Roman" w:cs="Times New Roman"/>
          <w:sz w:val="24"/>
          <w:szCs w:val="24"/>
          <w:lang w:val="en-US"/>
        </w:rPr>
        <w:t xml:space="preserve">statistically significant link with firms’ net lending/borrowing. </w:t>
      </w:r>
    </w:p>
    <w:p w:rsidR="00F92959" w:rsidRDefault="007E66F9" w:rsidP="007E66F9">
      <w:pPr>
        <w:spacing w:after="0" w:line="360" w:lineRule="auto"/>
        <w:ind w:firstLine="708"/>
        <w:jc w:val="both"/>
        <w:rPr>
          <w:rFonts w:ascii="Times New Roman" w:hAnsi="Times New Roman" w:cs="Times New Roman"/>
          <w:sz w:val="24"/>
          <w:szCs w:val="24"/>
          <w:lang w:val="en-US"/>
        </w:rPr>
      </w:pPr>
      <w:r w:rsidRPr="007E66F9">
        <w:rPr>
          <w:rFonts w:ascii="Times New Roman" w:hAnsi="Times New Roman" w:cs="Times New Roman"/>
          <w:sz w:val="24"/>
          <w:szCs w:val="24"/>
          <w:lang w:val="en-US"/>
        </w:rPr>
        <w:t>Fourth, net foreign direct investments abroad show a positive association with non-financial corporations’ ne</w:t>
      </w:r>
      <w:r>
        <w:rPr>
          <w:rFonts w:ascii="Times New Roman" w:hAnsi="Times New Roman" w:cs="Times New Roman"/>
          <w:sz w:val="24"/>
          <w:szCs w:val="24"/>
          <w:lang w:val="en-US"/>
        </w:rPr>
        <w:t>t</w:t>
      </w:r>
      <w:r w:rsidRPr="007E66F9">
        <w:rPr>
          <w:rFonts w:ascii="Times New Roman" w:hAnsi="Times New Roman" w:cs="Times New Roman"/>
          <w:sz w:val="24"/>
          <w:szCs w:val="24"/>
          <w:lang w:val="en-US"/>
        </w:rPr>
        <w:t xml:space="preserve"> lending: </w:t>
      </w:r>
      <w:r>
        <w:rPr>
          <w:rFonts w:ascii="Times New Roman" w:hAnsi="Times New Roman" w:cs="Times New Roman"/>
          <w:sz w:val="24"/>
          <w:szCs w:val="24"/>
          <w:lang w:val="en-US"/>
        </w:rPr>
        <w:t>firms that strongly invest abroad tend to reduce their net borrowing.</w:t>
      </w:r>
    </w:p>
    <w:p w:rsidR="0088191A" w:rsidRDefault="0088191A" w:rsidP="007E66F9">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These results are preliminary. We plan to run different regressions for the years preceding the Lehman Brothers collapse (1994-2007) and those characterized by the global financial and the European debt sovereign crises (2008-2014). We would also like to enlarge the set of countries analyzed and to consider other possible explanations of non-financial </w:t>
      </w:r>
      <w:proofErr w:type="spellStart"/>
      <w:r>
        <w:rPr>
          <w:rFonts w:ascii="Times New Roman" w:hAnsi="Times New Roman" w:cs="Times New Roman"/>
          <w:sz w:val="24"/>
          <w:szCs w:val="24"/>
          <w:lang w:val="en-US"/>
        </w:rPr>
        <w:t>corporations</w:t>
      </w:r>
      <w:proofErr w:type="spellEnd"/>
      <w:r>
        <w:rPr>
          <w:rFonts w:ascii="Times New Roman" w:hAnsi="Times New Roman" w:cs="Times New Roman"/>
          <w:sz w:val="24"/>
          <w:szCs w:val="24"/>
          <w:lang w:val="en-US"/>
        </w:rPr>
        <w:t xml:space="preserve"> net lending/borrowing. We leave these subjects to future research. </w:t>
      </w:r>
    </w:p>
    <w:p w:rsidR="007E66F9" w:rsidRPr="007E66F9" w:rsidRDefault="007E66F9" w:rsidP="007E66F9">
      <w:pPr>
        <w:spacing w:after="0" w:line="360" w:lineRule="auto"/>
        <w:ind w:firstLine="708"/>
        <w:jc w:val="both"/>
        <w:rPr>
          <w:rFonts w:ascii="Times New Roman" w:hAnsi="Times New Roman" w:cs="Times New Roman"/>
          <w:sz w:val="24"/>
          <w:szCs w:val="24"/>
          <w:lang w:val="en-US"/>
        </w:rPr>
      </w:pPr>
    </w:p>
    <w:p w:rsidR="00F92959" w:rsidRPr="007E66F9" w:rsidRDefault="00F92959" w:rsidP="00F92959">
      <w:pPr>
        <w:rPr>
          <w:rFonts w:ascii="Times New Roman" w:hAnsi="Times New Roman" w:cs="Times New Roman"/>
          <w:lang w:val="en-US"/>
        </w:rPr>
      </w:pPr>
    </w:p>
    <w:p w:rsidR="00BE42EE" w:rsidRPr="007E66F9" w:rsidRDefault="00BE42EE" w:rsidP="00DA2532">
      <w:pPr>
        <w:rPr>
          <w:rFonts w:ascii="Times New Roman" w:hAnsi="Times New Roman" w:cs="Times New Roman"/>
          <w:lang w:val="en-US"/>
        </w:rPr>
      </w:pPr>
      <w:r w:rsidRPr="007E66F9">
        <w:rPr>
          <w:rFonts w:ascii="Times New Roman" w:hAnsi="Times New Roman" w:cs="Times New Roman"/>
          <w:lang w:val="en-US"/>
        </w:rPr>
        <w:br w:type="page"/>
      </w:r>
    </w:p>
    <w:p w:rsidR="00E11D7B" w:rsidRPr="007E66F9" w:rsidRDefault="00E11D7B" w:rsidP="00DA2532">
      <w:pPr>
        <w:rPr>
          <w:rFonts w:ascii="Times New Roman" w:hAnsi="Times New Roman" w:cs="Times New Roman"/>
          <w:lang w:val="en-US"/>
        </w:rPr>
      </w:pPr>
    </w:p>
    <w:p w:rsidR="00E11D7B" w:rsidRPr="00B96E53" w:rsidRDefault="00E11D7B" w:rsidP="00F169BC">
      <w:pPr>
        <w:rPr>
          <w:rFonts w:ascii="Times New Roman" w:hAnsi="Times New Roman" w:cs="Times New Roman"/>
          <w:b/>
          <w:sz w:val="24"/>
          <w:szCs w:val="24"/>
          <w:lang w:val="en-US"/>
        </w:rPr>
      </w:pPr>
      <w:r w:rsidRPr="00B96E53">
        <w:rPr>
          <w:rFonts w:ascii="Times New Roman" w:hAnsi="Times New Roman" w:cs="Times New Roman"/>
          <w:b/>
          <w:sz w:val="24"/>
          <w:szCs w:val="24"/>
          <w:lang w:val="en-US"/>
        </w:rPr>
        <w:t>References</w:t>
      </w:r>
    </w:p>
    <w:p w:rsidR="004D2EC7" w:rsidRDefault="004D2EC7" w:rsidP="00F169BC">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Armenter</w:t>
      </w:r>
      <w:proofErr w:type="spellEnd"/>
      <w:r>
        <w:rPr>
          <w:rFonts w:ascii="Times New Roman" w:hAnsi="Times New Roman" w:cs="Times New Roman"/>
          <w:sz w:val="24"/>
          <w:szCs w:val="24"/>
          <w:lang w:val="en-US"/>
        </w:rPr>
        <w:t xml:space="preserve"> R. (2012), </w:t>
      </w:r>
      <w:r w:rsidRPr="004D2EC7">
        <w:rPr>
          <w:rFonts w:ascii="Times New Roman" w:hAnsi="Times New Roman" w:cs="Times New Roman"/>
          <w:i/>
          <w:sz w:val="24"/>
          <w:szCs w:val="24"/>
          <w:lang w:val="en-US"/>
        </w:rPr>
        <w:t>The Rise of Corporate Savings</w:t>
      </w:r>
      <w:r>
        <w:rPr>
          <w:rFonts w:ascii="Times New Roman" w:hAnsi="Times New Roman" w:cs="Times New Roman"/>
          <w:sz w:val="24"/>
          <w:szCs w:val="24"/>
          <w:lang w:val="en-US"/>
        </w:rPr>
        <w:t xml:space="preserve">, available at </w:t>
      </w:r>
      <w:hyperlink r:id="rId43" w:history="1">
        <w:r w:rsidRPr="0012494F">
          <w:rPr>
            <w:rStyle w:val="Collegamentoipertestuale"/>
            <w:rFonts w:ascii="Times New Roman" w:hAnsi="Times New Roman" w:cs="Times New Roman"/>
            <w:sz w:val="24"/>
            <w:szCs w:val="24"/>
            <w:lang w:val="en-US"/>
          </w:rPr>
          <w:t>www.philadelphiafed.org/research-and-data/publications</w:t>
        </w:r>
      </w:hyperlink>
      <w:r>
        <w:rPr>
          <w:rFonts w:ascii="Times New Roman" w:hAnsi="Times New Roman" w:cs="Times New Roman"/>
          <w:sz w:val="24"/>
          <w:szCs w:val="24"/>
          <w:lang w:val="en-US"/>
        </w:rPr>
        <w:t>.</w:t>
      </w:r>
    </w:p>
    <w:p w:rsidR="00084EBD" w:rsidRDefault="00084EBD" w:rsidP="00F169BC">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Armenter</w:t>
      </w:r>
      <w:proofErr w:type="spellEnd"/>
      <w:r>
        <w:rPr>
          <w:rFonts w:ascii="Times New Roman" w:hAnsi="Times New Roman" w:cs="Times New Roman"/>
          <w:sz w:val="24"/>
          <w:szCs w:val="24"/>
          <w:lang w:val="en-US"/>
        </w:rPr>
        <w:t xml:space="preserve"> R. and  V. </w:t>
      </w:r>
      <w:proofErr w:type="spellStart"/>
      <w:r w:rsidRPr="00084EBD">
        <w:rPr>
          <w:rFonts w:ascii="Times New Roman" w:hAnsi="Times New Roman" w:cs="Times New Roman"/>
          <w:sz w:val="24"/>
          <w:szCs w:val="24"/>
          <w:lang w:val="en-US"/>
        </w:rPr>
        <w:t>Hnatkovska</w:t>
      </w:r>
      <w:proofErr w:type="spellEnd"/>
      <w:r>
        <w:rPr>
          <w:rFonts w:ascii="Times New Roman" w:hAnsi="Times New Roman" w:cs="Times New Roman"/>
          <w:sz w:val="24"/>
          <w:szCs w:val="24"/>
          <w:lang w:val="en-US"/>
        </w:rPr>
        <w:t xml:space="preserve"> (2014) </w:t>
      </w:r>
      <w:r w:rsidRPr="002C0CD1">
        <w:rPr>
          <w:rFonts w:ascii="Times New Roman" w:hAnsi="Times New Roman" w:cs="Times New Roman"/>
          <w:i/>
          <w:sz w:val="24"/>
          <w:szCs w:val="24"/>
          <w:lang w:val="en-US"/>
        </w:rPr>
        <w:t>Taxes and Capital Structure: Understanding Firms' Savings</w:t>
      </w:r>
      <w:r w:rsidR="002C0CD1">
        <w:rPr>
          <w:rFonts w:ascii="Times New Roman" w:hAnsi="Times New Roman" w:cs="Times New Roman"/>
          <w:sz w:val="24"/>
          <w:szCs w:val="24"/>
          <w:lang w:val="en-US"/>
        </w:rPr>
        <w:t>,</w:t>
      </w:r>
      <w:r w:rsidR="008E0ED1">
        <w:rPr>
          <w:rFonts w:ascii="Times New Roman" w:hAnsi="Times New Roman" w:cs="Times New Roman"/>
          <w:sz w:val="24"/>
          <w:szCs w:val="24"/>
          <w:lang w:val="en-US"/>
        </w:rPr>
        <w:t xml:space="preserve"> mimeo</w:t>
      </w:r>
      <w:r w:rsidR="004D2EC7">
        <w:rPr>
          <w:rFonts w:ascii="Times New Roman" w:hAnsi="Times New Roman" w:cs="Times New Roman"/>
          <w:sz w:val="24"/>
          <w:szCs w:val="24"/>
          <w:lang w:val="en-US"/>
        </w:rPr>
        <w:t>.</w:t>
      </w:r>
    </w:p>
    <w:p w:rsidR="00046556" w:rsidRDefault="00046556" w:rsidP="00F169BC">
      <w:pPr>
        <w:jc w:val="both"/>
        <w:rPr>
          <w:rFonts w:ascii="Times New Roman" w:hAnsi="Times New Roman" w:cs="Times New Roman"/>
          <w:sz w:val="24"/>
          <w:szCs w:val="24"/>
          <w:lang w:val="en-US"/>
        </w:rPr>
      </w:pPr>
      <w:r w:rsidRPr="00046556">
        <w:rPr>
          <w:rFonts w:ascii="Times New Roman" w:hAnsi="Times New Roman" w:cs="Times New Roman"/>
          <w:sz w:val="24"/>
          <w:szCs w:val="24"/>
          <w:lang w:val="en-US"/>
        </w:rPr>
        <w:t>Bartiloro L.</w:t>
      </w:r>
      <w:r>
        <w:rPr>
          <w:rFonts w:ascii="Times New Roman" w:hAnsi="Times New Roman" w:cs="Times New Roman"/>
          <w:sz w:val="24"/>
          <w:szCs w:val="24"/>
          <w:lang w:val="en-US"/>
        </w:rPr>
        <w:t xml:space="preserve"> and G. di </w:t>
      </w:r>
      <w:r w:rsidRPr="00046556">
        <w:rPr>
          <w:rFonts w:ascii="Times New Roman" w:hAnsi="Times New Roman" w:cs="Times New Roman"/>
          <w:sz w:val="24"/>
          <w:szCs w:val="24"/>
          <w:lang w:val="en-US"/>
        </w:rPr>
        <w:t xml:space="preserve">Iasio G. (2012) </w:t>
      </w:r>
      <w:r w:rsidRPr="00046556">
        <w:rPr>
          <w:rFonts w:ascii="Times New Roman" w:hAnsi="Times New Roman" w:cs="Times New Roman"/>
          <w:i/>
          <w:sz w:val="24"/>
          <w:szCs w:val="24"/>
          <w:lang w:val="en-US"/>
        </w:rPr>
        <w:t>Financial Sector Dynamics and Firms’ Capital Structure</w:t>
      </w:r>
      <w:r w:rsidRPr="00046556">
        <w:rPr>
          <w:rFonts w:ascii="Times New Roman" w:hAnsi="Times New Roman" w:cs="Times New Roman"/>
          <w:sz w:val="24"/>
          <w:szCs w:val="24"/>
          <w:lang w:val="en-US"/>
        </w:rPr>
        <w:t xml:space="preserve">, in Pozzolo A. F. and R. </w:t>
      </w:r>
      <w:r>
        <w:rPr>
          <w:rFonts w:ascii="Times New Roman" w:hAnsi="Times New Roman" w:cs="Times New Roman"/>
          <w:sz w:val="24"/>
          <w:szCs w:val="24"/>
          <w:lang w:val="en-US"/>
        </w:rPr>
        <w:t>D</w:t>
      </w:r>
      <w:r w:rsidRPr="00046556">
        <w:rPr>
          <w:rFonts w:ascii="Times New Roman" w:hAnsi="Times New Roman" w:cs="Times New Roman"/>
          <w:sz w:val="24"/>
          <w:szCs w:val="24"/>
          <w:lang w:val="en-US"/>
        </w:rPr>
        <w:t>e Bonis (</w:t>
      </w:r>
      <w:proofErr w:type="spellStart"/>
      <w:r w:rsidRPr="00046556">
        <w:rPr>
          <w:rFonts w:ascii="Times New Roman" w:hAnsi="Times New Roman" w:cs="Times New Roman"/>
          <w:sz w:val="24"/>
          <w:szCs w:val="24"/>
          <w:lang w:val="en-US"/>
        </w:rPr>
        <w:t>eds</w:t>
      </w:r>
      <w:proofErr w:type="spellEnd"/>
      <w:r w:rsidRPr="00046556">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46556">
        <w:rPr>
          <w:rFonts w:ascii="Times New Roman" w:hAnsi="Times New Roman" w:cs="Times New Roman"/>
          <w:sz w:val="24"/>
          <w:szCs w:val="24"/>
          <w:lang w:val="en-US"/>
        </w:rPr>
        <w:t>The financial systems of industrial countries</w:t>
      </w:r>
      <w:r>
        <w:rPr>
          <w:rFonts w:ascii="Times New Roman" w:hAnsi="Times New Roman" w:cs="Times New Roman"/>
          <w:sz w:val="24"/>
          <w:szCs w:val="24"/>
          <w:lang w:val="en-US"/>
        </w:rPr>
        <w:t>”</w:t>
      </w:r>
      <w:r w:rsidRPr="00046556">
        <w:rPr>
          <w:rFonts w:ascii="Times New Roman" w:hAnsi="Times New Roman" w:cs="Times New Roman"/>
          <w:sz w:val="24"/>
          <w:szCs w:val="24"/>
          <w:lang w:val="en-US"/>
        </w:rPr>
        <w:t>, Springer</w:t>
      </w:r>
      <w:r>
        <w:rPr>
          <w:rFonts w:ascii="Times New Roman" w:hAnsi="Times New Roman" w:cs="Times New Roman"/>
          <w:sz w:val="24"/>
          <w:szCs w:val="24"/>
          <w:lang w:val="en-US"/>
        </w:rPr>
        <w:t>.</w:t>
      </w:r>
    </w:p>
    <w:p w:rsidR="00505990" w:rsidRPr="002F5EE6" w:rsidRDefault="00505990" w:rsidP="00F169BC">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Brufman</w:t>
      </w:r>
      <w:proofErr w:type="spellEnd"/>
      <w:r w:rsidR="0017404F">
        <w:rPr>
          <w:rFonts w:ascii="Times New Roman" w:hAnsi="Times New Roman" w:cs="Times New Roman"/>
          <w:sz w:val="24"/>
          <w:szCs w:val="24"/>
          <w:lang w:val="en-US"/>
        </w:rPr>
        <w:t xml:space="preserve"> L., L. Martinez and R. P. </w:t>
      </w:r>
      <w:proofErr w:type="spellStart"/>
      <w:r w:rsidR="0017404F">
        <w:rPr>
          <w:rFonts w:ascii="Times New Roman" w:hAnsi="Times New Roman" w:cs="Times New Roman"/>
          <w:sz w:val="24"/>
          <w:szCs w:val="24"/>
          <w:lang w:val="en-US"/>
        </w:rPr>
        <w:t>Artica</w:t>
      </w:r>
      <w:proofErr w:type="spellEnd"/>
      <w:r w:rsidR="0017404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B62133">
        <w:rPr>
          <w:rFonts w:ascii="Times New Roman" w:hAnsi="Times New Roman" w:cs="Times New Roman"/>
          <w:sz w:val="24"/>
          <w:szCs w:val="24"/>
          <w:lang w:val="en-US"/>
        </w:rPr>
        <w:t xml:space="preserve">2013), </w:t>
      </w:r>
      <w:r w:rsidR="002F5EE6" w:rsidRPr="00956273">
        <w:rPr>
          <w:rFonts w:ascii="Times New Roman" w:hAnsi="Times New Roman" w:cs="Times New Roman"/>
          <w:i/>
          <w:sz w:val="24"/>
          <w:szCs w:val="24"/>
          <w:lang w:val="en-US"/>
        </w:rPr>
        <w:t>What are the causes of the growing trend of excess savings of the corporate sector in developed countries? An empirical analysis of three hypotheses</w:t>
      </w:r>
      <w:r w:rsidR="0017404F">
        <w:rPr>
          <w:rFonts w:ascii="Times New Roman" w:hAnsi="Times New Roman" w:cs="Times New Roman"/>
          <w:sz w:val="24"/>
          <w:szCs w:val="24"/>
          <w:lang w:val="en-US"/>
        </w:rPr>
        <w:t>, The World Bank, Policy Research Working Paper, n. 6571.</w:t>
      </w:r>
    </w:p>
    <w:p w:rsidR="00471350" w:rsidRDefault="00894CC3" w:rsidP="00F169BC">
      <w:pPr>
        <w:jc w:val="both"/>
        <w:rPr>
          <w:rFonts w:ascii="Times New Roman" w:hAnsi="Times New Roman" w:cs="Times New Roman"/>
          <w:sz w:val="24"/>
          <w:szCs w:val="24"/>
          <w:lang w:val="en-US"/>
        </w:rPr>
      </w:pPr>
      <w:r>
        <w:rPr>
          <w:rFonts w:ascii="Times New Roman" w:hAnsi="Times New Roman" w:cs="Times New Roman"/>
          <w:sz w:val="24"/>
          <w:szCs w:val="24"/>
          <w:lang w:val="en-US"/>
        </w:rPr>
        <w:t>Caballero J.</w:t>
      </w:r>
      <w:r w:rsidR="00C14E41">
        <w:rPr>
          <w:rFonts w:ascii="Times New Roman" w:hAnsi="Times New Roman" w:cs="Times New Roman"/>
          <w:sz w:val="24"/>
          <w:szCs w:val="24"/>
          <w:lang w:val="en-US"/>
        </w:rPr>
        <w:t xml:space="preserve">, U. </w:t>
      </w:r>
      <w:r>
        <w:rPr>
          <w:rFonts w:ascii="Times New Roman" w:hAnsi="Times New Roman" w:cs="Times New Roman"/>
          <w:sz w:val="24"/>
          <w:szCs w:val="24"/>
          <w:lang w:val="en-US"/>
        </w:rPr>
        <w:t>Panizza U. and A</w:t>
      </w:r>
      <w:r w:rsidR="00577BCF">
        <w:rPr>
          <w:rFonts w:ascii="Times New Roman" w:hAnsi="Times New Roman" w:cs="Times New Roman"/>
          <w:sz w:val="24"/>
          <w:szCs w:val="24"/>
          <w:lang w:val="en-US"/>
        </w:rPr>
        <w:t>.</w:t>
      </w:r>
      <w:r>
        <w:rPr>
          <w:rFonts w:ascii="Times New Roman" w:hAnsi="Times New Roman" w:cs="Times New Roman"/>
          <w:sz w:val="24"/>
          <w:szCs w:val="24"/>
          <w:lang w:val="en-US"/>
        </w:rPr>
        <w:t xml:space="preserve"> Powell </w:t>
      </w:r>
      <w:r w:rsidR="001520BC">
        <w:rPr>
          <w:rFonts w:ascii="Times New Roman" w:hAnsi="Times New Roman" w:cs="Times New Roman"/>
          <w:sz w:val="24"/>
          <w:szCs w:val="24"/>
          <w:lang w:val="en-US"/>
        </w:rPr>
        <w:t>(2015)</w:t>
      </w:r>
      <w:r w:rsidR="00956273">
        <w:rPr>
          <w:rFonts w:ascii="Times New Roman" w:hAnsi="Times New Roman" w:cs="Times New Roman"/>
          <w:sz w:val="24"/>
          <w:szCs w:val="24"/>
          <w:lang w:val="en-US"/>
        </w:rPr>
        <w:t>,</w:t>
      </w:r>
      <w:r w:rsidR="001520BC">
        <w:rPr>
          <w:rFonts w:ascii="Times New Roman" w:hAnsi="Times New Roman" w:cs="Times New Roman"/>
          <w:sz w:val="24"/>
          <w:szCs w:val="24"/>
          <w:lang w:val="en-US"/>
        </w:rPr>
        <w:t xml:space="preserve"> </w:t>
      </w:r>
      <w:r w:rsidR="001520BC" w:rsidRPr="00956273">
        <w:rPr>
          <w:rFonts w:ascii="Times New Roman" w:hAnsi="Times New Roman" w:cs="Times New Roman"/>
          <w:i/>
          <w:sz w:val="24"/>
          <w:szCs w:val="24"/>
          <w:lang w:val="en-US"/>
        </w:rPr>
        <w:t>The second wave of global liquidity: why are firms acting like financial intermediaries?</w:t>
      </w:r>
      <w:r w:rsidR="00C14E41">
        <w:rPr>
          <w:rFonts w:ascii="Times New Roman" w:hAnsi="Times New Roman" w:cs="Times New Roman"/>
          <w:sz w:val="24"/>
          <w:szCs w:val="24"/>
          <w:lang w:val="en-US"/>
        </w:rPr>
        <w:t xml:space="preserve">, The Graduate Institute of Geneva, Working Paper, n. 21, October. </w:t>
      </w:r>
    </w:p>
    <w:p w:rsidR="008D0AB9" w:rsidRPr="008D0AB9" w:rsidRDefault="008D0AB9" w:rsidP="00F169BC">
      <w:pPr>
        <w:jc w:val="both"/>
        <w:rPr>
          <w:rFonts w:ascii="Times New Roman" w:hAnsi="Times New Roman" w:cs="Times New Roman"/>
          <w:sz w:val="24"/>
          <w:szCs w:val="24"/>
          <w:lang w:val="en-US"/>
        </w:rPr>
      </w:pPr>
      <w:r w:rsidRPr="008D0AB9">
        <w:rPr>
          <w:rFonts w:ascii="Times New Roman" w:hAnsi="Times New Roman" w:cs="Times New Roman"/>
          <w:sz w:val="24"/>
          <w:szCs w:val="24"/>
          <w:lang w:val="en-US"/>
        </w:rPr>
        <w:t xml:space="preserve">Cappariello R. and A. Felettigh (2015), </w:t>
      </w:r>
      <w:r w:rsidRPr="008D0AB9">
        <w:rPr>
          <w:rFonts w:ascii="Times New Roman" w:hAnsi="Times New Roman" w:cs="Times New Roman"/>
          <w:i/>
          <w:sz w:val="24"/>
          <w:szCs w:val="24"/>
          <w:lang w:val="en-US"/>
        </w:rPr>
        <w:t>How Does Foreign Demand Activate Domestic Value Added? A Comparison Among the Largest Euro-area Economies</w:t>
      </w:r>
      <w:r w:rsidRPr="008D0AB9">
        <w:rPr>
          <w:rFonts w:ascii="Times New Roman" w:hAnsi="Times New Roman" w:cs="Times New Roman"/>
          <w:sz w:val="24"/>
          <w:szCs w:val="24"/>
          <w:lang w:val="en-US"/>
        </w:rPr>
        <w:t>, Ban</w:t>
      </w:r>
      <w:r>
        <w:rPr>
          <w:rFonts w:ascii="Times New Roman" w:hAnsi="Times New Roman" w:cs="Times New Roman"/>
          <w:sz w:val="24"/>
          <w:szCs w:val="24"/>
          <w:lang w:val="en-US"/>
        </w:rPr>
        <w:t xml:space="preserve">k of </w:t>
      </w:r>
      <w:r w:rsidRPr="008D0AB9">
        <w:rPr>
          <w:rFonts w:ascii="Times New Roman" w:hAnsi="Times New Roman" w:cs="Times New Roman"/>
          <w:sz w:val="24"/>
          <w:szCs w:val="24"/>
          <w:lang w:val="en-US"/>
        </w:rPr>
        <w:t>Ital</w:t>
      </w:r>
      <w:r>
        <w:rPr>
          <w:rFonts w:ascii="Times New Roman" w:hAnsi="Times New Roman" w:cs="Times New Roman"/>
          <w:sz w:val="24"/>
          <w:szCs w:val="24"/>
          <w:lang w:val="en-US"/>
        </w:rPr>
        <w:t>y</w:t>
      </w:r>
      <w:r w:rsidRPr="008D0AB9">
        <w:rPr>
          <w:rFonts w:ascii="Times New Roman" w:hAnsi="Times New Roman" w:cs="Times New Roman"/>
          <w:sz w:val="24"/>
          <w:szCs w:val="24"/>
          <w:lang w:val="en-US"/>
        </w:rPr>
        <w:t>, Working papers, n. 1001</w:t>
      </w:r>
      <w:r>
        <w:rPr>
          <w:rFonts w:ascii="Times New Roman" w:hAnsi="Times New Roman" w:cs="Times New Roman"/>
          <w:sz w:val="24"/>
          <w:szCs w:val="24"/>
          <w:lang w:val="en-US"/>
        </w:rPr>
        <w:t xml:space="preserve">, </w:t>
      </w:r>
      <w:r w:rsidRPr="008D0AB9">
        <w:rPr>
          <w:rFonts w:ascii="Times New Roman" w:hAnsi="Times New Roman" w:cs="Times New Roman"/>
          <w:sz w:val="24"/>
          <w:szCs w:val="24"/>
          <w:lang w:val="en-US"/>
        </w:rPr>
        <w:t>January.</w:t>
      </w:r>
    </w:p>
    <w:p w:rsidR="00CA478D" w:rsidRDefault="00CA478D" w:rsidP="00F169B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Cesaroni T. and R. De Santis (2015), </w:t>
      </w:r>
      <w:r w:rsidR="00E43E3F" w:rsidRPr="00956273">
        <w:rPr>
          <w:rFonts w:ascii="Times New Roman" w:hAnsi="Times New Roman" w:cs="Times New Roman"/>
          <w:i/>
          <w:sz w:val="24"/>
          <w:szCs w:val="24"/>
          <w:lang w:val="en-US"/>
        </w:rPr>
        <w:t>Current account “Core-periphery dualism” in the EMU</w:t>
      </w:r>
      <w:r w:rsidR="00E43E3F">
        <w:rPr>
          <w:rFonts w:ascii="Times New Roman" w:hAnsi="Times New Roman" w:cs="Times New Roman"/>
          <w:sz w:val="24"/>
          <w:szCs w:val="24"/>
          <w:lang w:val="en-US"/>
        </w:rPr>
        <w:t>, Bank of Italy</w:t>
      </w:r>
      <w:r w:rsidR="001217DC">
        <w:rPr>
          <w:rFonts w:ascii="Times New Roman" w:hAnsi="Times New Roman" w:cs="Times New Roman"/>
          <w:sz w:val="24"/>
          <w:szCs w:val="24"/>
          <w:lang w:val="en-US"/>
        </w:rPr>
        <w:t>, W</w:t>
      </w:r>
      <w:r w:rsidR="00E43E3F">
        <w:rPr>
          <w:rFonts w:ascii="Times New Roman" w:hAnsi="Times New Roman" w:cs="Times New Roman"/>
          <w:sz w:val="24"/>
          <w:szCs w:val="24"/>
          <w:lang w:val="en-US"/>
        </w:rPr>
        <w:t xml:space="preserve">orking </w:t>
      </w:r>
      <w:r w:rsidR="001217DC">
        <w:rPr>
          <w:rFonts w:ascii="Times New Roman" w:hAnsi="Times New Roman" w:cs="Times New Roman"/>
          <w:sz w:val="24"/>
          <w:szCs w:val="24"/>
          <w:lang w:val="en-US"/>
        </w:rPr>
        <w:t>P</w:t>
      </w:r>
      <w:r w:rsidR="00E43E3F">
        <w:rPr>
          <w:rFonts w:ascii="Times New Roman" w:hAnsi="Times New Roman" w:cs="Times New Roman"/>
          <w:sz w:val="24"/>
          <w:szCs w:val="24"/>
          <w:lang w:val="en-US"/>
        </w:rPr>
        <w:t>aper n. 966.</w:t>
      </w:r>
    </w:p>
    <w:p w:rsidR="00AE6730" w:rsidRDefault="00AE6730" w:rsidP="00F169BC">
      <w:pPr>
        <w:autoSpaceDE w:val="0"/>
        <w:autoSpaceDN w:val="0"/>
        <w:adjustRightInd w:val="0"/>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Eggelte</w:t>
      </w:r>
      <w:proofErr w:type="spellEnd"/>
      <w:r>
        <w:rPr>
          <w:rFonts w:ascii="Times New Roman" w:hAnsi="Times New Roman" w:cs="Times New Roman"/>
          <w:sz w:val="24"/>
          <w:szCs w:val="24"/>
          <w:lang w:val="en-US"/>
        </w:rPr>
        <w:t xml:space="preserve"> J., R. </w:t>
      </w:r>
      <w:proofErr w:type="spellStart"/>
      <w:r>
        <w:rPr>
          <w:rFonts w:ascii="Times New Roman" w:hAnsi="Times New Roman" w:cs="Times New Roman"/>
          <w:sz w:val="24"/>
          <w:szCs w:val="24"/>
          <w:lang w:val="en-US"/>
        </w:rPr>
        <w:t>Hillebrand</w:t>
      </w:r>
      <w:proofErr w:type="spellEnd"/>
      <w:r>
        <w:rPr>
          <w:rFonts w:ascii="Times New Roman" w:hAnsi="Times New Roman" w:cs="Times New Roman"/>
          <w:sz w:val="24"/>
          <w:szCs w:val="24"/>
          <w:lang w:val="en-US"/>
        </w:rPr>
        <w:t xml:space="preserve">, T. </w:t>
      </w:r>
      <w:proofErr w:type="spellStart"/>
      <w:r>
        <w:rPr>
          <w:rFonts w:ascii="Times New Roman" w:hAnsi="Times New Roman" w:cs="Times New Roman"/>
          <w:sz w:val="24"/>
          <w:szCs w:val="24"/>
          <w:lang w:val="en-US"/>
        </w:rPr>
        <w:t>Kooiman</w:t>
      </w:r>
      <w:proofErr w:type="spellEnd"/>
      <w:r>
        <w:rPr>
          <w:rFonts w:ascii="Times New Roman" w:hAnsi="Times New Roman" w:cs="Times New Roman"/>
          <w:sz w:val="24"/>
          <w:szCs w:val="24"/>
          <w:lang w:val="en-US"/>
        </w:rPr>
        <w:t xml:space="preserve"> and G. </w:t>
      </w:r>
      <w:proofErr w:type="spellStart"/>
      <w:r>
        <w:rPr>
          <w:rFonts w:ascii="Times New Roman" w:hAnsi="Times New Roman" w:cs="Times New Roman"/>
          <w:sz w:val="24"/>
          <w:szCs w:val="24"/>
          <w:lang w:val="en-US"/>
        </w:rPr>
        <w:t>Schotten</w:t>
      </w:r>
      <w:proofErr w:type="spellEnd"/>
      <w:r>
        <w:rPr>
          <w:rFonts w:ascii="Times New Roman" w:hAnsi="Times New Roman" w:cs="Times New Roman"/>
          <w:sz w:val="24"/>
          <w:szCs w:val="24"/>
          <w:lang w:val="en-US"/>
        </w:rPr>
        <w:t xml:space="preserve"> (2014), </w:t>
      </w:r>
      <w:r w:rsidRPr="00AE6730">
        <w:rPr>
          <w:rFonts w:ascii="Times New Roman" w:hAnsi="Times New Roman" w:cs="Times New Roman"/>
          <w:i/>
          <w:sz w:val="24"/>
          <w:szCs w:val="24"/>
          <w:lang w:val="en-US"/>
        </w:rPr>
        <w:t>Getting to the bottom of the Dutch saving surplus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DeNederlandscheBank</w:t>
      </w:r>
      <w:proofErr w:type="spellEnd"/>
      <w:r>
        <w:rPr>
          <w:rFonts w:ascii="Times New Roman" w:hAnsi="Times New Roman" w:cs="Times New Roman"/>
          <w:sz w:val="24"/>
          <w:szCs w:val="24"/>
          <w:lang w:val="en-US"/>
        </w:rPr>
        <w:t xml:space="preserve">, Occasional Studies Vol. 12 – 6.  </w:t>
      </w:r>
    </w:p>
    <w:p w:rsidR="00F169BC" w:rsidRDefault="00F169BC" w:rsidP="00F169BC">
      <w:pPr>
        <w:jc w:val="both"/>
        <w:rPr>
          <w:rFonts w:ascii="Times New Roman" w:hAnsi="Times New Roman" w:cs="Times New Roman"/>
          <w:sz w:val="24"/>
          <w:szCs w:val="24"/>
          <w:lang w:val="en-US"/>
        </w:rPr>
      </w:pPr>
    </w:p>
    <w:p w:rsidR="008D0AB9" w:rsidRPr="00C14E41" w:rsidRDefault="008D0AB9" w:rsidP="00F169BC">
      <w:pPr>
        <w:jc w:val="both"/>
        <w:rPr>
          <w:rFonts w:ascii="Times New Roman" w:hAnsi="Times New Roman" w:cs="Times New Roman"/>
          <w:sz w:val="24"/>
          <w:szCs w:val="24"/>
          <w:lang w:val="en-US"/>
        </w:rPr>
      </w:pPr>
      <w:r w:rsidRPr="008D0AB9">
        <w:rPr>
          <w:rFonts w:ascii="Times New Roman" w:hAnsi="Times New Roman" w:cs="Times New Roman"/>
          <w:sz w:val="24"/>
          <w:szCs w:val="24"/>
          <w:lang w:val="en-US"/>
        </w:rPr>
        <w:t xml:space="preserve">Federico </w:t>
      </w:r>
      <w:r>
        <w:rPr>
          <w:rFonts w:ascii="Times New Roman" w:hAnsi="Times New Roman" w:cs="Times New Roman"/>
          <w:sz w:val="24"/>
          <w:szCs w:val="24"/>
          <w:lang w:val="en-US"/>
        </w:rPr>
        <w:t xml:space="preserve">S. </w:t>
      </w:r>
      <w:r w:rsidRPr="008D0AB9">
        <w:rPr>
          <w:rFonts w:ascii="Times New Roman" w:hAnsi="Times New Roman" w:cs="Times New Roman"/>
          <w:sz w:val="24"/>
          <w:szCs w:val="24"/>
          <w:lang w:val="en-US"/>
        </w:rPr>
        <w:t xml:space="preserve">(2016), </w:t>
      </w:r>
      <w:r w:rsidRPr="008D0AB9">
        <w:rPr>
          <w:rFonts w:ascii="Times New Roman" w:hAnsi="Times New Roman" w:cs="Times New Roman"/>
          <w:i/>
          <w:sz w:val="24"/>
          <w:szCs w:val="24"/>
          <w:lang w:val="en-US"/>
        </w:rPr>
        <w:t>How does multinational production affect the measurement of competitiveness?</w:t>
      </w:r>
      <w:r w:rsidRPr="008D0AB9">
        <w:rPr>
          <w:rFonts w:ascii="Times New Roman" w:hAnsi="Times New Roman" w:cs="Times New Roman"/>
          <w:sz w:val="24"/>
          <w:szCs w:val="24"/>
          <w:lang w:val="en-US"/>
        </w:rPr>
        <w:t>, Ban</w:t>
      </w:r>
      <w:r>
        <w:rPr>
          <w:rFonts w:ascii="Times New Roman" w:hAnsi="Times New Roman" w:cs="Times New Roman"/>
          <w:sz w:val="24"/>
          <w:szCs w:val="24"/>
          <w:lang w:val="en-US"/>
        </w:rPr>
        <w:t xml:space="preserve">k of Italy, </w:t>
      </w:r>
      <w:r w:rsidRPr="008D0AB9">
        <w:rPr>
          <w:rFonts w:ascii="Times New Roman" w:hAnsi="Times New Roman" w:cs="Times New Roman"/>
          <w:sz w:val="24"/>
          <w:szCs w:val="24"/>
          <w:lang w:val="en-US"/>
        </w:rPr>
        <w:t>Occasional papers, n. 301</w:t>
      </w:r>
      <w:r>
        <w:rPr>
          <w:rFonts w:ascii="Times New Roman" w:hAnsi="Times New Roman" w:cs="Times New Roman"/>
          <w:sz w:val="24"/>
          <w:szCs w:val="24"/>
          <w:lang w:val="en-US"/>
        </w:rPr>
        <w:t xml:space="preserve">, </w:t>
      </w:r>
      <w:r w:rsidRPr="008D0AB9">
        <w:rPr>
          <w:rFonts w:ascii="Times New Roman" w:hAnsi="Times New Roman" w:cs="Times New Roman"/>
          <w:sz w:val="24"/>
          <w:szCs w:val="24"/>
          <w:lang w:val="en-US"/>
        </w:rPr>
        <w:t>January</w:t>
      </w:r>
      <w:r>
        <w:rPr>
          <w:rFonts w:ascii="Times New Roman" w:hAnsi="Times New Roman" w:cs="Times New Roman"/>
          <w:sz w:val="24"/>
          <w:szCs w:val="24"/>
          <w:lang w:val="en-US"/>
        </w:rPr>
        <w:t xml:space="preserve">. </w:t>
      </w:r>
    </w:p>
    <w:p w:rsidR="00076AF9" w:rsidRDefault="00076AF9" w:rsidP="00F169BC">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Gruber</w:t>
      </w:r>
      <w:r w:rsidR="001217DC">
        <w:rPr>
          <w:rFonts w:ascii="Times New Roman" w:hAnsi="Times New Roman" w:cs="Times New Roman"/>
          <w:sz w:val="24"/>
          <w:szCs w:val="24"/>
          <w:lang w:val="en-US"/>
        </w:rPr>
        <w:t xml:space="preserve"> J. W. </w:t>
      </w:r>
      <w:r>
        <w:rPr>
          <w:rFonts w:ascii="Times New Roman" w:hAnsi="Times New Roman" w:cs="Times New Roman"/>
          <w:sz w:val="24"/>
          <w:szCs w:val="24"/>
          <w:lang w:val="en-US"/>
        </w:rPr>
        <w:t xml:space="preserve">and </w:t>
      </w:r>
      <w:r w:rsidR="001217DC">
        <w:rPr>
          <w:rFonts w:ascii="Times New Roman" w:hAnsi="Times New Roman" w:cs="Times New Roman"/>
          <w:sz w:val="24"/>
          <w:szCs w:val="24"/>
          <w:lang w:val="en-US"/>
        </w:rPr>
        <w:t xml:space="preserve">S. B. </w:t>
      </w:r>
      <w:proofErr w:type="spellStart"/>
      <w:r>
        <w:rPr>
          <w:rFonts w:ascii="Times New Roman" w:hAnsi="Times New Roman" w:cs="Times New Roman"/>
          <w:sz w:val="24"/>
          <w:szCs w:val="24"/>
          <w:lang w:val="en-US"/>
        </w:rPr>
        <w:t>Kamin</w:t>
      </w:r>
      <w:proofErr w:type="spellEnd"/>
      <w:r>
        <w:rPr>
          <w:rFonts w:ascii="Times New Roman" w:hAnsi="Times New Roman" w:cs="Times New Roman"/>
          <w:sz w:val="24"/>
          <w:szCs w:val="24"/>
          <w:lang w:val="en-US"/>
        </w:rPr>
        <w:t xml:space="preserve"> (2015)</w:t>
      </w:r>
      <w:r w:rsidR="001217D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217DC">
        <w:rPr>
          <w:rFonts w:ascii="Times New Roman" w:hAnsi="Times New Roman" w:cs="Times New Roman"/>
          <w:i/>
          <w:sz w:val="24"/>
          <w:szCs w:val="24"/>
          <w:lang w:val="en-US"/>
        </w:rPr>
        <w:t xml:space="preserve">The Corporate Saving Glut in the Aftermath of the Global Financial </w:t>
      </w:r>
      <w:r w:rsidR="001217DC" w:rsidRPr="001217DC">
        <w:rPr>
          <w:rFonts w:ascii="Times New Roman" w:hAnsi="Times New Roman" w:cs="Times New Roman"/>
          <w:i/>
          <w:sz w:val="24"/>
          <w:szCs w:val="24"/>
          <w:lang w:val="en-US"/>
        </w:rPr>
        <w:t>C</w:t>
      </w:r>
      <w:r w:rsidRPr="001217DC">
        <w:rPr>
          <w:rFonts w:ascii="Times New Roman" w:hAnsi="Times New Roman" w:cs="Times New Roman"/>
          <w:i/>
          <w:sz w:val="24"/>
          <w:szCs w:val="24"/>
          <w:lang w:val="en-US"/>
        </w:rPr>
        <w:t>risis</w:t>
      </w:r>
      <w:r w:rsidR="001217DC" w:rsidRPr="001217DC">
        <w:rPr>
          <w:rFonts w:ascii="Times New Roman" w:hAnsi="Times New Roman" w:cs="Times New Roman"/>
          <w:i/>
          <w:sz w:val="24"/>
          <w:szCs w:val="24"/>
          <w:lang w:val="en-US"/>
        </w:rPr>
        <w:t>,</w:t>
      </w:r>
      <w:r w:rsidR="001217DC" w:rsidRPr="009813C8">
        <w:rPr>
          <w:rFonts w:ascii="Times New Roman" w:hAnsi="Times New Roman" w:cs="Times New Roman"/>
          <w:sz w:val="24"/>
          <w:szCs w:val="24"/>
          <w:lang w:val="en-US"/>
        </w:rPr>
        <w:t xml:space="preserve"> Board of Governors of the Federal Reserve System</w:t>
      </w:r>
      <w:r w:rsidR="001217DC">
        <w:rPr>
          <w:rFonts w:ascii="Times New Roman" w:hAnsi="Times New Roman" w:cs="Times New Roman"/>
          <w:sz w:val="24"/>
          <w:szCs w:val="24"/>
          <w:lang w:val="en-US"/>
        </w:rPr>
        <w:t>, mimeo, June.</w:t>
      </w:r>
    </w:p>
    <w:p w:rsidR="00AE6730" w:rsidRDefault="00AE6730" w:rsidP="00F169BC">
      <w:pPr>
        <w:autoSpaceDE w:val="0"/>
        <w:autoSpaceDN w:val="0"/>
        <w:adjustRightInd w:val="0"/>
        <w:spacing w:after="0"/>
        <w:jc w:val="both"/>
        <w:rPr>
          <w:rFonts w:ascii="Times New Roman" w:hAnsi="Times New Roman" w:cs="Times New Roman"/>
          <w:sz w:val="24"/>
          <w:szCs w:val="24"/>
          <w:lang w:val="en-US"/>
        </w:rPr>
      </w:pPr>
    </w:p>
    <w:p w:rsidR="00046556" w:rsidRDefault="00046556" w:rsidP="00F169BC">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Infante L., A. F. Pozzolo and R. Tedeschi (2012), </w:t>
      </w:r>
      <w:r w:rsidRPr="00046556">
        <w:rPr>
          <w:rFonts w:ascii="Times New Roman" w:hAnsi="Times New Roman" w:cs="Times New Roman"/>
          <w:i/>
          <w:sz w:val="24"/>
          <w:szCs w:val="24"/>
          <w:lang w:val="en-US"/>
        </w:rPr>
        <w:t xml:space="preserve">Imbalances in </w:t>
      </w:r>
      <w:r>
        <w:rPr>
          <w:rFonts w:ascii="Times New Roman" w:hAnsi="Times New Roman" w:cs="Times New Roman"/>
          <w:i/>
          <w:sz w:val="24"/>
          <w:szCs w:val="24"/>
          <w:lang w:val="en-US"/>
        </w:rPr>
        <w:t>H</w:t>
      </w:r>
      <w:r w:rsidRPr="00046556">
        <w:rPr>
          <w:rFonts w:ascii="Times New Roman" w:hAnsi="Times New Roman" w:cs="Times New Roman"/>
          <w:i/>
          <w:sz w:val="24"/>
          <w:szCs w:val="24"/>
          <w:lang w:val="en-US"/>
        </w:rPr>
        <w:t>ousehold, Firm, Public and Foreign Sector Balance Sheets in the 2000s: a Case of “I Told You So”?</w:t>
      </w:r>
      <w:r>
        <w:rPr>
          <w:rFonts w:ascii="Times New Roman" w:hAnsi="Times New Roman" w:cs="Times New Roman"/>
          <w:sz w:val="24"/>
          <w:szCs w:val="24"/>
          <w:lang w:val="en-US"/>
        </w:rPr>
        <w:t xml:space="preserve">, </w:t>
      </w:r>
      <w:r w:rsidRPr="00046556">
        <w:rPr>
          <w:rFonts w:ascii="Times New Roman" w:hAnsi="Times New Roman" w:cs="Times New Roman"/>
          <w:sz w:val="24"/>
          <w:szCs w:val="24"/>
          <w:lang w:val="en-US"/>
        </w:rPr>
        <w:t>in Pozzolo A. F. and R. De Bonis (</w:t>
      </w:r>
      <w:proofErr w:type="spellStart"/>
      <w:r w:rsidRPr="00046556">
        <w:rPr>
          <w:rFonts w:ascii="Times New Roman" w:hAnsi="Times New Roman" w:cs="Times New Roman"/>
          <w:sz w:val="24"/>
          <w:szCs w:val="24"/>
          <w:lang w:val="en-US"/>
        </w:rPr>
        <w:t>eds</w:t>
      </w:r>
      <w:proofErr w:type="spellEnd"/>
      <w:r w:rsidRPr="00046556">
        <w:rPr>
          <w:rFonts w:ascii="Times New Roman" w:hAnsi="Times New Roman" w:cs="Times New Roman"/>
          <w:sz w:val="24"/>
          <w:szCs w:val="24"/>
          <w:lang w:val="en-US"/>
        </w:rPr>
        <w:t>) “The financial systems of industrial countries”, Springer</w:t>
      </w:r>
    </w:p>
    <w:p w:rsidR="00046556" w:rsidRDefault="00046556" w:rsidP="00F169BC">
      <w:pPr>
        <w:autoSpaceDE w:val="0"/>
        <w:autoSpaceDN w:val="0"/>
        <w:adjustRightInd w:val="0"/>
        <w:spacing w:after="0"/>
        <w:jc w:val="both"/>
        <w:rPr>
          <w:rFonts w:ascii="Times New Roman" w:hAnsi="Times New Roman" w:cs="Times New Roman"/>
          <w:sz w:val="24"/>
          <w:szCs w:val="24"/>
          <w:lang w:val="en-US"/>
        </w:rPr>
      </w:pPr>
    </w:p>
    <w:p w:rsidR="00F169BC" w:rsidRDefault="00F169BC" w:rsidP="00F169BC">
      <w:pPr>
        <w:autoSpaceDE w:val="0"/>
        <w:autoSpaceDN w:val="0"/>
        <w:adjustRightInd w:val="0"/>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Palenzuela</w:t>
      </w:r>
      <w:proofErr w:type="spellEnd"/>
      <w:r>
        <w:rPr>
          <w:rFonts w:ascii="Times New Roman" w:hAnsi="Times New Roman" w:cs="Times New Roman"/>
          <w:sz w:val="24"/>
          <w:szCs w:val="24"/>
          <w:lang w:val="en-US"/>
        </w:rPr>
        <w:t xml:space="preserve"> </w:t>
      </w:r>
      <w:r w:rsidRPr="00471350">
        <w:rPr>
          <w:rFonts w:ascii="Times New Roman" w:hAnsi="Times New Roman" w:cs="Times New Roman"/>
          <w:sz w:val="24"/>
          <w:szCs w:val="24"/>
          <w:lang w:val="en-US"/>
        </w:rPr>
        <w:t>D</w:t>
      </w:r>
      <w:r>
        <w:rPr>
          <w:rFonts w:ascii="Times New Roman" w:hAnsi="Times New Roman" w:cs="Times New Roman"/>
          <w:sz w:val="24"/>
          <w:szCs w:val="24"/>
          <w:lang w:val="en-US"/>
        </w:rPr>
        <w:t xml:space="preserve">. </w:t>
      </w:r>
      <w:r w:rsidRPr="00471350">
        <w:rPr>
          <w:rFonts w:ascii="Times New Roman" w:hAnsi="Times New Roman" w:cs="Times New Roman"/>
          <w:sz w:val="24"/>
          <w:szCs w:val="24"/>
          <w:lang w:val="en-US"/>
        </w:rPr>
        <w:t>R</w:t>
      </w:r>
      <w:r>
        <w:rPr>
          <w:rFonts w:ascii="Times New Roman" w:hAnsi="Times New Roman" w:cs="Times New Roman"/>
          <w:sz w:val="24"/>
          <w:szCs w:val="24"/>
          <w:lang w:val="en-US"/>
        </w:rPr>
        <w:t xml:space="preserve">. and </w:t>
      </w:r>
      <w:r w:rsidRPr="00471350">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Pr="00471350">
        <w:rPr>
          <w:rFonts w:ascii="Times New Roman" w:hAnsi="Times New Roman" w:cs="Times New Roman"/>
          <w:sz w:val="24"/>
          <w:szCs w:val="24"/>
          <w:lang w:val="en-US"/>
        </w:rPr>
        <w:t>Dees (</w:t>
      </w:r>
      <w:r>
        <w:rPr>
          <w:rFonts w:ascii="Times New Roman" w:hAnsi="Times New Roman" w:cs="Times New Roman"/>
          <w:sz w:val="24"/>
          <w:szCs w:val="24"/>
          <w:lang w:val="en-US"/>
        </w:rPr>
        <w:t xml:space="preserve">eds., </w:t>
      </w:r>
      <w:r w:rsidRPr="00471350">
        <w:rPr>
          <w:rFonts w:ascii="Times New Roman" w:hAnsi="Times New Roman" w:cs="Times New Roman"/>
          <w:sz w:val="24"/>
          <w:szCs w:val="24"/>
          <w:lang w:val="en-US"/>
        </w:rPr>
        <w:t>2016)</w:t>
      </w:r>
      <w:r>
        <w:rPr>
          <w:rFonts w:ascii="Times New Roman" w:hAnsi="Times New Roman" w:cs="Times New Roman"/>
          <w:sz w:val="24"/>
          <w:szCs w:val="24"/>
          <w:lang w:val="en-US"/>
        </w:rPr>
        <w:t>,</w:t>
      </w:r>
      <w:r w:rsidRPr="00471350">
        <w:rPr>
          <w:rFonts w:ascii="Times New Roman" w:hAnsi="Times New Roman" w:cs="Times New Roman"/>
          <w:sz w:val="24"/>
          <w:szCs w:val="24"/>
          <w:lang w:val="en-US"/>
        </w:rPr>
        <w:t xml:space="preserve"> </w:t>
      </w:r>
      <w:r w:rsidRPr="00F169BC">
        <w:rPr>
          <w:rFonts w:ascii="Times New Roman" w:hAnsi="Times New Roman" w:cs="Times New Roman"/>
          <w:i/>
          <w:sz w:val="24"/>
          <w:szCs w:val="24"/>
          <w:lang w:val="en-US"/>
        </w:rPr>
        <w:t>Savings and investment behavior in the euro area</w:t>
      </w:r>
      <w:r>
        <w:rPr>
          <w:rFonts w:ascii="Times New Roman" w:hAnsi="Times New Roman" w:cs="Times New Roman"/>
          <w:sz w:val="24"/>
          <w:szCs w:val="24"/>
          <w:lang w:val="en-US"/>
        </w:rPr>
        <w:t>, ECB occasional paper n. 167, January.</w:t>
      </w:r>
    </w:p>
    <w:p w:rsidR="00F169BC" w:rsidRDefault="00F169BC" w:rsidP="00F169BC">
      <w:pPr>
        <w:autoSpaceDE w:val="0"/>
        <w:autoSpaceDN w:val="0"/>
        <w:adjustRightInd w:val="0"/>
        <w:spacing w:after="0"/>
        <w:jc w:val="both"/>
        <w:rPr>
          <w:rFonts w:ascii="Times New Roman" w:hAnsi="Times New Roman" w:cs="Times New Roman"/>
          <w:sz w:val="24"/>
          <w:szCs w:val="24"/>
          <w:lang w:val="en-US"/>
        </w:rPr>
      </w:pPr>
    </w:p>
    <w:p w:rsidR="00AE6730" w:rsidRPr="00471350" w:rsidRDefault="00AE6730" w:rsidP="00F169BC">
      <w:pPr>
        <w:autoSpaceDE w:val="0"/>
        <w:autoSpaceDN w:val="0"/>
        <w:adjustRightInd w:val="0"/>
        <w:spacing w:after="0"/>
        <w:jc w:val="both"/>
        <w:rPr>
          <w:rFonts w:ascii="ArialMT" w:hAnsi="ArialMT" w:cs="ArialMT"/>
          <w:color w:val="164295"/>
          <w:sz w:val="20"/>
          <w:szCs w:val="20"/>
          <w:lang w:val="en-US"/>
        </w:rPr>
      </w:pPr>
      <w:r>
        <w:rPr>
          <w:rFonts w:ascii="Times New Roman" w:hAnsi="Times New Roman" w:cs="Times New Roman"/>
          <w:sz w:val="24"/>
          <w:szCs w:val="24"/>
          <w:lang w:val="en-US"/>
        </w:rPr>
        <w:t xml:space="preserve">United Nations Economic Commission for Europe (UNECE) (2011), </w:t>
      </w:r>
      <w:r w:rsidRPr="00AE6730">
        <w:rPr>
          <w:rFonts w:ascii="Times New Roman" w:hAnsi="Times New Roman" w:cs="Times New Roman"/>
          <w:i/>
          <w:sz w:val="24"/>
          <w:szCs w:val="24"/>
          <w:lang w:val="en-US"/>
        </w:rPr>
        <w:t>The Impact of Globalization on National Accounts</w:t>
      </w:r>
      <w:r w:rsidRPr="00AE673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E6730">
        <w:rPr>
          <w:rFonts w:ascii="Times New Roman" w:hAnsi="Times New Roman" w:cs="Times New Roman"/>
          <w:sz w:val="24"/>
          <w:szCs w:val="24"/>
          <w:lang w:val="en-US"/>
        </w:rPr>
        <w:t xml:space="preserve">United Nations, New York and Geneva. </w:t>
      </w:r>
    </w:p>
    <w:sectPr w:rsidR="00AE6730" w:rsidRPr="00471350">
      <w:headerReference w:type="even" r:id="rId44"/>
      <w:headerReference w:type="default" r:id="rId45"/>
      <w:footerReference w:type="even" r:id="rId46"/>
      <w:footerReference w:type="default" r:id="rId47"/>
      <w:headerReference w:type="first" r:id="rId48"/>
      <w:footerReference w:type="first" r:id="rId4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B7F" w:rsidRDefault="00E96B7F" w:rsidP="000A0923">
      <w:pPr>
        <w:spacing w:after="0" w:line="240" w:lineRule="auto"/>
      </w:pPr>
      <w:r>
        <w:separator/>
      </w:r>
    </w:p>
  </w:endnote>
  <w:endnote w:type="continuationSeparator" w:id="0">
    <w:p w:rsidR="00E96B7F" w:rsidRDefault="00E96B7F" w:rsidP="000A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89" w:rsidRDefault="000123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830607"/>
      <w:docPartObj>
        <w:docPartGallery w:val="Page Numbers (Bottom of Page)"/>
        <w:docPartUnique/>
      </w:docPartObj>
    </w:sdtPr>
    <w:sdtEndPr/>
    <w:sdtContent>
      <w:p w:rsidR="00012389" w:rsidRDefault="00012389">
        <w:pPr>
          <w:pStyle w:val="Pidipagina"/>
          <w:jc w:val="right"/>
        </w:pPr>
        <w:r>
          <w:fldChar w:fldCharType="begin"/>
        </w:r>
        <w:r>
          <w:instrText>PAGE   \* MERGEFORMAT</w:instrText>
        </w:r>
        <w:r>
          <w:fldChar w:fldCharType="separate"/>
        </w:r>
        <w:r w:rsidR="00E9201C">
          <w:rPr>
            <w:noProof/>
          </w:rPr>
          <w:t>13</w:t>
        </w:r>
        <w:r>
          <w:fldChar w:fldCharType="end"/>
        </w:r>
      </w:p>
    </w:sdtContent>
  </w:sdt>
  <w:p w:rsidR="00012389" w:rsidRDefault="000123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89" w:rsidRDefault="000123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B7F" w:rsidRDefault="00E96B7F" w:rsidP="000A0923">
      <w:pPr>
        <w:spacing w:after="0" w:line="240" w:lineRule="auto"/>
      </w:pPr>
      <w:r>
        <w:separator/>
      </w:r>
    </w:p>
  </w:footnote>
  <w:footnote w:type="continuationSeparator" w:id="0">
    <w:p w:rsidR="00E96B7F" w:rsidRDefault="00E96B7F" w:rsidP="000A0923">
      <w:pPr>
        <w:spacing w:after="0" w:line="240" w:lineRule="auto"/>
      </w:pPr>
      <w:r>
        <w:continuationSeparator/>
      </w:r>
    </w:p>
  </w:footnote>
  <w:footnote w:id="1">
    <w:p w:rsidR="003530E8" w:rsidRPr="00C14E41" w:rsidRDefault="003530E8" w:rsidP="00C14E41">
      <w:pPr>
        <w:pStyle w:val="Testonotaapidipagina"/>
        <w:jc w:val="both"/>
        <w:rPr>
          <w:rFonts w:ascii="Times New Roman" w:hAnsi="Times New Roman" w:cs="Times New Roman"/>
          <w:sz w:val="22"/>
          <w:szCs w:val="22"/>
          <w:lang w:val="en-US"/>
        </w:rPr>
      </w:pPr>
      <w:r w:rsidRPr="00C14E41">
        <w:rPr>
          <w:rStyle w:val="Rimandonotaapidipagina"/>
          <w:rFonts w:ascii="Times New Roman" w:hAnsi="Times New Roman" w:cs="Times New Roman"/>
          <w:sz w:val="22"/>
          <w:szCs w:val="22"/>
        </w:rPr>
        <w:footnoteRef/>
      </w:r>
      <w:r w:rsidRPr="00C14E41">
        <w:rPr>
          <w:rFonts w:ascii="Times New Roman" w:hAnsi="Times New Roman" w:cs="Times New Roman"/>
          <w:sz w:val="22"/>
          <w:szCs w:val="22"/>
          <w:lang w:val="en-US"/>
        </w:rPr>
        <w:t xml:space="preserve"> Looking at 18 emerging countries, Caballero et al. (2015) claim that firms often act like financial intermediaries to gain from carry trade type activities where capital controls, particularly controls on inflows, are diffuse.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89" w:rsidRDefault="000123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89" w:rsidRDefault="000123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89" w:rsidRDefault="0001238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C6C11"/>
    <w:multiLevelType w:val="hybridMultilevel"/>
    <w:tmpl w:val="B282B1EA"/>
    <w:lvl w:ilvl="0" w:tplc="2FC2A594">
      <w:start w:val="1"/>
      <w:numFmt w:val="lowerRoman"/>
      <w:lvlText w:val="%1)"/>
      <w:lvlJc w:val="left"/>
      <w:pPr>
        <w:ind w:left="780" w:hanging="72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
    <w:nsid w:val="3D256E77"/>
    <w:multiLevelType w:val="hybridMultilevel"/>
    <w:tmpl w:val="FC9EC4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F1B5E5A"/>
    <w:multiLevelType w:val="hybridMultilevel"/>
    <w:tmpl w:val="F724E516"/>
    <w:lvl w:ilvl="0" w:tplc="244AA614">
      <w:start w:val="1"/>
      <w:numFmt w:val="lowerRoman"/>
      <w:lvlText w:val="%1)"/>
      <w:lvlJc w:val="left"/>
      <w:pPr>
        <w:ind w:left="720" w:hanging="360"/>
      </w:pPr>
      <w:rPr>
        <w:rFonts w:ascii="Times New Roman" w:eastAsiaTheme="minorEastAsia"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A5"/>
    <w:rsid w:val="00001E56"/>
    <w:rsid w:val="0000538A"/>
    <w:rsid w:val="00005B0F"/>
    <w:rsid w:val="00005D20"/>
    <w:rsid w:val="00007483"/>
    <w:rsid w:val="000120F9"/>
    <w:rsid w:val="00012389"/>
    <w:rsid w:val="00014632"/>
    <w:rsid w:val="00016566"/>
    <w:rsid w:val="000176FC"/>
    <w:rsid w:val="000217D5"/>
    <w:rsid w:val="000219F5"/>
    <w:rsid w:val="00021F4D"/>
    <w:rsid w:val="0002376D"/>
    <w:rsid w:val="00023F5C"/>
    <w:rsid w:val="0002589C"/>
    <w:rsid w:val="00027B29"/>
    <w:rsid w:val="00027F9A"/>
    <w:rsid w:val="00030554"/>
    <w:rsid w:val="00031D21"/>
    <w:rsid w:val="0003651A"/>
    <w:rsid w:val="00037CFF"/>
    <w:rsid w:val="00040074"/>
    <w:rsid w:val="00042F88"/>
    <w:rsid w:val="00044A4E"/>
    <w:rsid w:val="00045010"/>
    <w:rsid w:val="0004528A"/>
    <w:rsid w:val="00046556"/>
    <w:rsid w:val="00046D6C"/>
    <w:rsid w:val="00050045"/>
    <w:rsid w:val="0005044D"/>
    <w:rsid w:val="00052F10"/>
    <w:rsid w:val="00053D17"/>
    <w:rsid w:val="00055125"/>
    <w:rsid w:val="00055AC2"/>
    <w:rsid w:val="000563DB"/>
    <w:rsid w:val="00056CA1"/>
    <w:rsid w:val="00060B83"/>
    <w:rsid w:val="000650C1"/>
    <w:rsid w:val="000676E3"/>
    <w:rsid w:val="000678EA"/>
    <w:rsid w:val="00067ECD"/>
    <w:rsid w:val="00073E54"/>
    <w:rsid w:val="00074404"/>
    <w:rsid w:val="00074422"/>
    <w:rsid w:val="000755E3"/>
    <w:rsid w:val="000763A4"/>
    <w:rsid w:val="00076948"/>
    <w:rsid w:val="00076AF9"/>
    <w:rsid w:val="00077045"/>
    <w:rsid w:val="00080326"/>
    <w:rsid w:val="0008303C"/>
    <w:rsid w:val="00083878"/>
    <w:rsid w:val="00084A3F"/>
    <w:rsid w:val="00084EBD"/>
    <w:rsid w:val="00085A21"/>
    <w:rsid w:val="000909AD"/>
    <w:rsid w:val="00091530"/>
    <w:rsid w:val="00094875"/>
    <w:rsid w:val="00094B52"/>
    <w:rsid w:val="00094DEC"/>
    <w:rsid w:val="000958E7"/>
    <w:rsid w:val="000A01F3"/>
    <w:rsid w:val="000A0923"/>
    <w:rsid w:val="000A59F4"/>
    <w:rsid w:val="000A6705"/>
    <w:rsid w:val="000A6809"/>
    <w:rsid w:val="000A6F1C"/>
    <w:rsid w:val="000A719E"/>
    <w:rsid w:val="000B2275"/>
    <w:rsid w:val="000B3C26"/>
    <w:rsid w:val="000B3ED2"/>
    <w:rsid w:val="000B4803"/>
    <w:rsid w:val="000B506E"/>
    <w:rsid w:val="000B5FFC"/>
    <w:rsid w:val="000B665A"/>
    <w:rsid w:val="000C0449"/>
    <w:rsid w:val="000C0DE6"/>
    <w:rsid w:val="000C0E39"/>
    <w:rsid w:val="000C100A"/>
    <w:rsid w:val="000C29C7"/>
    <w:rsid w:val="000C2CFB"/>
    <w:rsid w:val="000C3658"/>
    <w:rsid w:val="000C545E"/>
    <w:rsid w:val="000C6729"/>
    <w:rsid w:val="000C780B"/>
    <w:rsid w:val="000D52FF"/>
    <w:rsid w:val="000D7E7B"/>
    <w:rsid w:val="000E04E5"/>
    <w:rsid w:val="000E0E52"/>
    <w:rsid w:val="000E1B62"/>
    <w:rsid w:val="000E29A7"/>
    <w:rsid w:val="000E45BD"/>
    <w:rsid w:val="000E480A"/>
    <w:rsid w:val="000E64D5"/>
    <w:rsid w:val="000E67D2"/>
    <w:rsid w:val="000E67E9"/>
    <w:rsid w:val="000E76C5"/>
    <w:rsid w:val="000F0713"/>
    <w:rsid w:val="000F1EB2"/>
    <w:rsid w:val="000F2C94"/>
    <w:rsid w:val="000F3AC9"/>
    <w:rsid w:val="000F5C2F"/>
    <w:rsid w:val="000F7518"/>
    <w:rsid w:val="00102002"/>
    <w:rsid w:val="0010229F"/>
    <w:rsid w:val="001043CC"/>
    <w:rsid w:val="001060E1"/>
    <w:rsid w:val="001062D0"/>
    <w:rsid w:val="001066A1"/>
    <w:rsid w:val="00107F5B"/>
    <w:rsid w:val="00110D24"/>
    <w:rsid w:val="001117FF"/>
    <w:rsid w:val="0011350D"/>
    <w:rsid w:val="001138A6"/>
    <w:rsid w:val="001158FC"/>
    <w:rsid w:val="0012154D"/>
    <w:rsid w:val="001217DC"/>
    <w:rsid w:val="00122079"/>
    <w:rsid w:val="0012545C"/>
    <w:rsid w:val="00126F95"/>
    <w:rsid w:val="001301A9"/>
    <w:rsid w:val="00131B5C"/>
    <w:rsid w:val="00132B2B"/>
    <w:rsid w:val="001330BC"/>
    <w:rsid w:val="001368D7"/>
    <w:rsid w:val="0013742C"/>
    <w:rsid w:val="00137D5B"/>
    <w:rsid w:val="00137EE6"/>
    <w:rsid w:val="00142F15"/>
    <w:rsid w:val="00143157"/>
    <w:rsid w:val="00143B30"/>
    <w:rsid w:val="00145A91"/>
    <w:rsid w:val="0014676F"/>
    <w:rsid w:val="001507EB"/>
    <w:rsid w:val="001520BC"/>
    <w:rsid w:val="00152332"/>
    <w:rsid w:val="0015596A"/>
    <w:rsid w:val="0015619D"/>
    <w:rsid w:val="00156662"/>
    <w:rsid w:val="00157918"/>
    <w:rsid w:val="00160F5C"/>
    <w:rsid w:val="001618D6"/>
    <w:rsid w:val="0016299D"/>
    <w:rsid w:val="0016448A"/>
    <w:rsid w:val="001704C1"/>
    <w:rsid w:val="00173ADB"/>
    <w:rsid w:val="0017404F"/>
    <w:rsid w:val="0017436A"/>
    <w:rsid w:val="00177606"/>
    <w:rsid w:val="00177F89"/>
    <w:rsid w:val="00181423"/>
    <w:rsid w:val="00182A02"/>
    <w:rsid w:val="00183EC7"/>
    <w:rsid w:val="001901B8"/>
    <w:rsid w:val="001903B8"/>
    <w:rsid w:val="00191E9A"/>
    <w:rsid w:val="00193894"/>
    <w:rsid w:val="001A13EE"/>
    <w:rsid w:val="001A21AD"/>
    <w:rsid w:val="001A36EB"/>
    <w:rsid w:val="001A3CDF"/>
    <w:rsid w:val="001B0578"/>
    <w:rsid w:val="001B1658"/>
    <w:rsid w:val="001B2740"/>
    <w:rsid w:val="001B2F93"/>
    <w:rsid w:val="001B42F6"/>
    <w:rsid w:val="001B6125"/>
    <w:rsid w:val="001B6659"/>
    <w:rsid w:val="001B6FC7"/>
    <w:rsid w:val="001B6FDB"/>
    <w:rsid w:val="001B7000"/>
    <w:rsid w:val="001B767F"/>
    <w:rsid w:val="001C02FF"/>
    <w:rsid w:val="001C0E08"/>
    <w:rsid w:val="001C51B1"/>
    <w:rsid w:val="001C737F"/>
    <w:rsid w:val="001D04AF"/>
    <w:rsid w:val="001D1498"/>
    <w:rsid w:val="001D2598"/>
    <w:rsid w:val="001D3862"/>
    <w:rsid w:val="001D5F96"/>
    <w:rsid w:val="001D64F5"/>
    <w:rsid w:val="001D68C4"/>
    <w:rsid w:val="001E07E5"/>
    <w:rsid w:val="001E0F8E"/>
    <w:rsid w:val="001E24E0"/>
    <w:rsid w:val="001E5C49"/>
    <w:rsid w:val="001E7502"/>
    <w:rsid w:val="001F09F9"/>
    <w:rsid w:val="001F2508"/>
    <w:rsid w:val="001F2DB5"/>
    <w:rsid w:val="001F42C8"/>
    <w:rsid w:val="001F4545"/>
    <w:rsid w:val="001F4CF4"/>
    <w:rsid w:val="001F5796"/>
    <w:rsid w:val="001F588A"/>
    <w:rsid w:val="001F6DCC"/>
    <w:rsid w:val="002022CE"/>
    <w:rsid w:val="00202C7E"/>
    <w:rsid w:val="00202FEC"/>
    <w:rsid w:val="00203238"/>
    <w:rsid w:val="002068C5"/>
    <w:rsid w:val="00207D28"/>
    <w:rsid w:val="0021144E"/>
    <w:rsid w:val="00211479"/>
    <w:rsid w:val="00212620"/>
    <w:rsid w:val="00213E2D"/>
    <w:rsid w:val="00214921"/>
    <w:rsid w:val="00217C31"/>
    <w:rsid w:val="0022126F"/>
    <w:rsid w:val="00221E26"/>
    <w:rsid w:val="00223A16"/>
    <w:rsid w:val="00225D4B"/>
    <w:rsid w:val="002263C1"/>
    <w:rsid w:val="00230A65"/>
    <w:rsid w:val="00231655"/>
    <w:rsid w:val="00231FD7"/>
    <w:rsid w:val="00233CDF"/>
    <w:rsid w:val="00236A1B"/>
    <w:rsid w:val="00236F92"/>
    <w:rsid w:val="00237ACA"/>
    <w:rsid w:val="00242214"/>
    <w:rsid w:val="00242E0E"/>
    <w:rsid w:val="00242FC1"/>
    <w:rsid w:val="00243043"/>
    <w:rsid w:val="0024457E"/>
    <w:rsid w:val="00246C95"/>
    <w:rsid w:val="0024760E"/>
    <w:rsid w:val="00250914"/>
    <w:rsid w:val="002509AE"/>
    <w:rsid w:val="00251629"/>
    <w:rsid w:val="00251BB3"/>
    <w:rsid w:val="00252759"/>
    <w:rsid w:val="00252BAF"/>
    <w:rsid w:val="00253462"/>
    <w:rsid w:val="00253D84"/>
    <w:rsid w:val="00256C92"/>
    <w:rsid w:val="00256F14"/>
    <w:rsid w:val="00261A13"/>
    <w:rsid w:val="0026241B"/>
    <w:rsid w:val="0026296F"/>
    <w:rsid w:val="00265124"/>
    <w:rsid w:val="0026620A"/>
    <w:rsid w:val="0026621D"/>
    <w:rsid w:val="002663CF"/>
    <w:rsid w:val="00266E8D"/>
    <w:rsid w:val="00271A88"/>
    <w:rsid w:val="002732D5"/>
    <w:rsid w:val="00274767"/>
    <w:rsid w:val="00274A80"/>
    <w:rsid w:val="00275ED6"/>
    <w:rsid w:val="0027771D"/>
    <w:rsid w:val="002801F6"/>
    <w:rsid w:val="0028079B"/>
    <w:rsid w:val="00281C22"/>
    <w:rsid w:val="0028244E"/>
    <w:rsid w:val="0028394B"/>
    <w:rsid w:val="002855DB"/>
    <w:rsid w:val="002863CB"/>
    <w:rsid w:val="0028673A"/>
    <w:rsid w:val="00287763"/>
    <w:rsid w:val="002908F3"/>
    <w:rsid w:val="0029480B"/>
    <w:rsid w:val="002952F0"/>
    <w:rsid w:val="002A138F"/>
    <w:rsid w:val="002A2222"/>
    <w:rsid w:val="002A30A5"/>
    <w:rsid w:val="002A3DBE"/>
    <w:rsid w:val="002A4291"/>
    <w:rsid w:val="002A5854"/>
    <w:rsid w:val="002B1658"/>
    <w:rsid w:val="002B194A"/>
    <w:rsid w:val="002B1A18"/>
    <w:rsid w:val="002B49E5"/>
    <w:rsid w:val="002B6A9E"/>
    <w:rsid w:val="002C025F"/>
    <w:rsid w:val="002C0CD1"/>
    <w:rsid w:val="002C25DC"/>
    <w:rsid w:val="002C371D"/>
    <w:rsid w:val="002C5CA7"/>
    <w:rsid w:val="002D17A0"/>
    <w:rsid w:val="002D5B76"/>
    <w:rsid w:val="002D68F5"/>
    <w:rsid w:val="002E2A03"/>
    <w:rsid w:val="002E44EF"/>
    <w:rsid w:val="002E4678"/>
    <w:rsid w:val="002E52A8"/>
    <w:rsid w:val="002E52E2"/>
    <w:rsid w:val="002E5B78"/>
    <w:rsid w:val="002E6595"/>
    <w:rsid w:val="002F0D96"/>
    <w:rsid w:val="002F177E"/>
    <w:rsid w:val="002F1944"/>
    <w:rsid w:val="002F2233"/>
    <w:rsid w:val="002F2DE7"/>
    <w:rsid w:val="002F5EE6"/>
    <w:rsid w:val="002F66CA"/>
    <w:rsid w:val="002F70F6"/>
    <w:rsid w:val="002F76AD"/>
    <w:rsid w:val="002F79A8"/>
    <w:rsid w:val="00300F8B"/>
    <w:rsid w:val="003014DC"/>
    <w:rsid w:val="003022E2"/>
    <w:rsid w:val="00304095"/>
    <w:rsid w:val="0030631D"/>
    <w:rsid w:val="00306F8F"/>
    <w:rsid w:val="00307580"/>
    <w:rsid w:val="003120F9"/>
    <w:rsid w:val="00312140"/>
    <w:rsid w:val="00312A67"/>
    <w:rsid w:val="003130AA"/>
    <w:rsid w:val="0031331F"/>
    <w:rsid w:val="00314889"/>
    <w:rsid w:val="00314CE5"/>
    <w:rsid w:val="00315330"/>
    <w:rsid w:val="00320855"/>
    <w:rsid w:val="00322B19"/>
    <w:rsid w:val="00323D92"/>
    <w:rsid w:val="00324D46"/>
    <w:rsid w:val="00325967"/>
    <w:rsid w:val="003269CD"/>
    <w:rsid w:val="00332812"/>
    <w:rsid w:val="003331E4"/>
    <w:rsid w:val="00333350"/>
    <w:rsid w:val="00334986"/>
    <w:rsid w:val="00335416"/>
    <w:rsid w:val="0033643C"/>
    <w:rsid w:val="00340154"/>
    <w:rsid w:val="003423DB"/>
    <w:rsid w:val="003428C2"/>
    <w:rsid w:val="00342CD2"/>
    <w:rsid w:val="00343449"/>
    <w:rsid w:val="00344698"/>
    <w:rsid w:val="00344F02"/>
    <w:rsid w:val="00345B83"/>
    <w:rsid w:val="0034648A"/>
    <w:rsid w:val="0035233B"/>
    <w:rsid w:val="003530E8"/>
    <w:rsid w:val="00354590"/>
    <w:rsid w:val="0035616C"/>
    <w:rsid w:val="003608DD"/>
    <w:rsid w:val="00361EC5"/>
    <w:rsid w:val="003641E7"/>
    <w:rsid w:val="0036581C"/>
    <w:rsid w:val="00365C60"/>
    <w:rsid w:val="00366A07"/>
    <w:rsid w:val="00366F8F"/>
    <w:rsid w:val="00370A24"/>
    <w:rsid w:val="003719A2"/>
    <w:rsid w:val="0037440A"/>
    <w:rsid w:val="003746C6"/>
    <w:rsid w:val="003759D3"/>
    <w:rsid w:val="0037654B"/>
    <w:rsid w:val="00376A67"/>
    <w:rsid w:val="00381ED7"/>
    <w:rsid w:val="00382A33"/>
    <w:rsid w:val="003851AA"/>
    <w:rsid w:val="0038580D"/>
    <w:rsid w:val="00385BAD"/>
    <w:rsid w:val="0038661B"/>
    <w:rsid w:val="00387DE6"/>
    <w:rsid w:val="003922EE"/>
    <w:rsid w:val="00393E31"/>
    <w:rsid w:val="003959B3"/>
    <w:rsid w:val="003A4CC7"/>
    <w:rsid w:val="003A4D13"/>
    <w:rsid w:val="003A6C05"/>
    <w:rsid w:val="003A7960"/>
    <w:rsid w:val="003A7DF1"/>
    <w:rsid w:val="003B2CD5"/>
    <w:rsid w:val="003B32E3"/>
    <w:rsid w:val="003B3C10"/>
    <w:rsid w:val="003B49B8"/>
    <w:rsid w:val="003B4B1B"/>
    <w:rsid w:val="003B545E"/>
    <w:rsid w:val="003B5561"/>
    <w:rsid w:val="003B733E"/>
    <w:rsid w:val="003B79AC"/>
    <w:rsid w:val="003C18F2"/>
    <w:rsid w:val="003C1CC0"/>
    <w:rsid w:val="003C46FD"/>
    <w:rsid w:val="003D39DD"/>
    <w:rsid w:val="003D56DE"/>
    <w:rsid w:val="003D6CE7"/>
    <w:rsid w:val="003D78DB"/>
    <w:rsid w:val="003D7B5E"/>
    <w:rsid w:val="003E3C95"/>
    <w:rsid w:val="003E4C16"/>
    <w:rsid w:val="003F01CC"/>
    <w:rsid w:val="003F0672"/>
    <w:rsid w:val="003F0E68"/>
    <w:rsid w:val="003F294D"/>
    <w:rsid w:val="003F2D80"/>
    <w:rsid w:val="003F345B"/>
    <w:rsid w:val="003F3D68"/>
    <w:rsid w:val="003F44EF"/>
    <w:rsid w:val="003F5888"/>
    <w:rsid w:val="00401687"/>
    <w:rsid w:val="00401C34"/>
    <w:rsid w:val="00401EE2"/>
    <w:rsid w:val="00405047"/>
    <w:rsid w:val="00405A97"/>
    <w:rsid w:val="00407531"/>
    <w:rsid w:val="00414C41"/>
    <w:rsid w:val="00416AC5"/>
    <w:rsid w:val="00417A09"/>
    <w:rsid w:val="00420D78"/>
    <w:rsid w:val="00421407"/>
    <w:rsid w:val="00422477"/>
    <w:rsid w:val="00422512"/>
    <w:rsid w:val="004226CC"/>
    <w:rsid w:val="004228FD"/>
    <w:rsid w:val="00423352"/>
    <w:rsid w:val="004241FB"/>
    <w:rsid w:val="00424736"/>
    <w:rsid w:val="0042496F"/>
    <w:rsid w:val="00430045"/>
    <w:rsid w:val="00431160"/>
    <w:rsid w:val="0043187E"/>
    <w:rsid w:val="00431D91"/>
    <w:rsid w:val="00432FF8"/>
    <w:rsid w:val="00433FED"/>
    <w:rsid w:val="0043529D"/>
    <w:rsid w:val="0044193D"/>
    <w:rsid w:val="00442014"/>
    <w:rsid w:val="004423E1"/>
    <w:rsid w:val="0044629E"/>
    <w:rsid w:val="00447EE2"/>
    <w:rsid w:val="00450DF4"/>
    <w:rsid w:val="00451674"/>
    <w:rsid w:val="004526B8"/>
    <w:rsid w:val="00452726"/>
    <w:rsid w:val="004527E6"/>
    <w:rsid w:val="00452DE6"/>
    <w:rsid w:val="00454BAB"/>
    <w:rsid w:val="00456B05"/>
    <w:rsid w:val="0045793A"/>
    <w:rsid w:val="004603D2"/>
    <w:rsid w:val="004608C6"/>
    <w:rsid w:val="00461A7D"/>
    <w:rsid w:val="00462C73"/>
    <w:rsid w:val="00463C02"/>
    <w:rsid w:val="00464BDB"/>
    <w:rsid w:val="00464F27"/>
    <w:rsid w:val="00465602"/>
    <w:rsid w:val="00466D54"/>
    <w:rsid w:val="004670E8"/>
    <w:rsid w:val="0046727C"/>
    <w:rsid w:val="004677C6"/>
    <w:rsid w:val="00470287"/>
    <w:rsid w:val="00471350"/>
    <w:rsid w:val="0047190D"/>
    <w:rsid w:val="00471AD1"/>
    <w:rsid w:val="00476C94"/>
    <w:rsid w:val="00476E8F"/>
    <w:rsid w:val="00477DF0"/>
    <w:rsid w:val="0048096D"/>
    <w:rsid w:val="00480FA8"/>
    <w:rsid w:val="0048410A"/>
    <w:rsid w:val="0048507B"/>
    <w:rsid w:val="004855E2"/>
    <w:rsid w:val="00485795"/>
    <w:rsid w:val="00486344"/>
    <w:rsid w:val="00486775"/>
    <w:rsid w:val="00490C70"/>
    <w:rsid w:val="00490F8F"/>
    <w:rsid w:val="004918DF"/>
    <w:rsid w:val="00492090"/>
    <w:rsid w:val="0049344D"/>
    <w:rsid w:val="00493720"/>
    <w:rsid w:val="0049410D"/>
    <w:rsid w:val="00494426"/>
    <w:rsid w:val="0049485B"/>
    <w:rsid w:val="00495FCD"/>
    <w:rsid w:val="0049608C"/>
    <w:rsid w:val="004973C9"/>
    <w:rsid w:val="00497B06"/>
    <w:rsid w:val="004A1BBC"/>
    <w:rsid w:val="004A31ED"/>
    <w:rsid w:val="004A4BC2"/>
    <w:rsid w:val="004A651F"/>
    <w:rsid w:val="004A6827"/>
    <w:rsid w:val="004B3375"/>
    <w:rsid w:val="004B399E"/>
    <w:rsid w:val="004B4145"/>
    <w:rsid w:val="004B627F"/>
    <w:rsid w:val="004B6D57"/>
    <w:rsid w:val="004C1180"/>
    <w:rsid w:val="004C2E99"/>
    <w:rsid w:val="004C3FB0"/>
    <w:rsid w:val="004C4376"/>
    <w:rsid w:val="004C48E7"/>
    <w:rsid w:val="004C532B"/>
    <w:rsid w:val="004C5770"/>
    <w:rsid w:val="004C57D7"/>
    <w:rsid w:val="004C63E9"/>
    <w:rsid w:val="004C7BB2"/>
    <w:rsid w:val="004D0312"/>
    <w:rsid w:val="004D03F3"/>
    <w:rsid w:val="004D1B16"/>
    <w:rsid w:val="004D1F27"/>
    <w:rsid w:val="004D2576"/>
    <w:rsid w:val="004D2893"/>
    <w:rsid w:val="004D2EC7"/>
    <w:rsid w:val="004D5001"/>
    <w:rsid w:val="004D6167"/>
    <w:rsid w:val="004D742C"/>
    <w:rsid w:val="004E134C"/>
    <w:rsid w:val="004E1865"/>
    <w:rsid w:val="004E1957"/>
    <w:rsid w:val="004E1A4E"/>
    <w:rsid w:val="004E2388"/>
    <w:rsid w:val="004E29FB"/>
    <w:rsid w:val="004E341F"/>
    <w:rsid w:val="004E4464"/>
    <w:rsid w:val="004E44AD"/>
    <w:rsid w:val="004E522E"/>
    <w:rsid w:val="004E67B2"/>
    <w:rsid w:val="004E764E"/>
    <w:rsid w:val="004E77F4"/>
    <w:rsid w:val="004E7A42"/>
    <w:rsid w:val="004F06A6"/>
    <w:rsid w:val="004F2842"/>
    <w:rsid w:val="004F4F01"/>
    <w:rsid w:val="004F5BB1"/>
    <w:rsid w:val="004F7020"/>
    <w:rsid w:val="004F7662"/>
    <w:rsid w:val="004F7F67"/>
    <w:rsid w:val="00501367"/>
    <w:rsid w:val="00502EE9"/>
    <w:rsid w:val="00502FAF"/>
    <w:rsid w:val="00503FCB"/>
    <w:rsid w:val="00504CE2"/>
    <w:rsid w:val="00505040"/>
    <w:rsid w:val="00505476"/>
    <w:rsid w:val="00505990"/>
    <w:rsid w:val="00506ACE"/>
    <w:rsid w:val="00506B34"/>
    <w:rsid w:val="00506B7B"/>
    <w:rsid w:val="00506F34"/>
    <w:rsid w:val="00506FD0"/>
    <w:rsid w:val="0050771E"/>
    <w:rsid w:val="005119AA"/>
    <w:rsid w:val="00511E20"/>
    <w:rsid w:val="00511FEB"/>
    <w:rsid w:val="005121BC"/>
    <w:rsid w:val="00513931"/>
    <w:rsid w:val="00513A98"/>
    <w:rsid w:val="005148AD"/>
    <w:rsid w:val="005167E1"/>
    <w:rsid w:val="0051751E"/>
    <w:rsid w:val="00517AB2"/>
    <w:rsid w:val="00521A64"/>
    <w:rsid w:val="00523AF7"/>
    <w:rsid w:val="00524507"/>
    <w:rsid w:val="00527214"/>
    <w:rsid w:val="00527E0D"/>
    <w:rsid w:val="0053157C"/>
    <w:rsid w:val="00531CD5"/>
    <w:rsid w:val="005341B5"/>
    <w:rsid w:val="005343EA"/>
    <w:rsid w:val="00534845"/>
    <w:rsid w:val="00535F34"/>
    <w:rsid w:val="0053622A"/>
    <w:rsid w:val="005375A9"/>
    <w:rsid w:val="00537711"/>
    <w:rsid w:val="00537D18"/>
    <w:rsid w:val="00540772"/>
    <w:rsid w:val="005408F2"/>
    <w:rsid w:val="00542E59"/>
    <w:rsid w:val="00543062"/>
    <w:rsid w:val="0054650B"/>
    <w:rsid w:val="005504D8"/>
    <w:rsid w:val="00550C2D"/>
    <w:rsid w:val="0055365B"/>
    <w:rsid w:val="00555A6D"/>
    <w:rsid w:val="005567AC"/>
    <w:rsid w:val="00562561"/>
    <w:rsid w:val="00562A9A"/>
    <w:rsid w:val="00562D80"/>
    <w:rsid w:val="00563A12"/>
    <w:rsid w:val="00563FB9"/>
    <w:rsid w:val="00564A61"/>
    <w:rsid w:val="0056567C"/>
    <w:rsid w:val="00565FA7"/>
    <w:rsid w:val="005715B6"/>
    <w:rsid w:val="00571E25"/>
    <w:rsid w:val="00576219"/>
    <w:rsid w:val="00577BCF"/>
    <w:rsid w:val="0058063D"/>
    <w:rsid w:val="00582B65"/>
    <w:rsid w:val="0058370B"/>
    <w:rsid w:val="00584B64"/>
    <w:rsid w:val="005934DA"/>
    <w:rsid w:val="0059686D"/>
    <w:rsid w:val="0059780C"/>
    <w:rsid w:val="00597CE4"/>
    <w:rsid w:val="005A22E9"/>
    <w:rsid w:val="005A4874"/>
    <w:rsid w:val="005A4E83"/>
    <w:rsid w:val="005A674D"/>
    <w:rsid w:val="005A72C8"/>
    <w:rsid w:val="005B0CF4"/>
    <w:rsid w:val="005B12E3"/>
    <w:rsid w:val="005B4E97"/>
    <w:rsid w:val="005C023A"/>
    <w:rsid w:val="005C159D"/>
    <w:rsid w:val="005C18CB"/>
    <w:rsid w:val="005C27BA"/>
    <w:rsid w:val="005C3739"/>
    <w:rsid w:val="005C3F05"/>
    <w:rsid w:val="005C43FA"/>
    <w:rsid w:val="005C4A93"/>
    <w:rsid w:val="005C510E"/>
    <w:rsid w:val="005C6FD1"/>
    <w:rsid w:val="005D0494"/>
    <w:rsid w:val="005D4D0D"/>
    <w:rsid w:val="005D4EA6"/>
    <w:rsid w:val="005D6F2F"/>
    <w:rsid w:val="005E1191"/>
    <w:rsid w:val="005E5597"/>
    <w:rsid w:val="005E5E01"/>
    <w:rsid w:val="005E7A90"/>
    <w:rsid w:val="005F204C"/>
    <w:rsid w:val="005F5BF2"/>
    <w:rsid w:val="005F5F96"/>
    <w:rsid w:val="005F63B3"/>
    <w:rsid w:val="005F6817"/>
    <w:rsid w:val="005F6D71"/>
    <w:rsid w:val="0060207F"/>
    <w:rsid w:val="00602B58"/>
    <w:rsid w:val="00602C95"/>
    <w:rsid w:val="00603D45"/>
    <w:rsid w:val="00605FC8"/>
    <w:rsid w:val="0060761F"/>
    <w:rsid w:val="00610305"/>
    <w:rsid w:val="00612024"/>
    <w:rsid w:val="0061287A"/>
    <w:rsid w:val="00616B12"/>
    <w:rsid w:val="00617697"/>
    <w:rsid w:val="00620F30"/>
    <w:rsid w:val="00621E6F"/>
    <w:rsid w:val="00622816"/>
    <w:rsid w:val="00623BE7"/>
    <w:rsid w:val="00625AF6"/>
    <w:rsid w:val="00625E38"/>
    <w:rsid w:val="00627E16"/>
    <w:rsid w:val="0063035D"/>
    <w:rsid w:val="00631268"/>
    <w:rsid w:val="00631ED8"/>
    <w:rsid w:val="00633990"/>
    <w:rsid w:val="006357FE"/>
    <w:rsid w:val="0063614A"/>
    <w:rsid w:val="00636A39"/>
    <w:rsid w:val="00636EBC"/>
    <w:rsid w:val="00637E3F"/>
    <w:rsid w:val="00643044"/>
    <w:rsid w:val="0064305A"/>
    <w:rsid w:val="006431B0"/>
    <w:rsid w:val="00644FFC"/>
    <w:rsid w:val="0064517F"/>
    <w:rsid w:val="00645EBA"/>
    <w:rsid w:val="006462FF"/>
    <w:rsid w:val="00647140"/>
    <w:rsid w:val="00650E3E"/>
    <w:rsid w:val="006525BB"/>
    <w:rsid w:val="00653219"/>
    <w:rsid w:val="0065563C"/>
    <w:rsid w:val="00657E1B"/>
    <w:rsid w:val="0066090F"/>
    <w:rsid w:val="00664F2A"/>
    <w:rsid w:val="00666DCA"/>
    <w:rsid w:val="00670562"/>
    <w:rsid w:val="006707E9"/>
    <w:rsid w:val="0067081E"/>
    <w:rsid w:val="00673C27"/>
    <w:rsid w:val="00676923"/>
    <w:rsid w:val="00676FED"/>
    <w:rsid w:val="00677677"/>
    <w:rsid w:val="00681E9C"/>
    <w:rsid w:val="006825A3"/>
    <w:rsid w:val="006838F5"/>
    <w:rsid w:val="00685C4E"/>
    <w:rsid w:val="0068703A"/>
    <w:rsid w:val="0068704A"/>
    <w:rsid w:val="00687CBD"/>
    <w:rsid w:val="00690D20"/>
    <w:rsid w:val="00691FD1"/>
    <w:rsid w:val="00692E5A"/>
    <w:rsid w:val="006930A0"/>
    <w:rsid w:val="00693258"/>
    <w:rsid w:val="00694509"/>
    <w:rsid w:val="00694A68"/>
    <w:rsid w:val="00695E26"/>
    <w:rsid w:val="00695F01"/>
    <w:rsid w:val="00696B4E"/>
    <w:rsid w:val="0069705A"/>
    <w:rsid w:val="006A0320"/>
    <w:rsid w:val="006A0FEA"/>
    <w:rsid w:val="006A4B14"/>
    <w:rsid w:val="006A5661"/>
    <w:rsid w:val="006A6223"/>
    <w:rsid w:val="006A63E5"/>
    <w:rsid w:val="006A6FA5"/>
    <w:rsid w:val="006B0979"/>
    <w:rsid w:val="006B16F2"/>
    <w:rsid w:val="006B218D"/>
    <w:rsid w:val="006B27D8"/>
    <w:rsid w:val="006B3FFE"/>
    <w:rsid w:val="006B42FF"/>
    <w:rsid w:val="006B5167"/>
    <w:rsid w:val="006B6F43"/>
    <w:rsid w:val="006B7641"/>
    <w:rsid w:val="006C1510"/>
    <w:rsid w:val="006C15B5"/>
    <w:rsid w:val="006C1AC2"/>
    <w:rsid w:val="006C29B3"/>
    <w:rsid w:val="006C3DA5"/>
    <w:rsid w:val="006C637D"/>
    <w:rsid w:val="006D0C1C"/>
    <w:rsid w:val="006D1E1F"/>
    <w:rsid w:val="006D2453"/>
    <w:rsid w:val="006D41E5"/>
    <w:rsid w:val="006D4B5B"/>
    <w:rsid w:val="006D5343"/>
    <w:rsid w:val="006D5D89"/>
    <w:rsid w:val="006E05FC"/>
    <w:rsid w:val="006E48F2"/>
    <w:rsid w:val="006E4A76"/>
    <w:rsid w:val="006E5B6E"/>
    <w:rsid w:val="006E668D"/>
    <w:rsid w:val="006E6C4B"/>
    <w:rsid w:val="006F035D"/>
    <w:rsid w:val="006F385E"/>
    <w:rsid w:val="006F40E3"/>
    <w:rsid w:val="006F4D63"/>
    <w:rsid w:val="0070010C"/>
    <w:rsid w:val="00700B80"/>
    <w:rsid w:val="0070107D"/>
    <w:rsid w:val="007025F9"/>
    <w:rsid w:val="007051D2"/>
    <w:rsid w:val="007054EE"/>
    <w:rsid w:val="00705CD6"/>
    <w:rsid w:val="007070F3"/>
    <w:rsid w:val="00707726"/>
    <w:rsid w:val="00707B04"/>
    <w:rsid w:val="0071195A"/>
    <w:rsid w:val="00713DE4"/>
    <w:rsid w:val="0071463F"/>
    <w:rsid w:val="007209AA"/>
    <w:rsid w:val="00721FBC"/>
    <w:rsid w:val="00723A44"/>
    <w:rsid w:val="00724A68"/>
    <w:rsid w:val="00725546"/>
    <w:rsid w:val="00725BB4"/>
    <w:rsid w:val="00726EB9"/>
    <w:rsid w:val="00734493"/>
    <w:rsid w:val="00736BD9"/>
    <w:rsid w:val="00737868"/>
    <w:rsid w:val="007420EF"/>
    <w:rsid w:val="007442BF"/>
    <w:rsid w:val="007446A6"/>
    <w:rsid w:val="00745C09"/>
    <w:rsid w:val="007474D6"/>
    <w:rsid w:val="00747913"/>
    <w:rsid w:val="00750A89"/>
    <w:rsid w:val="00752334"/>
    <w:rsid w:val="007538EF"/>
    <w:rsid w:val="00754204"/>
    <w:rsid w:val="007570EA"/>
    <w:rsid w:val="007571F0"/>
    <w:rsid w:val="007574E6"/>
    <w:rsid w:val="007575D7"/>
    <w:rsid w:val="00757C6D"/>
    <w:rsid w:val="00760F57"/>
    <w:rsid w:val="007618C6"/>
    <w:rsid w:val="00762B6B"/>
    <w:rsid w:val="00763779"/>
    <w:rsid w:val="00764C8C"/>
    <w:rsid w:val="0076599E"/>
    <w:rsid w:val="00767B7D"/>
    <w:rsid w:val="007702B8"/>
    <w:rsid w:val="00771549"/>
    <w:rsid w:val="007726DB"/>
    <w:rsid w:val="007727DF"/>
    <w:rsid w:val="00773D6D"/>
    <w:rsid w:val="007751FF"/>
    <w:rsid w:val="00775A68"/>
    <w:rsid w:val="00775F50"/>
    <w:rsid w:val="00776EBD"/>
    <w:rsid w:val="00780C89"/>
    <w:rsid w:val="00781134"/>
    <w:rsid w:val="00783423"/>
    <w:rsid w:val="00785696"/>
    <w:rsid w:val="00785D79"/>
    <w:rsid w:val="00786642"/>
    <w:rsid w:val="007869C7"/>
    <w:rsid w:val="007907A7"/>
    <w:rsid w:val="007911E8"/>
    <w:rsid w:val="0079154C"/>
    <w:rsid w:val="007964C0"/>
    <w:rsid w:val="0079670A"/>
    <w:rsid w:val="007A216A"/>
    <w:rsid w:val="007A23BD"/>
    <w:rsid w:val="007A287F"/>
    <w:rsid w:val="007A2B9D"/>
    <w:rsid w:val="007A3D85"/>
    <w:rsid w:val="007A4263"/>
    <w:rsid w:val="007A57A2"/>
    <w:rsid w:val="007B1CE8"/>
    <w:rsid w:val="007B1F09"/>
    <w:rsid w:val="007B1F8A"/>
    <w:rsid w:val="007B36FC"/>
    <w:rsid w:val="007B4B17"/>
    <w:rsid w:val="007B5792"/>
    <w:rsid w:val="007B59C1"/>
    <w:rsid w:val="007B7456"/>
    <w:rsid w:val="007B74A1"/>
    <w:rsid w:val="007C1DB0"/>
    <w:rsid w:val="007C4BF4"/>
    <w:rsid w:val="007C7673"/>
    <w:rsid w:val="007D04D9"/>
    <w:rsid w:val="007D1199"/>
    <w:rsid w:val="007D12B9"/>
    <w:rsid w:val="007D158D"/>
    <w:rsid w:val="007D1804"/>
    <w:rsid w:val="007D352F"/>
    <w:rsid w:val="007E2C4B"/>
    <w:rsid w:val="007E3317"/>
    <w:rsid w:val="007E42C1"/>
    <w:rsid w:val="007E4470"/>
    <w:rsid w:val="007E4D13"/>
    <w:rsid w:val="007E66F9"/>
    <w:rsid w:val="007E6CA3"/>
    <w:rsid w:val="007F0255"/>
    <w:rsid w:val="007F11A5"/>
    <w:rsid w:val="007F12D1"/>
    <w:rsid w:val="007F39DD"/>
    <w:rsid w:val="007F5F44"/>
    <w:rsid w:val="007F6608"/>
    <w:rsid w:val="00800128"/>
    <w:rsid w:val="00804597"/>
    <w:rsid w:val="008053B5"/>
    <w:rsid w:val="008053C3"/>
    <w:rsid w:val="00806A5F"/>
    <w:rsid w:val="008076A5"/>
    <w:rsid w:val="00807856"/>
    <w:rsid w:val="0081022F"/>
    <w:rsid w:val="008125D8"/>
    <w:rsid w:val="00813390"/>
    <w:rsid w:val="0081370B"/>
    <w:rsid w:val="00813753"/>
    <w:rsid w:val="0081382C"/>
    <w:rsid w:val="0081594A"/>
    <w:rsid w:val="00817804"/>
    <w:rsid w:val="008219F4"/>
    <w:rsid w:val="00822681"/>
    <w:rsid w:val="00822930"/>
    <w:rsid w:val="00824597"/>
    <w:rsid w:val="008249F5"/>
    <w:rsid w:val="00824B0E"/>
    <w:rsid w:val="00825D60"/>
    <w:rsid w:val="00830188"/>
    <w:rsid w:val="0083062A"/>
    <w:rsid w:val="00830C84"/>
    <w:rsid w:val="0083248E"/>
    <w:rsid w:val="008360F6"/>
    <w:rsid w:val="008362BD"/>
    <w:rsid w:val="00836D96"/>
    <w:rsid w:val="00837A9F"/>
    <w:rsid w:val="00840D10"/>
    <w:rsid w:val="00841D2B"/>
    <w:rsid w:val="008422D1"/>
    <w:rsid w:val="00842D87"/>
    <w:rsid w:val="00844FA1"/>
    <w:rsid w:val="00845418"/>
    <w:rsid w:val="0084543D"/>
    <w:rsid w:val="00845E3E"/>
    <w:rsid w:val="00847140"/>
    <w:rsid w:val="008505EA"/>
    <w:rsid w:val="00852AB3"/>
    <w:rsid w:val="00852BD4"/>
    <w:rsid w:val="00855470"/>
    <w:rsid w:val="00856016"/>
    <w:rsid w:val="00856320"/>
    <w:rsid w:val="00856920"/>
    <w:rsid w:val="00857A45"/>
    <w:rsid w:val="00857D6C"/>
    <w:rsid w:val="008600C9"/>
    <w:rsid w:val="008602F6"/>
    <w:rsid w:val="00862B03"/>
    <w:rsid w:val="0086443F"/>
    <w:rsid w:val="00864D3E"/>
    <w:rsid w:val="0086617D"/>
    <w:rsid w:val="00866E74"/>
    <w:rsid w:val="008720A4"/>
    <w:rsid w:val="008725C7"/>
    <w:rsid w:val="008728DD"/>
    <w:rsid w:val="008749AF"/>
    <w:rsid w:val="00874D22"/>
    <w:rsid w:val="00875C2A"/>
    <w:rsid w:val="00877181"/>
    <w:rsid w:val="0087728D"/>
    <w:rsid w:val="00880B18"/>
    <w:rsid w:val="008812F7"/>
    <w:rsid w:val="00881341"/>
    <w:rsid w:val="0088191A"/>
    <w:rsid w:val="00890B91"/>
    <w:rsid w:val="00890D66"/>
    <w:rsid w:val="00891C68"/>
    <w:rsid w:val="008933C7"/>
    <w:rsid w:val="008941D9"/>
    <w:rsid w:val="0089475E"/>
    <w:rsid w:val="00894CC3"/>
    <w:rsid w:val="00896E2D"/>
    <w:rsid w:val="008A18F9"/>
    <w:rsid w:val="008A1DCD"/>
    <w:rsid w:val="008A3623"/>
    <w:rsid w:val="008B044E"/>
    <w:rsid w:val="008B14C8"/>
    <w:rsid w:val="008B2D87"/>
    <w:rsid w:val="008B40D1"/>
    <w:rsid w:val="008B4AC0"/>
    <w:rsid w:val="008C066F"/>
    <w:rsid w:val="008C1652"/>
    <w:rsid w:val="008C1C34"/>
    <w:rsid w:val="008C3092"/>
    <w:rsid w:val="008C6A6E"/>
    <w:rsid w:val="008C6B9D"/>
    <w:rsid w:val="008C6D48"/>
    <w:rsid w:val="008D0536"/>
    <w:rsid w:val="008D075C"/>
    <w:rsid w:val="008D0AB9"/>
    <w:rsid w:val="008D0D07"/>
    <w:rsid w:val="008D18EA"/>
    <w:rsid w:val="008D3372"/>
    <w:rsid w:val="008D447D"/>
    <w:rsid w:val="008D4B77"/>
    <w:rsid w:val="008D662D"/>
    <w:rsid w:val="008E04DF"/>
    <w:rsid w:val="008E0ED1"/>
    <w:rsid w:val="008E5DD1"/>
    <w:rsid w:val="008E6DC2"/>
    <w:rsid w:val="008F02E5"/>
    <w:rsid w:val="008F0946"/>
    <w:rsid w:val="008F24B6"/>
    <w:rsid w:val="008F2ED5"/>
    <w:rsid w:val="008F39F9"/>
    <w:rsid w:val="008F4A0C"/>
    <w:rsid w:val="008F4D15"/>
    <w:rsid w:val="008F539E"/>
    <w:rsid w:val="008F5743"/>
    <w:rsid w:val="008F6E55"/>
    <w:rsid w:val="009017A1"/>
    <w:rsid w:val="009033EE"/>
    <w:rsid w:val="00903B54"/>
    <w:rsid w:val="0090416D"/>
    <w:rsid w:val="009063CF"/>
    <w:rsid w:val="00906D9E"/>
    <w:rsid w:val="00907286"/>
    <w:rsid w:val="00907CAE"/>
    <w:rsid w:val="009136C3"/>
    <w:rsid w:val="00914343"/>
    <w:rsid w:val="00914F9A"/>
    <w:rsid w:val="00917713"/>
    <w:rsid w:val="00917E03"/>
    <w:rsid w:val="0092128E"/>
    <w:rsid w:val="009229F4"/>
    <w:rsid w:val="00922BAA"/>
    <w:rsid w:val="009232CC"/>
    <w:rsid w:val="0092642B"/>
    <w:rsid w:val="009278A9"/>
    <w:rsid w:val="009369B7"/>
    <w:rsid w:val="00937FCD"/>
    <w:rsid w:val="009403AF"/>
    <w:rsid w:val="009428EC"/>
    <w:rsid w:val="009433BA"/>
    <w:rsid w:val="00943E90"/>
    <w:rsid w:val="009452B0"/>
    <w:rsid w:val="00945364"/>
    <w:rsid w:val="009478D2"/>
    <w:rsid w:val="00951BE6"/>
    <w:rsid w:val="00953601"/>
    <w:rsid w:val="00954A05"/>
    <w:rsid w:val="00956273"/>
    <w:rsid w:val="00956417"/>
    <w:rsid w:val="00961C38"/>
    <w:rsid w:val="00963BFD"/>
    <w:rsid w:val="00965116"/>
    <w:rsid w:val="0096524F"/>
    <w:rsid w:val="009654BF"/>
    <w:rsid w:val="00966711"/>
    <w:rsid w:val="0096745A"/>
    <w:rsid w:val="00971B9A"/>
    <w:rsid w:val="009726F4"/>
    <w:rsid w:val="00972F8A"/>
    <w:rsid w:val="0097380A"/>
    <w:rsid w:val="00973F02"/>
    <w:rsid w:val="00975F33"/>
    <w:rsid w:val="0097689A"/>
    <w:rsid w:val="009811AF"/>
    <w:rsid w:val="009813C8"/>
    <w:rsid w:val="009826DB"/>
    <w:rsid w:val="00984883"/>
    <w:rsid w:val="00986CD3"/>
    <w:rsid w:val="00986D35"/>
    <w:rsid w:val="0099095D"/>
    <w:rsid w:val="0099154E"/>
    <w:rsid w:val="0099285E"/>
    <w:rsid w:val="0099401D"/>
    <w:rsid w:val="00994208"/>
    <w:rsid w:val="00996751"/>
    <w:rsid w:val="009A321E"/>
    <w:rsid w:val="009A3C44"/>
    <w:rsid w:val="009A3DF3"/>
    <w:rsid w:val="009A5A36"/>
    <w:rsid w:val="009A60AF"/>
    <w:rsid w:val="009B0A32"/>
    <w:rsid w:val="009B207C"/>
    <w:rsid w:val="009B51FA"/>
    <w:rsid w:val="009B7926"/>
    <w:rsid w:val="009C11D7"/>
    <w:rsid w:val="009C6000"/>
    <w:rsid w:val="009C68DC"/>
    <w:rsid w:val="009C6E69"/>
    <w:rsid w:val="009D0EE9"/>
    <w:rsid w:val="009D3FF2"/>
    <w:rsid w:val="009D4DF4"/>
    <w:rsid w:val="009D5A14"/>
    <w:rsid w:val="009D78D4"/>
    <w:rsid w:val="009E18BA"/>
    <w:rsid w:val="009E293A"/>
    <w:rsid w:val="009E501A"/>
    <w:rsid w:val="009E5666"/>
    <w:rsid w:val="009E7238"/>
    <w:rsid w:val="009E7E11"/>
    <w:rsid w:val="009F0107"/>
    <w:rsid w:val="009F04B3"/>
    <w:rsid w:val="009F2D28"/>
    <w:rsid w:val="009F3468"/>
    <w:rsid w:val="009F489B"/>
    <w:rsid w:val="009F6CF2"/>
    <w:rsid w:val="009F7DCC"/>
    <w:rsid w:val="00A002B3"/>
    <w:rsid w:val="00A00788"/>
    <w:rsid w:val="00A01DC1"/>
    <w:rsid w:val="00A04390"/>
    <w:rsid w:val="00A050DB"/>
    <w:rsid w:val="00A0608D"/>
    <w:rsid w:val="00A06201"/>
    <w:rsid w:val="00A07554"/>
    <w:rsid w:val="00A11BD1"/>
    <w:rsid w:val="00A14583"/>
    <w:rsid w:val="00A14E64"/>
    <w:rsid w:val="00A150A9"/>
    <w:rsid w:val="00A1616D"/>
    <w:rsid w:val="00A16316"/>
    <w:rsid w:val="00A211D9"/>
    <w:rsid w:val="00A244BC"/>
    <w:rsid w:val="00A26F8F"/>
    <w:rsid w:val="00A32083"/>
    <w:rsid w:val="00A34086"/>
    <w:rsid w:val="00A35BE6"/>
    <w:rsid w:val="00A36C3E"/>
    <w:rsid w:val="00A371E0"/>
    <w:rsid w:val="00A422C1"/>
    <w:rsid w:val="00A429BC"/>
    <w:rsid w:val="00A43DD0"/>
    <w:rsid w:val="00A4651A"/>
    <w:rsid w:val="00A5062D"/>
    <w:rsid w:val="00A50C48"/>
    <w:rsid w:val="00A520B7"/>
    <w:rsid w:val="00A5646F"/>
    <w:rsid w:val="00A564B7"/>
    <w:rsid w:val="00A60115"/>
    <w:rsid w:val="00A61F5F"/>
    <w:rsid w:val="00A6232A"/>
    <w:rsid w:val="00A635D4"/>
    <w:rsid w:val="00A638FF"/>
    <w:rsid w:val="00A6531D"/>
    <w:rsid w:val="00A65EFF"/>
    <w:rsid w:val="00A6699C"/>
    <w:rsid w:val="00A66CE0"/>
    <w:rsid w:val="00A67833"/>
    <w:rsid w:val="00A678F0"/>
    <w:rsid w:val="00A72CF4"/>
    <w:rsid w:val="00A738D4"/>
    <w:rsid w:val="00A73CFB"/>
    <w:rsid w:val="00A73D13"/>
    <w:rsid w:val="00A74965"/>
    <w:rsid w:val="00A76A50"/>
    <w:rsid w:val="00A80519"/>
    <w:rsid w:val="00A8069F"/>
    <w:rsid w:val="00A81E3D"/>
    <w:rsid w:val="00A8298E"/>
    <w:rsid w:val="00A82D61"/>
    <w:rsid w:val="00A83AEB"/>
    <w:rsid w:val="00A847F5"/>
    <w:rsid w:val="00A85697"/>
    <w:rsid w:val="00A86CC8"/>
    <w:rsid w:val="00A9089C"/>
    <w:rsid w:val="00A908A9"/>
    <w:rsid w:val="00A90BD0"/>
    <w:rsid w:val="00A918F4"/>
    <w:rsid w:val="00A922B2"/>
    <w:rsid w:val="00A94ED5"/>
    <w:rsid w:val="00A95D40"/>
    <w:rsid w:val="00A965E6"/>
    <w:rsid w:val="00A96980"/>
    <w:rsid w:val="00A97B04"/>
    <w:rsid w:val="00AA0FFA"/>
    <w:rsid w:val="00AA1F60"/>
    <w:rsid w:val="00AA440D"/>
    <w:rsid w:val="00AA5129"/>
    <w:rsid w:val="00AA65F3"/>
    <w:rsid w:val="00AA7FDA"/>
    <w:rsid w:val="00AB123F"/>
    <w:rsid w:val="00AB12B0"/>
    <w:rsid w:val="00AB175C"/>
    <w:rsid w:val="00AB1C29"/>
    <w:rsid w:val="00AB39EC"/>
    <w:rsid w:val="00AB3A38"/>
    <w:rsid w:val="00AB3E25"/>
    <w:rsid w:val="00AB4493"/>
    <w:rsid w:val="00AB4EC9"/>
    <w:rsid w:val="00AC05ED"/>
    <w:rsid w:val="00AC2427"/>
    <w:rsid w:val="00AC33A6"/>
    <w:rsid w:val="00AC3CF3"/>
    <w:rsid w:val="00AC53E8"/>
    <w:rsid w:val="00AC62ED"/>
    <w:rsid w:val="00AC78AD"/>
    <w:rsid w:val="00AD026F"/>
    <w:rsid w:val="00AD2354"/>
    <w:rsid w:val="00AD4B3C"/>
    <w:rsid w:val="00AD4DA0"/>
    <w:rsid w:val="00AD5504"/>
    <w:rsid w:val="00AD5D88"/>
    <w:rsid w:val="00AE042D"/>
    <w:rsid w:val="00AE1AE8"/>
    <w:rsid w:val="00AE2A50"/>
    <w:rsid w:val="00AE4218"/>
    <w:rsid w:val="00AE5085"/>
    <w:rsid w:val="00AE5516"/>
    <w:rsid w:val="00AE5B64"/>
    <w:rsid w:val="00AE6730"/>
    <w:rsid w:val="00AE7623"/>
    <w:rsid w:val="00AE7987"/>
    <w:rsid w:val="00AF0373"/>
    <w:rsid w:val="00AF070F"/>
    <w:rsid w:val="00AF3B43"/>
    <w:rsid w:val="00AF3E77"/>
    <w:rsid w:val="00AF7C0A"/>
    <w:rsid w:val="00B028D2"/>
    <w:rsid w:val="00B0439E"/>
    <w:rsid w:val="00B04806"/>
    <w:rsid w:val="00B06D17"/>
    <w:rsid w:val="00B1057C"/>
    <w:rsid w:val="00B123FC"/>
    <w:rsid w:val="00B12BFF"/>
    <w:rsid w:val="00B14C89"/>
    <w:rsid w:val="00B208E1"/>
    <w:rsid w:val="00B21B38"/>
    <w:rsid w:val="00B222EB"/>
    <w:rsid w:val="00B227D7"/>
    <w:rsid w:val="00B22E49"/>
    <w:rsid w:val="00B24693"/>
    <w:rsid w:val="00B27432"/>
    <w:rsid w:val="00B27753"/>
    <w:rsid w:val="00B30752"/>
    <w:rsid w:val="00B30DD9"/>
    <w:rsid w:val="00B3108B"/>
    <w:rsid w:val="00B31C31"/>
    <w:rsid w:val="00B32D05"/>
    <w:rsid w:val="00B32D8D"/>
    <w:rsid w:val="00B33030"/>
    <w:rsid w:val="00B349CA"/>
    <w:rsid w:val="00B35777"/>
    <w:rsid w:val="00B36680"/>
    <w:rsid w:val="00B405D8"/>
    <w:rsid w:val="00B42E08"/>
    <w:rsid w:val="00B45449"/>
    <w:rsid w:val="00B473EF"/>
    <w:rsid w:val="00B50291"/>
    <w:rsid w:val="00B537BE"/>
    <w:rsid w:val="00B54425"/>
    <w:rsid w:val="00B563B3"/>
    <w:rsid w:val="00B57E96"/>
    <w:rsid w:val="00B57F28"/>
    <w:rsid w:val="00B62133"/>
    <w:rsid w:val="00B63F0A"/>
    <w:rsid w:val="00B63F1D"/>
    <w:rsid w:val="00B64090"/>
    <w:rsid w:val="00B64ECE"/>
    <w:rsid w:val="00B670AF"/>
    <w:rsid w:val="00B67CB0"/>
    <w:rsid w:val="00B7079C"/>
    <w:rsid w:val="00B72EC8"/>
    <w:rsid w:val="00B73EEF"/>
    <w:rsid w:val="00B746E9"/>
    <w:rsid w:val="00B76284"/>
    <w:rsid w:val="00B76DDC"/>
    <w:rsid w:val="00B800E7"/>
    <w:rsid w:val="00B81D02"/>
    <w:rsid w:val="00B8291A"/>
    <w:rsid w:val="00B8338C"/>
    <w:rsid w:val="00B83DB3"/>
    <w:rsid w:val="00B844FA"/>
    <w:rsid w:val="00B87949"/>
    <w:rsid w:val="00B913F0"/>
    <w:rsid w:val="00B943C4"/>
    <w:rsid w:val="00B94477"/>
    <w:rsid w:val="00B96E53"/>
    <w:rsid w:val="00B979F9"/>
    <w:rsid w:val="00BA0BA2"/>
    <w:rsid w:val="00BA1CAC"/>
    <w:rsid w:val="00BA2C5B"/>
    <w:rsid w:val="00BA5F2D"/>
    <w:rsid w:val="00BA76BC"/>
    <w:rsid w:val="00BB041E"/>
    <w:rsid w:val="00BB29FB"/>
    <w:rsid w:val="00BB7EE8"/>
    <w:rsid w:val="00BC01DF"/>
    <w:rsid w:val="00BC0791"/>
    <w:rsid w:val="00BC1C3D"/>
    <w:rsid w:val="00BC25A2"/>
    <w:rsid w:val="00BC2666"/>
    <w:rsid w:val="00BC436F"/>
    <w:rsid w:val="00BC5C45"/>
    <w:rsid w:val="00BD2A1B"/>
    <w:rsid w:val="00BD31B3"/>
    <w:rsid w:val="00BD4374"/>
    <w:rsid w:val="00BD47BD"/>
    <w:rsid w:val="00BD4989"/>
    <w:rsid w:val="00BD7498"/>
    <w:rsid w:val="00BD774B"/>
    <w:rsid w:val="00BE022F"/>
    <w:rsid w:val="00BE251F"/>
    <w:rsid w:val="00BE369D"/>
    <w:rsid w:val="00BE3878"/>
    <w:rsid w:val="00BE42EE"/>
    <w:rsid w:val="00BE43E3"/>
    <w:rsid w:val="00BE474A"/>
    <w:rsid w:val="00BF05F9"/>
    <w:rsid w:val="00BF0BA4"/>
    <w:rsid w:val="00BF1CA8"/>
    <w:rsid w:val="00BF24C2"/>
    <w:rsid w:val="00BF3089"/>
    <w:rsid w:val="00BF51B2"/>
    <w:rsid w:val="00BF6DF3"/>
    <w:rsid w:val="00BF77DB"/>
    <w:rsid w:val="00BF78B3"/>
    <w:rsid w:val="00C00429"/>
    <w:rsid w:val="00C00969"/>
    <w:rsid w:val="00C00E41"/>
    <w:rsid w:val="00C01C10"/>
    <w:rsid w:val="00C028D1"/>
    <w:rsid w:val="00C0421F"/>
    <w:rsid w:val="00C05953"/>
    <w:rsid w:val="00C10B44"/>
    <w:rsid w:val="00C1207C"/>
    <w:rsid w:val="00C14E41"/>
    <w:rsid w:val="00C15B3A"/>
    <w:rsid w:val="00C16653"/>
    <w:rsid w:val="00C17B79"/>
    <w:rsid w:val="00C21F55"/>
    <w:rsid w:val="00C22138"/>
    <w:rsid w:val="00C233AC"/>
    <w:rsid w:val="00C25036"/>
    <w:rsid w:val="00C2539D"/>
    <w:rsid w:val="00C25684"/>
    <w:rsid w:val="00C25F5D"/>
    <w:rsid w:val="00C265FC"/>
    <w:rsid w:val="00C26772"/>
    <w:rsid w:val="00C26991"/>
    <w:rsid w:val="00C2793C"/>
    <w:rsid w:val="00C27D34"/>
    <w:rsid w:val="00C3372D"/>
    <w:rsid w:val="00C338F4"/>
    <w:rsid w:val="00C35400"/>
    <w:rsid w:val="00C37C38"/>
    <w:rsid w:val="00C41F66"/>
    <w:rsid w:val="00C42334"/>
    <w:rsid w:val="00C43419"/>
    <w:rsid w:val="00C43477"/>
    <w:rsid w:val="00C444B4"/>
    <w:rsid w:val="00C446F5"/>
    <w:rsid w:val="00C450B4"/>
    <w:rsid w:val="00C47E97"/>
    <w:rsid w:val="00C51CC2"/>
    <w:rsid w:val="00C52EEC"/>
    <w:rsid w:val="00C54058"/>
    <w:rsid w:val="00C54540"/>
    <w:rsid w:val="00C57FF0"/>
    <w:rsid w:val="00C6112C"/>
    <w:rsid w:val="00C64840"/>
    <w:rsid w:val="00C65B20"/>
    <w:rsid w:val="00C662CC"/>
    <w:rsid w:val="00C66F98"/>
    <w:rsid w:val="00C6796D"/>
    <w:rsid w:val="00C67C8A"/>
    <w:rsid w:val="00C7016E"/>
    <w:rsid w:val="00C70BE8"/>
    <w:rsid w:val="00C742AD"/>
    <w:rsid w:val="00C771D2"/>
    <w:rsid w:val="00C7762B"/>
    <w:rsid w:val="00C80FE5"/>
    <w:rsid w:val="00C81552"/>
    <w:rsid w:val="00C819C1"/>
    <w:rsid w:val="00C83247"/>
    <w:rsid w:val="00C83630"/>
    <w:rsid w:val="00C8626C"/>
    <w:rsid w:val="00C90C68"/>
    <w:rsid w:val="00C915DA"/>
    <w:rsid w:val="00C91F83"/>
    <w:rsid w:val="00C92F59"/>
    <w:rsid w:val="00C93622"/>
    <w:rsid w:val="00C94E94"/>
    <w:rsid w:val="00C95487"/>
    <w:rsid w:val="00C958D7"/>
    <w:rsid w:val="00C97821"/>
    <w:rsid w:val="00CA478D"/>
    <w:rsid w:val="00CA4D82"/>
    <w:rsid w:val="00CA5ACC"/>
    <w:rsid w:val="00CA6567"/>
    <w:rsid w:val="00CB197D"/>
    <w:rsid w:val="00CB1B11"/>
    <w:rsid w:val="00CB1B21"/>
    <w:rsid w:val="00CB1CE6"/>
    <w:rsid w:val="00CB378D"/>
    <w:rsid w:val="00CB4C66"/>
    <w:rsid w:val="00CB4D0C"/>
    <w:rsid w:val="00CB5D6D"/>
    <w:rsid w:val="00CB5EE8"/>
    <w:rsid w:val="00CC393F"/>
    <w:rsid w:val="00CC4C6E"/>
    <w:rsid w:val="00CC736B"/>
    <w:rsid w:val="00CD1CA8"/>
    <w:rsid w:val="00CD2275"/>
    <w:rsid w:val="00CD3190"/>
    <w:rsid w:val="00CD37EF"/>
    <w:rsid w:val="00CD3EA2"/>
    <w:rsid w:val="00CD4C06"/>
    <w:rsid w:val="00CD4EB2"/>
    <w:rsid w:val="00CD5CFA"/>
    <w:rsid w:val="00CD6C5E"/>
    <w:rsid w:val="00CD738C"/>
    <w:rsid w:val="00CE0FBF"/>
    <w:rsid w:val="00CE185A"/>
    <w:rsid w:val="00CE3D4E"/>
    <w:rsid w:val="00CE444D"/>
    <w:rsid w:val="00CE47A7"/>
    <w:rsid w:val="00CE5E85"/>
    <w:rsid w:val="00CE7908"/>
    <w:rsid w:val="00CF1F8B"/>
    <w:rsid w:val="00CF30BD"/>
    <w:rsid w:val="00CF37FC"/>
    <w:rsid w:val="00CF6686"/>
    <w:rsid w:val="00D04BC2"/>
    <w:rsid w:val="00D070E1"/>
    <w:rsid w:val="00D0717A"/>
    <w:rsid w:val="00D1232C"/>
    <w:rsid w:val="00D1263E"/>
    <w:rsid w:val="00D1506A"/>
    <w:rsid w:val="00D1580A"/>
    <w:rsid w:val="00D1580E"/>
    <w:rsid w:val="00D15FBD"/>
    <w:rsid w:val="00D170CF"/>
    <w:rsid w:val="00D17677"/>
    <w:rsid w:val="00D22DB8"/>
    <w:rsid w:val="00D234DA"/>
    <w:rsid w:val="00D2777C"/>
    <w:rsid w:val="00D279CF"/>
    <w:rsid w:val="00D27D51"/>
    <w:rsid w:val="00D3072C"/>
    <w:rsid w:val="00D3092A"/>
    <w:rsid w:val="00D321E6"/>
    <w:rsid w:val="00D323C9"/>
    <w:rsid w:val="00D336AF"/>
    <w:rsid w:val="00D33AC7"/>
    <w:rsid w:val="00D40BB6"/>
    <w:rsid w:val="00D40F56"/>
    <w:rsid w:val="00D41020"/>
    <w:rsid w:val="00D41C55"/>
    <w:rsid w:val="00D42D35"/>
    <w:rsid w:val="00D45912"/>
    <w:rsid w:val="00D45E11"/>
    <w:rsid w:val="00D5032B"/>
    <w:rsid w:val="00D507E4"/>
    <w:rsid w:val="00D50B56"/>
    <w:rsid w:val="00D51906"/>
    <w:rsid w:val="00D539FD"/>
    <w:rsid w:val="00D54C33"/>
    <w:rsid w:val="00D54C8F"/>
    <w:rsid w:val="00D55244"/>
    <w:rsid w:val="00D55412"/>
    <w:rsid w:val="00D57362"/>
    <w:rsid w:val="00D61233"/>
    <w:rsid w:val="00D61B6B"/>
    <w:rsid w:val="00D62B6E"/>
    <w:rsid w:val="00D62C4F"/>
    <w:rsid w:val="00D6461F"/>
    <w:rsid w:val="00D64BEC"/>
    <w:rsid w:val="00D64D78"/>
    <w:rsid w:val="00D65C35"/>
    <w:rsid w:val="00D66235"/>
    <w:rsid w:val="00D707A2"/>
    <w:rsid w:val="00D70EF4"/>
    <w:rsid w:val="00D7142F"/>
    <w:rsid w:val="00D71FF4"/>
    <w:rsid w:val="00D72B69"/>
    <w:rsid w:val="00D72EEB"/>
    <w:rsid w:val="00D7437B"/>
    <w:rsid w:val="00D7498D"/>
    <w:rsid w:val="00D75457"/>
    <w:rsid w:val="00D761C3"/>
    <w:rsid w:val="00D76266"/>
    <w:rsid w:val="00D76896"/>
    <w:rsid w:val="00D805AE"/>
    <w:rsid w:val="00D8295F"/>
    <w:rsid w:val="00D84C87"/>
    <w:rsid w:val="00D86045"/>
    <w:rsid w:val="00D86969"/>
    <w:rsid w:val="00D87514"/>
    <w:rsid w:val="00D90551"/>
    <w:rsid w:val="00D90594"/>
    <w:rsid w:val="00D93253"/>
    <w:rsid w:val="00D933D2"/>
    <w:rsid w:val="00D937CD"/>
    <w:rsid w:val="00D94260"/>
    <w:rsid w:val="00D94434"/>
    <w:rsid w:val="00D979CB"/>
    <w:rsid w:val="00DA1FD2"/>
    <w:rsid w:val="00DA2532"/>
    <w:rsid w:val="00DA2986"/>
    <w:rsid w:val="00DA64AD"/>
    <w:rsid w:val="00DA698B"/>
    <w:rsid w:val="00DA78CB"/>
    <w:rsid w:val="00DA7A2D"/>
    <w:rsid w:val="00DB04A8"/>
    <w:rsid w:val="00DB06F3"/>
    <w:rsid w:val="00DB23CD"/>
    <w:rsid w:val="00DB2CE4"/>
    <w:rsid w:val="00DB3017"/>
    <w:rsid w:val="00DB3ED1"/>
    <w:rsid w:val="00DB4B41"/>
    <w:rsid w:val="00DB55AF"/>
    <w:rsid w:val="00DB5B8F"/>
    <w:rsid w:val="00DB5F0B"/>
    <w:rsid w:val="00DB6226"/>
    <w:rsid w:val="00DB6A9B"/>
    <w:rsid w:val="00DB7071"/>
    <w:rsid w:val="00DC020B"/>
    <w:rsid w:val="00DC12FD"/>
    <w:rsid w:val="00DC1501"/>
    <w:rsid w:val="00DC311E"/>
    <w:rsid w:val="00DC3C20"/>
    <w:rsid w:val="00DC4085"/>
    <w:rsid w:val="00DC6579"/>
    <w:rsid w:val="00DC6F1B"/>
    <w:rsid w:val="00DD3544"/>
    <w:rsid w:val="00DD5CB4"/>
    <w:rsid w:val="00DD75B5"/>
    <w:rsid w:val="00DE00B0"/>
    <w:rsid w:val="00DE02D1"/>
    <w:rsid w:val="00DE09BA"/>
    <w:rsid w:val="00DE2C68"/>
    <w:rsid w:val="00DE3843"/>
    <w:rsid w:val="00DE4BDF"/>
    <w:rsid w:val="00DE5DCD"/>
    <w:rsid w:val="00DE614E"/>
    <w:rsid w:val="00DE649C"/>
    <w:rsid w:val="00DE7E74"/>
    <w:rsid w:val="00DF151C"/>
    <w:rsid w:val="00DF2E76"/>
    <w:rsid w:val="00E02305"/>
    <w:rsid w:val="00E02369"/>
    <w:rsid w:val="00E04945"/>
    <w:rsid w:val="00E0523B"/>
    <w:rsid w:val="00E05739"/>
    <w:rsid w:val="00E0619F"/>
    <w:rsid w:val="00E11D7B"/>
    <w:rsid w:val="00E1303B"/>
    <w:rsid w:val="00E13527"/>
    <w:rsid w:val="00E1541F"/>
    <w:rsid w:val="00E156B9"/>
    <w:rsid w:val="00E15B06"/>
    <w:rsid w:val="00E21D40"/>
    <w:rsid w:val="00E2379E"/>
    <w:rsid w:val="00E23EC1"/>
    <w:rsid w:val="00E252ED"/>
    <w:rsid w:val="00E303B0"/>
    <w:rsid w:val="00E324E1"/>
    <w:rsid w:val="00E36FDD"/>
    <w:rsid w:val="00E37B88"/>
    <w:rsid w:val="00E40174"/>
    <w:rsid w:val="00E40F0C"/>
    <w:rsid w:val="00E43E3F"/>
    <w:rsid w:val="00E4412D"/>
    <w:rsid w:val="00E44E36"/>
    <w:rsid w:val="00E461C6"/>
    <w:rsid w:val="00E514EC"/>
    <w:rsid w:val="00E516F9"/>
    <w:rsid w:val="00E5400A"/>
    <w:rsid w:val="00E54A5B"/>
    <w:rsid w:val="00E55DD6"/>
    <w:rsid w:val="00E571B8"/>
    <w:rsid w:val="00E60079"/>
    <w:rsid w:val="00E62B08"/>
    <w:rsid w:val="00E631AE"/>
    <w:rsid w:val="00E653E0"/>
    <w:rsid w:val="00E657B8"/>
    <w:rsid w:val="00E67C4E"/>
    <w:rsid w:val="00E72DB7"/>
    <w:rsid w:val="00E72F22"/>
    <w:rsid w:val="00E73E82"/>
    <w:rsid w:val="00E74F05"/>
    <w:rsid w:val="00E75864"/>
    <w:rsid w:val="00E7648A"/>
    <w:rsid w:val="00E76505"/>
    <w:rsid w:val="00E76BE3"/>
    <w:rsid w:val="00E77532"/>
    <w:rsid w:val="00E777C1"/>
    <w:rsid w:val="00E8128F"/>
    <w:rsid w:val="00E81C55"/>
    <w:rsid w:val="00E81E69"/>
    <w:rsid w:val="00E82E73"/>
    <w:rsid w:val="00E83A4B"/>
    <w:rsid w:val="00E84649"/>
    <w:rsid w:val="00E84B4C"/>
    <w:rsid w:val="00E84CA1"/>
    <w:rsid w:val="00E84EB1"/>
    <w:rsid w:val="00E85B79"/>
    <w:rsid w:val="00E8627A"/>
    <w:rsid w:val="00E864A7"/>
    <w:rsid w:val="00E87A4E"/>
    <w:rsid w:val="00E87EC8"/>
    <w:rsid w:val="00E903E8"/>
    <w:rsid w:val="00E913B8"/>
    <w:rsid w:val="00E9201C"/>
    <w:rsid w:val="00E92213"/>
    <w:rsid w:val="00E93FD5"/>
    <w:rsid w:val="00E946F5"/>
    <w:rsid w:val="00E94887"/>
    <w:rsid w:val="00E94D88"/>
    <w:rsid w:val="00E95575"/>
    <w:rsid w:val="00E95ED1"/>
    <w:rsid w:val="00E960C8"/>
    <w:rsid w:val="00E96B7F"/>
    <w:rsid w:val="00E97A9E"/>
    <w:rsid w:val="00EA0272"/>
    <w:rsid w:val="00EA0A01"/>
    <w:rsid w:val="00EA0ABB"/>
    <w:rsid w:val="00EA3083"/>
    <w:rsid w:val="00EA589B"/>
    <w:rsid w:val="00EA635A"/>
    <w:rsid w:val="00EB08B6"/>
    <w:rsid w:val="00EB3051"/>
    <w:rsid w:val="00EB3886"/>
    <w:rsid w:val="00EB4DF4"/>
    <w:rsid w:val="00EB7715"/>
    <w:rsid w:val="00EB79C3"/>
    <w:rsid w:val="00EC344E"/>
    <w:rsid w:val="00EC4119"/>
    <w:rsid w:val="00EC5554"/>
    <w:rsid w:val="00EC73D5"/>
    <w:rsid w:val="00EC7527"/>
    <w:rsid w:val="00ED0AFC"/>
    <w:rsid w:val="00ED1F43"/>
    <w:rsid w:val="00ED2113"/>
    <w:rsid w:val="00ED3EF4"/>
    <w:rsid w:val="00ED5633"/>
    <w:rsid w:val="00ED69B5"/>
    <w:rsid w:val="00ED7BF9"/>
    <w:rsid w:val="00EE1228"/>
    <w:rsid w:val="00EE15B1"/>
    <w:rsid w:val="00EE2067"/>
    <w:rsid w:val="00EE3EBB"/>
    <w:rsid w:val="00EE3F97"/>
    <w:rsid w:val="00EE5935"/>
    <w:rsid w:val="00EE5C82"/>
    <w:rsid w:val="00EF0C2A"/>
    <w:rsid w:val="00EF10DB"/>
    <w:rsid w:val="00EF14CC"/>
    <w:rsid w:val="00EF16F5"/>
    <w:rsid w:val="00EF1AF7"/>
    <w:rsid w:val="00EF42A8"/>
    <w:rsid w:val="00EF4E8C"/>
    <w:rsid w:val="00EF5998"/>
    <w:rsid w:val="00EF7512"/>
    <w:rsid w:val="00F004AD"/>
    <w:rsid w:val="00F00963"/>
    <w:rsid w:val="00F0414D"/>
    <w:rsid w:val="00F05314"/>
    <w:rsid w:val="00F053A8"/>
    <w:rsid w:val="00F068BA"/>
    <w:rsid w:val="00F101C4"/>
    <w:rsid w:val="00F11A76"/>
    <w:rsid w:val="00F11F21"/>
    <w:rsid w:val="00F12791"/>
    <w:rsid w:val="00F12D1B"/>
    <w:rsid w:val="00F13E24"/>
    <w:rsid w:val="00F14886"/>
    <w:rsid w:val="00F15ABA"/>
    <w:rsid w:val="00F15E94"/>
    <w:rsid w:val="00F169BC"/>
    <w:rsid w:val="00F2030F"/>
    <w:rsid w:val="00F231B1"/>
    <w:rsid w:val="00F23E5F"/>
    <w:rsid w:val="00F2434E"/>
    <w:rsid w:val="00F24E09"/>
    <w:rsid w:val="00F24F99"/>
    <w:rsid w:val="00F26FBE"/>
    <w:rsid w:val="00F346CE"/>
    <w:rsid w:val="00F40F78"/>
    <w:rsid w:val="00F4328E"/>
    <w:rsid w:val="00F46298"/>
    <w:rsid w:val="00F4629B"/>
    <w:rsid w:val="00F511C4"/>
    <w:rsid w:val="00F51C47"/>
    <w:rsid w:val="00F5611B"/>
    <w:rsid w:val="00F56863"/>
    <w:rsid w:val="00F56FBE"/>
    <w:rsid w:val="00F60568"/>
    <w:rsid w:val="00F60FC7"/>
    <w:rsid w:val="00F66DBE"/>
    <w:rsid w:val="00F678C9"/>
    <w:rsid w:val="00F70ADD"/>
    <w:rsid w:val="00F7186C"/>
    <w:rsid w:val="00F71C6C"/>
    <w:rsid w:val="00F75979"/>
    <w:rsid w:val="00F77B4A"/>
    <w:rsid w:val="00F8066B"/>
    <w:rsid w:val="00F82002"/>
    <w:rsid w:val="00F82180"/>
    <w:rsid w:val="00F8335D"/>
    <w:rsid w:val="00F833F8"/>
    <w:rsid w:val="00F844C3"/>
    <w:rsid w:val="00F8471E"/>
    <w:rsid w:val="00F85397"/>
    <w:rsid w:val="00F8720D"/>
    <w:rsid w:val="00F910BF"/>
    <w:rsid w:val="00F9142D"/>
    <w:rsid w:val="00F9272C"/>
    <w:rsid w:val="00F92959"/>
    <w:rsid w:val="00F93184"/>
    <w:rsid w:val="00F935B2"/>
    <w:rsid w:val="00F93C37"/>
    <w:rsid w:val="00F9599B"/>
    <w:rsid w:val="00F97723"/>
    <w:rsid w:val="00FA057B"/>
    <w:rsid w:val="00FA09C9"/>
    <w:rsid w:val="00FA28F9"/>
    <w:rsid w:val="00FA3B30"/>
    <w:rsid w:val="00FA3B6D"/>
    <w:rsid w:val="00FA4300"/>
    <w:rsid w:val="00FA4FEB"/>
    <w:rsid w:val="00FA58AA"/>
    <w:rsid w:val="00FA7E1A"/>
    <w:rsid w:val="00FB036C"/>
    <w:rsid w:val="00FB1D72"/>
    <w:rsid w:val="00FB2C60"/>
    <w:rsid w:val="00FB3FC5"/>
    <w:rsid w:val="00FB6524"/>
    <w:rsid w:val="00FC01F5"/>
    <w:rsid w:val="00FC0E85"/>
    <w:rsid w:val="00FC0EF9"/>
    <w:rsid w:val="00FC13F7"/>
    <w:rsid w:val="00FC14F7"/>
    <w:rsid w:val="00FC2929"/>
    <w:rsid w:val="00FC33C5"/>
    <w:rsid w:val="00FC3BE5"/>
    <w:rsid w:val="00FC5944"/>
    <w:rsid w:val="00FC6E53"/>
    <w:rsid w:val="00FD2323"/>
    <w:rsid w:val="00FD3FA5"/>
    <w:rsid w:val="00FD4611"/>
    <w:rsid w:val="00FD4FEE"/>
    <w:rsid w:val="00FD6620"/>
    <w:rsid w:val="00FD6864"/>
    <w:rsid w:val="00FE254D"/>
    <w:rsid w:val="00FE3B08"/>
    <w:rsid w:val="00FE5874"/>
    <w:rsid w:val="00FE6C16"/>
    <w:rsid w:val="00FE6E05"/>
    <w:rsid w:val="00FE7861"/>
    <w:rsid w:val="00FF4BA9"/>
    <w:rsid w:val="00FF5C40"/>
    <w:rsid w:val="00FF6031"/>
    <w:rsid w:val="00FF69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F2D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2D80"/>
    <w:rPr>
      <w:rFonts w:ascii="Tahoma" w:hAnsi="Tahoma" w:cs="Tahoma"/>
      <w:sz w:val="16"/>
      <w:szCs w:val="16"/>
    </w:rPr>
  </w:style>
  <w:style w:type="table" w:styleId="Grigliatabella">
    <w:name w:val="Table Grid"/>
    <w:basedOn w:val="Tabellanormale"/>
    <w:uiPriority w:val="59"/>
    <w:rsid w:val="00E40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0A092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A0923"/>
    <w:rPr>
      <w:sz w:val="20"/>
      <w:szCs w:val="20"/>
    </w:rPr>
  </w:style>
  <w:style w:type="character" w:styleId="Rimandonotaapidipagina">
    <w:name w:val="footnote reference"/>
    <w:basedOn w:val="Carpredefinitoparagrafo"/>
    <w:semiHidden/>
    <w:unhideWhenUsed/>
    <w:rsid w:val="000A0923"/>
    <w:rPr>
      <w:vertAlign w:val="superscript"/>
    </w:rPr>
  </w:style>
  <w:style w:type="paragraph" w:styleId="Paragrafoelenco">
    <w:name w:val="List Paragraph"/>
    <w:basedOn w:val="Normale"/>
    <w:uiPriority w:val="34"/>
    <w:qFormat/>
    <w:rsid w:val="00084A3F"/>
    <w:pPr>
      <w:ind w:left="720"/>
      <w:contextualSpacing/>
    </w:pPr>
    <w:rPr>
      <w:rFonts w:eastAsiaTheme="minorEastAsia"/>
      <w:lang w:eastAsia="it-IT"/>
    </w:rPr>
  </w:style>
  <w:style w:type="paragraph" w:customStyle="1" w:styleId="Default">
    <w:name w:val="Default"/>
    <w:rsid w:val="004E341F"/>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customStyle="1" w:styleId="Contenutotabella">
    <w:name w:val="Contenuto tabella"/>
    <w:basedOn w:val="Normale"/>
    <w:rsid w:val="001B0578"/>
    <w:pPr>
      <w:widowControl w:val="0"/>
      <w:suppressLineNumbers/>
      <w:suppressAutoHyphens/>
      <w:spacing w:after="0" w:line="240" w:lineRule="auto"/>
    </w:pPr>
    <w:rPr>
      <w:rFonts w:ascii="Times New Roman" w:eastAsia="SimSun" w:hAnsi="Times New Roman" w:cs="Mangal"/>
      <w:kern w:val="1"/>
      <w:sz w:val="24"/>
      <w:szCs w:val="24"/>
      <w:lang w:val="en-GB" w:eastAsia="hi-IN" w:bidi="hi-IN"/>
    </w:rPr>
  </w:style>
  <w:style w:type="character" w:styleId="Rimandocommento">
    <w:name w:val="annotation reference"/>
    <w:basedOn w:val="Carpredefinitoparagrafo"/>
    <w:uiPriority w:val="99"/>
    <w:semiHidden/>
    <w:unhideWhenUsed/>
    <w:rsid w:val="001B6125"/>
    <w:rPr>
      <w:sz w:val="16"/>
      <w:szCs w:val="16"/>
    </w:rPr>
  </w:style>
  <w:style w:type="paragraph" w:styleId="Testocommento">
    <w:name w:val="annotation text"/>
    <w:basedOn w:val="Normale"/>
    <w:link w:val="TestocommentoCarattere"/>
    <w:uiPriority w:val="99"/>
    <w:semiHidden/>
    <w:unhideWhenUsed/>
    <w:rsid w:val="001B612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B6125"/>
    <w:rPr>
      <w:sz w:val="20"/>
      <w:szCs w:val="20"/>
    </w:rPr>
  </w:style>
  <w:style w:type="paragraph" w:styleId="Soggettocommento">
    <w:name w:val="annotation subject"/>
    <w:basedOn w:val="Testocommento"/>
    <w:next w:val="Testocommento"/>
    <w:link w:val="SoggettocommentoCarattere"/>
    <w:uiPriority w:val="99"/>
    <w:semiHidden/>
    <w:unhideWhenUsed/>
    <w:rsid w:val="001B6125"/>
    <w:rPr>
      <w:b/>
      <w:bCs/>
    </w:rPr>
  </w:style>
  <w:style w:type="character" w:customStyle="1" w:styleId="SoggettocommentoCarattere">
    <w:name w:val="Soggetto commento Carattere"/>
    <w:basedOn w:val="TestocommentoCarattere"/>
    <w:link w:val="Soggettocommento"/>
    <w:uiPriority w:val="99"/>
    <w:semiHidden/>
    <w:rsid w:val="001B6125"/>
    <w:rPr>
      <w:b/>
      <w:bCs/>
      <w:sz w:val="20"/>
      <w:szCs w:val="20"/>
    </w:rPr>
  </w:style>
  <w:style w:type="character" w:styleId="Collegamentoipertestuale">
    <w:name w:val="Hyperlink"/>
    <w:basedOn w:val="Carpredefinitoparagrafo"/>
    <w:uiPriority w:val="99"/>
    <w:unhideWhenUsed/>
    <w:rsid w:val="004D2EC7"/>
    <w:rPr>
      <w:color w:val="0000FF" w:themeColor="hyperlink"/>
      <w:u w:val="single"/>
    </w:rPr>
  </w:style>
  <w:style w:type="paragraph" w:styleId="Intestazione">
    <w:name w:val="header"/>
    <w:basedOn w:val="Normale"/>
    <w:link w:val="IntestazioneCarattere"/>
    <w:uiPriority w:val="99"/>
    <w:unhideWhenUsed/>
    <w:rsid w:val="000123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2389"/>
  </w:style>
  <w:style w:type="paragraph" w:styleId="Pidipagina">
    <w:name w:val="footer"/>
    <w:basedOn w:val="Normale"/>
    <w:link w:val="PidipaginaCarattere"/>
    <w:uiPriority w:val="99"/>
    <w:unhideWhenUsed/>
    <w:rsid w:val="000123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2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F2D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2D80"/>
    <w:rPr>
      <w:rFonts w:ascii="Tahoma" w:hAnsi="Tahoma" w:cs="Tahoma"/>
      <w:sz w:val="16"/>
      <w:szCs w:val="16"/>
    </w:rPr>
  </w:style>
  <w:style w:type="table" w:styleId="Grigliatabella">
    <w:name w:val="Table Grid"/>
    <w:basedOn w:val="Tabellanormale"/>
    <w:uiPriority w:val="59"/>
    <w:rsid w:val="00E40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0A092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A0923"/>
    <w:rPr>
      <w:sz w:val="20"/>
      <w:szCs w:val="20"/>
    </w:rPr>
  </w:style>
  <w:style w:type="character" w:styleId="Rimandonotaapidipagina">
    <w:name w:val="footnote reference"/>
    <w:basedOn w:val="Carpredefinitoparagrafo"/>
    <w:semiHidden/>
    <w:unhideWhenUsed/>
    <w:rsid w:val="000A0923"/>
    <w:rPr>
      <w:vertAlign w:val="superscript"/>
    </w:rPr>
  </w:style>
  <w:style w:type="paragraph" w:styleId="Paragrafoelenco">
    <w:name w:val="List Paragraph"/>
    <w:basedOn w:val="Normale"/>
    <w:uiPriority w:val="34"/>
    <w:qFormat/>
    <w:rsid w:val="00084A3F"/>
    <w:pPr>
      <w:ind w:left="720"/>
      <w:contextualSpacing/>
    </w:pPr>
    <w:rPr>
      <w:rFonts w:eastAsiaTheme="minorEastAsia"/>
      <w:lang w:eastAsia="it-IT"/>
    </w:rPr>
  </w:style>
  <w:style w:type="paragraph" w:customStyle="1" w:styleId="Default">
    <w:name w:val="Default"/>
    <w:rsid w:val="004E341F"/>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customStyle="1" w:styleId="Contenutotabella">
    <w:name w:val="Contenuto tabella"/>
    <w:basedOn w:val="Normale"/>
    <w:rsid w:val="001B0578"/>
    <w:pPr>
      <w:widowControl w:val="0"/>
      <w:suppressLineNumbers/>
      <w:suppressAutoHyphens/>
      <w:spacing w:after="0" w:line="240" w:lineRule="auto"/>
    </w:pPr>
    <w:rPr>
      <w:rFonts w:ascii="Times New Roman" w:eastAsia="SimSun" w:hAnsi="Times New Roman" w:cs="Mangal"/>
      <w:kern w:val="1"/>
      <w:sz w:val="24"/>
      <w:szCs w:val="24"/>
      <w:lang w:val="en-GB" w:eastAsia="hi-IN" w:bidi="hi-IN"/>
    </w:rPr>
  </w:style>
  <w:style w:type="character" w:styleId="Rimandocommento">
    <w:name w:val="annotation reference"/>
    <w:basedOn w:val="Carpredefinitoparagrafo"/>
    <w:uiPriority w:val="99"/>
    <w:semiHidden/>
    <w:unhideWhenUsed/>
    <w:rsid w:val="001B6125"/>
    <w:rPr>
      <w:sz w:val="16"/>
      <w:szCs w:val="16"/>
    </w:rPr>
  </w:style>
  <w:style w:type="paragraph" w:styleId="Testocommento">
    <w:name w:val="annotation text"/>
    <w:basedOn w:val="Normale"/>
    <w:link w:val="TestocommentoCarattere"/>
    <w:uiPriority w:val="99"/>
    <w:semiHidden/>
    <w:unhideWhenUsed/>
    <w:rsid w:val="001B612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B6125"/>
    <w:rPr>
      <w:sz w:val="20"/>
      <w:szCs w:val="20"/>
    </w:rPr>
  </w:style>
  <w:style w:type="paragraph" w:styleId="Soggettocommento">
    <w:name w:val="annotation subject"/>
    <w:basedOn w:val="Testocommento"/>
    <w:next w:val="Testocommento"/>
    <w:link w:val="SoggettocommentoCarattere"/>
    <w:uiPriority w:val="99"/>
    <w:semiHidden/>
    <w:unhideWhenUsed/>
    <w:rsid w:val="001B6125"/>
    <w:rPr>
      <w:b/>
      <w:bCs/>
    </w:rPr>
  </w:style>
  <w:style w:type="character" w:customStyle="1" w:styleId="SoggettocommentoCarattere">
    <w:name w:val="Soggetto commento Carattere"/>
    <w:basedOn w:val="TestocommentoCarattere"/>
    <w:link w:val="Soggettocommento"/>
    <w:uiPriority w:val="99"/>
    <w:semiHidden/>
    <w:rsid w:val="001B6125"/>
    <w:rPr>
      <w:b/>
      <w:bCs/>
      <w:sz w:val="20"/>
      <w:szCs w:val="20"/>
    </w:rPr>
  </w:style>
  <w:style w:type="character" w:styleId="Collegamentoipertestuale">
    <w:name w:val="Hyperlink"/>
    <w:basedOn w:val="Carpredefinitoparagrafo"/>
    <w:uiPriority w:val="99"/>
    <w:unhideWhenUsed/>
    <w:rsid w:val="004D2EC7"/>
    <w:rPr>
      <w:color w:val="0000FF" w:themeColor="hyperlink"/>
      <w:u w:val="single"/>
    </w:rPr>
  </w:style>
  <w:style w:type="paragraph" w:styleId="Intestazione">
    <w:name w:val="header"/>
    <w:basedOn w:val="Normale"/>
    <w:link w:val="IntestazioneCarattere"/>
    <w:uiPriority w:val="99"/>
    <w:unhideWhenUsed/>
    <w:rsid w:val="000123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2389"/>
  </w:style>
  <w:style w:type="paragraph" w:styleId="Pidipagina">
    <w:name w:val="footer"/>
    <w:basedOn w:val="Normale"/>
    <w:link w:val="PidipaginaCarattere"/>
    <w:uiPriority w:val="99"/>
    <w:unhideWhenUsed/>
    <w:rsid w:val="000123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2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420884">
      <w:bodyDiv w:val="1"/>
      <w:marLeft w:val="0"/>
      <w:marRight w:val="0"/>
      <w:marTop w:val="0"/>
      <w:marBottom w:val="0"/>
      <w:divBdr>
        <w:top w:val="none" w:sz="0" w:space="0" w:color="auto"/>
        <w:left w:val="none" w:sz="0" w:space="0" w:color="auto"/>
        <w:bottom w:val="none" w:sz="0" w:space="0" w:color="auto"/>
        <w:right w:val="none" w:sz="0" w:space="0" w:color="auto"/>
      </w:divBdr>
    </w:div>
    <w:div w:id="16293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oleObject15.bin"/><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emf"/><Relationship Id="rId41"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emf"/><Relationship Id="rId40" Type="http://schemas.openxmlformats.org/officeDocument/2006/relationships/oleObject" Target="embeddings/oleObject16.bin"/><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oleObject" Target="embeddings/oleObject11.bin"/><Relationship Id="rId35" Type="http://schemas.openxmlformats.org/officeDocument/2006/relationships/image" Target="media/image14.emf"/><Relationship Id="rId43" Type="http://schemas.openxmlformats.org/officeDocument/2006/relationships/hyperlink" Target="http://www.philadelphiafed.org/research-and-data/publications" TargetMode="External"/><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6403C-4DFA-47F9-943C-F132F60B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15</Pages>
  <Words>3928</Words>
  <Characters>22393</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Banca d'Italia</Company>
  <LinksUpToDate>false</LinksUpToDate>
  <CharactersWithSpaces>26269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Cesaroni</dc:creator>
  <cp:lastModifiedBy>Luigi Infante</cp:lastModifiedBy>
  <cp:revision>8</cp:revision>
  <cp:lastPrinted>2016-05-18T17:18:00Z</cp:lastPrinted>
  <dcterms:created xsi:type="dcterms:W3CDTF">2016-05-20T13:06:00Z</dcterms:created>
  <dcterms:modified xsi:type="dcterms:W3CDTF">2016-05-20T15:21:00Z</dcterms:modified>
</cp:coreProperties>
</file>